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theme/themeOverride3.xml" ContentType="application/vnd.openxmlformats-officedocument.themeOverride+xml"/>
  <Override PartName="/word/charts/chart6.xml" ContentType="application/vnd.openxmlformats-officedocument.drawingml.chart+xml"/>
  <Override PartName="/word/theme/themeOverride4.xml" ContentType="application/vnd.openxmlformats-officedocument.themeOverride+xml"/>
  <Override PartName="/word/charts/chart7.xml" ContentType="application/vnd.openxmlformats-officedocument.drawingml.chart+xml"/>
  <Override PartName="/word/theme/themeOverride5.xml" ContentType="application/vnd.openxmlformats-officedocument.themeOverride+xml"/>
  <Override PartName="/word/charts/chart8.xml" ContentType="application/vnd.openxmlformats-officedocument.drawingml.chart+xml"/>
  <Override PartName="/word/charts/chart9.xml" ContentType="application/vnd.openxmlformats-officedocument.drawingml.chart+xml"/>
  <Override PartName="/word/theme/themeOverride6.xml" ContentType="application/vnd.openxmlformats-officedocument.themeOverride+xml"/>
  <Override PartName="/word/charts/chart10.xml" ContentType="application/vnd.openxmlformats-officedocument.drawingml.chart+xml"/>
  <Override PartName="/word/theme/themeOverride7.xml" ContentType="application/vnd.openxmlformats-officedocument.themeOverride+xml"/>
  <Override PartName="/word/charts/chart11.xml" ContentType="application/vnd.openxmlformats-officedocument.drawingml.chart+xml"/>
  <Override PartName="/word/theme/themeOverride8.xml" ContentType="application/vnd.openxmlformats-officedocument.themeOverride+xml"/>
  <Override PartName="/word/drawings/drawing1.xml" ContentType="application/vnd.openxmlformats-officedocument.drawingml.chartshapes+xml"/>
  <Override PartName="/word/charts/chart12.xml" ContentType="application/vnd.openxmlformats-officedocument.drawingml.chart+xml"/>
  <Override PartName="/word/charts/chart13.xml" ContentType="application/vnd.openxmlformats-officedocument.drawingml.chart+xml"/>
  <Override PartName="/word/theme/themeOverride9.xml" ContentType="application/vnd.openxmlformats-officedocument.themeOverride+xml"/>
  <Override PartName="/word/drawings/drawing2.xml" ContentType="application/vnd.openxmlformats-officedocument.drawingml.chartshapes+xml"/>
  <Override PartName="/word/charts/chart14.xml" ContentType="application/vnd.openxmlformats-officedocument.drawingml.chart+xml"/>
  <Override PartName="/word/theme/themeOverride10.xml" ContentType="application/vnd.openxmlformats-officedocument.themeOverride+xml"/>
  <Override PartName="/word/drawings/drawing3.xml" ContentType="application/vnd.openxmlformats-officedocument.drawingml.chartshapes+xml"/>
  <Override PartName="/word/charts/chart15.xml" ContentType="application/vnd.openxmlformats-officedocument.drawingml.chart+xml"/>
  <Override PartName="/word/theme/themeOverride11.xml" ContentType="application/vnd.openxmlformats-officedocument.themeOverride+xml"/>
  <Override PartName="/word/drawings/drawing4.xml" ContentType="application/vnd.openxmlformats-officedocument.drawingml.chartshapes+xml"/>
  <Override PartName="/word/charts/chart16.xml" ContentType="application/vnd.openxmlformats-officedocument.drawingml.chart+xml"/>
  <Override PartName="/word/theme/themeOverride12.xml" ContentType="application/vnd.openxmlformats-officedocument.themeOverride+xml"/>
  <Override PartName="/word/drawings/drawing5.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616EA" w:rsidRPr="00DB70C4" w:rsidRDefault="004616EA" w:rsidP="001977F4">
      <w:pPr>
        <w:spacing w:after="0" w:line="240" w:lineRule="auto"/>
        <w:ind w:left="5670"/>
        <w:jc w:val="both"/>
        <w:rPr>
          <w:rFonts w:ascii="Times New Roman" w:hAnsi="Times New Roman"/>
          <w:noProof/>
          <w:sz w:val="26"/>
          <w:szCs w:val="26"/>
          <w:lang w:eastAsia="ru-RU"/>
        </w:rPr>
      </w:pPr>
      <w:bookmarkStart w:id="0" w:name="_GoBack"/>
      <w:bookmarkEnd w:id="0"/>
      <w:r w:rsidRPr="00DB70C4">
        <w:rPr>
          <w:rFonts w:ascii="Times New Roman" w:hAnsi="Times New Roman"/>
          <w:noProof/>
          <w:sz w:val="26"/>
          <w:szCs w:val="26"/>
          <w:lang w:eastAsia="ru-RU"/>
        </w:rPr>
        <w:t>Приложение</w:t>
      </w:r>
    </w:p>
    <w:p w:rsidR="004616EA" w:rsidRPr="00DB70C4" w:rsidRDefault="004616EA" w:rsidP="001977F4">
      <w:pPr>
        <w:spacing w:after="0" w:line="240" w:lineRule="auto"/>
        <w:ind w:left="5670"/>
        <w:jc w:val="both"/>
        <w:rPr>
          <w:rFonts w:ascii="Times New Roman" w:hAnsi="Times New Roman"/>
          <w:noProof/>
          <w:sz w:val="26"/>
          <w:szCs w:val="26"/>
          <w:lang w:eastAsia="ru-RU"/>
        </w:rPr>
      </w:pPr>
      <w:r w:rsidRPr="00DB70C4">
        <w:rPr>
          <w:rFonts w:ascii="Times New Roman" w:hAnsi="Times New Roman"/>
          <w:noProof/>
          <w:sz w:val="26"/>
          <w:szCs w:val="26"/>
          <w:lang w:eastAsia="ru-RU"/>
        </w:rPr>
        <w:t>к решению Думы</w:t>
      </w:r>
    </w:p>
    <w:p w:rsidR="004616EA" w:rsidRPr="00DB70C4" w:rsidRDefault="004616EA" w:rsidP="001977F4">
      <w:pPr>
        <w:spacing w:after="0" w:line="240" w:lineRule="auto"/>
        <w:ind w:left="5670"/>
        <w:jc w:val="both"/>
        <w:rPr>
          <w:rFonts w:ascii="Times New Roman" w:hAnsi="Times New Roman"/>
          <w:noProof/>
          <w:sz w:val="26"/>
          <w:szCs w:val="26"/>
          <w:lang w:eastAsia="ru-RU"/>
        </w:rPr>
      </w:pPr>
      <w:r w:rsidRPr="00DB70C4">
        <w:rPr>
          <w:rFonts w:ascii="Times New Roman" w:hAnsi="Times New Roman"/>
          <w:noProof/>
          <w:sz w:val="26"/>
          <w:szCs w:val="26"/>
          <w:lang w:eastAsia="ru-RU"/>
        </w:rPr>
        <w:t>города Когалыма</w:t>
      </w:r>
    </w:p>
    <w:p w:rsidR="004616EA" w:rsidRPr="00DB70C4" w:rsidRDefault="004616EA" w:rsidP="001977F4">
      <w:pPr>
        <w:spacing w:after="0" w:line="240" w:lineRule="auto"/>
        <w:ind w:left="5670"/>
        <w:jc w:val="both"/>
        <w:rPr>
          <w:rFonts w:ascii="Times New Roman" w:hAnsi="Times New Roman"/>
          <w:noProof/>
          <w:sz w:val="26"/>
          <w:szCs w:val="26"/>
          <w:lang w:eastAsia="ru-RU"/>
        </w:rPr>
      </w:pPr>
      <w:r w:rsidRPr="00DB70C4">
        <w:rPr>
          <w:rFonts w:ascii="Times New Roman" w:hAnsi="Times New Roman"/>
          <w:noProof/>
          <w:sz w:val="26"/>
          <w:szCs w:val="26"/>
          <w:lang w:eastAsia="ru-RU"/>
        </w:rPr>
        <w:t>от</w:t>
      </w:r>
      <w:r w:rsidR="001977F4">
        <w:rPr>
          <w:rFonts w:ascii="Times New Roman" w:hAnsi="Times New Roman"/>
          <w:noProof/>
          <w:sz w:val="26"/>
          <w:szCs w:val="26"/>
          <w:lang w:eastAsia="ru-RU"/>
        </w:rPr>
        <w:t xml:space="preserve"> 23.12.2014 № 494-ГД</w:t>
      </w:r>
    </w:p>
    <w:p w:rsidR="004616EA" w:rsidRDefault="004616EA" w:rsidP="00D7787D">
      <w:pPr>
        <w:spacing w:after="0" w:line="240" w:lineRule="auto"/>
        <w:ind w:firstLine="709"/>
        <w:jc w:val="both"/>
        <w:rPr>
          <w:rFonts w:ascii="Times New Roman" w:hAnsi="Times New Roman"/>
          <w:b/>
          <w:noProof/>
          <w:sz w:val="26"/>
          <w:szCs w:val="26"/>
          <w:lang w:eastAsia="ru-RU"/>
        </w:rPr>
      </w:pPr>
    </w:p>
    <w:p w:rsidR="004616EA" w:rsidRDefault="004616EA" w:rsidP="00D7787D">
      <w:pPr>
        <w:spacing w:after="0" w:line="240" w:lineRule="auto"/>
        <w:ind w:firstLine="709"/>
        <w:jc w:val="both"/>
        <w:rPr>
          <w:rFonts w:ascii="Times New Roman" w:hAnsi="Times New Roman"/>
          <w:b/>
          <w:noProof/>
          <w:sz w:val="26"/>
          <w:szCs w:val="26"/>
          <w:lang w:eastAsia="ru-RU"/>
        </w:rPr>
      </w:pPr>
    </w:p>
    <w:p w:rsidR="004616EA" w:rsidRDefault="004616EA" w:rsidP="00D7787D">
      <w:pPr>
        <w:spacing w:after="0" w:line="240" w:lineRule="auto"/>
        <w:ind w:firstLine="709"/>
        <w:jc w:val="both"/>
        <w:rPr>
          <w:rFonts w:ascii="Times New Roman" w:hAnsi="Times New Roman"/>
          <w:b/>
          <w:noProof/>
          <w:sz w:val="26"/>
          <w:szCs w:val="26"/>
          <w:lang w:eastAsia="ru-RU"/>
        </w:rPr>
      </w:pPr>
    </w:p>
    <w:p w:rsidR="004616EA" w:rsidRDefault="004616EA" w:rsidP="00DB70C4">
      <w:pPr>
        <w:spacing w:after="0" w:line="240" w:lineRule="auto"/>
        <w:ind w:firstLine="709"/>
        <w:jc w:val="center"/>
        <w:rPr>
          <w:rFonts w:ascii="Times New Roman" w:hAnsi="Times New Roman"/>
          <w:b/>
          <w:noProof/>
          <w:sz w:val="26"/>
          <w:szCs w:val="26"/>
          <w:lang w:eastAsia="ru-RU"/>
        </w:rPr>
      </w:pPr>
    </w:p>
    <w:p w:rsidR="004616EA" w:rsidRDefault="004616EA" w:rsidP="00DB70C4">
      <w:pPr>
        <w:spacing w:after="0" w:line="240" w:lineRule="auto"/>
        <w:ind w:firstLine="709"/>
        <w:jc w:val="center"/>
        <w:rPr>
          <w:rFonts w:ascii="Times New Roman" w:hAnsi="Times New Roman"/>
          <w:b/>
          <w:noProof/>
          <w:sz w:val="26"/>
          <w:szCs w:val="26"/>
          <w:lang w:eastAsia="ru-RU"/>
        </w:rPr>
      </w:pPr>
    </w:p>
    <w:p w:rsidR="004616EA" w:rsidRDefault="004616EA" w:rsidP="00DB70C4">
      <w:pPr>
        <w:spacing w:after="0" w:line="240" w:lineRule="auto"/>
        <w:ind w:firstLine="709"/>
        <w:jc w:val="center"/>
        <w:rPr>
          <w:rFonts w:ascii="Times New Roman" w:hAnsi="Times New Roman"/>
          <w:b/>
          <w:noProof/>
          <w:sz w:val="26"/>
          <w:szCs w:val="26"/>
          <w:lang w:eastAsia="ru-RU"/>
        </w:rPr>
      </w:pPr>
    </w:p>
    <w:p w:rsidR="004616EA" w:rsidRDefault="004616EA" w:rsidP="00DB70C4">
      <w:pPr>
        <w:spacing w:after="0" w:line="240" w:lineRule="auto"/>
        <w:ind w:firstLine="709"/>
        <w:jc w:val="center"/>
        <w:rPr>
          <w:rFonts w:ascii="Times New Roman" w:hAnsi="Times New Roman"/>
          <w:b/>
          <w:noProof/>
          <w:sz w:val="26"/>
          <w:szCs w:val="26"/>
          <w:lang w:eastAsia="ru-RU"/>
        </w:rPr>
      </w:pPr>
    </w:p>
    <w:p w:rsidR="004616EA" w:rsidRDefault="004616EA" w:rsidP="00DB70C4">
      <w:pPr>
        <w:spacing w:after="0" w:line="240" w:lineRule="auto"/>
        <w:ind w:firstLine="709"/>
        <w:jc w:val="center"/>
        <w:rPr>
          <w:rFonts w:ascii="Times New Roman" w:hAnsi="Times New Roman"/>
          <w:b/>
          <w:noProof/>
          <w:sz w:val="26"/>
          <w:szCs w:val="26"/>
          <w:lang w:eastAsia="ru-RU"/>
        </w:rPr>
      </w:pPr>
    </w:p>
    <w:p w:rsidR="004616EA" w:rsidRPr="00D7787D" w:rsidRDefault="004616EA" w:rsidP="00D7787D">
      <w:pPr>
        <w:spacing w:after="0" w:line="240" w:lineRule="auto"/>
        <w:ind w:firstLine="709"/>
        <w:jc w:val="both"/>
        <w:rPr>
          <w:rFonts w:ascii="Times New Roman" w:hAnsi="Times New Roman"/>
          <w:b/>
          <w:sz w:val="26"/>
          <w:szCs w:val="26"/>
        </w:rPr>
      </w:pPr>
    </w:p>
    <w:p w:rsidR="004616EA" w:rsidRPr="00D7787D" w:rsidRDefault="004616EA" w:rsidP="00D7787D">
      <w:pPr>
        <w:spacing w:after="0" w:line="240" w:lineRule="auto"/>
        <w:ind w:firstLine="709"/>
        <w:jc w:val="both"/>
        <w:rPr>
          <w:rFonts w:ascii="Times New Roman" w:hAnsi="Times New Roman"/>
          <w:sz w:val="26"/>
          <w:szCs w:val="26"/>
        </w:rPr>
      </w:pPr>
    </w:p>
    <w:p w:rsidR="004616EA" w:rsidRPr="00D7787D" w:rsidRDefault="004616EA" w:rsidP="00DB70C4">
      <w:pPr>
        <w:spacing w:after="0" w:line="240" w:lineRule="auto"/>
        <w:ind w:firstLine="709"/>
        <w:jc w:val="center"/>
        <w:rPr>
          <w:rFonts w:ascii="Times New Roman" w:hAnsi="Times New Roman"/>
          <w:caps/>
          <w:sz w:val="26"/>
          <w:szCs w:val="26"/>
        </w:rPr>
      </w:pPr>
      <w:r w:rsidRPr="00D7787D">
        <w:rPr>
          <w:rFonts w:ascii="Times New Roman" w:hAnsi="Times New Roman"/>
          <w:caps/>
          <w:sz w:val="26"/>
          <w:szCs w:val="26"/>
        </w:rPr>
        <w:t>Стратеги</w:t>
      </w:r>
      <w:r>
        <w:rPr>
          <w:rFonts w:ascii="Times New Roman" w:hAnsi="Times New Roman"/>
          <w:caps/>
          <w:sz w:val="26"/>
          <w:szCs w:val="26"/>
        </w:rPr>
        <w:t>я</w:t>
      </w:r>
      <w:r w:rsidRPr="00D7787D">
        <w:rPr>
          <w:rFonts w:ascii="Times New Roman" w:hAnsi="Times New Roman"/>
          <w:caps/>
          <w:sz w:val="26"/>
          <w:szCs w:val="26"/>
        </w:rPr>
        <w:t xml:space="preserve"> социально-экономического развития</w:t>
      </w:r>
    </w:p>
    <w:p w:rsidR="004616EA" w:rsidRPr="00D7787D" w:rsidRDefault="004616EA" w:rsidP="00DB70C4">
      <w:pPr>
        <w:spacing w:after="0" w:line="240" w:lineRule="auto"/>
        <w:ind w:firstLine="709"/>
        <w:jc w:val="center"/>
        <w:rPr>
          <w:rFonts w:ascii="Times New Roman" w:hAnsi="Times New Roman"/>
          <w:caps/>
          <w:sz w:val="26"/>
          <w:szCs w:val="26"/>
        </w:rPr>
      </w:pPr>
      <w:r w:rsidRPr="00D7787D">
        <w:rPr>
          <w:rFonts w:ascii="Times New Roman" w:hAnsi="Times New Roman"/>
          <w:caps/>
          <w:sz w:val="26"/>
          <w:szCs w:val="26"/>
        </w:rPr>
        <w:t>городского округа города Когалыма</w:t>
      </w:r>
    </w:p>
    <w:p w:rsidR="004616EA" w:rsidRPr="00D7787D" w:rsidRDefault="004616EA" w:rsidP="00DB70C4">
      <w:pPr>
        <w:spacing w:after="0" w:line="240" w:lineRule="auto"/>
        <w:ind w:firstLine="709"/>
        <w:jc w:val="center"/>
        <w:rPr>
          <w:rFonts w:ascii="Times New Roman" w:hAnsi="Times New Roman"/>
          <w:caps/>
          <w:sz w:val="26"/>
          <w:szCs w:val="26"/>
        </w:rPr>
      </w:pPr>
      <w:r w:rsidRPr="00D7787D">
        <w:rPr>
          <w:rFonts w:ascii="Times New Roman" w:hAnsi="Times New Roman"/>
          <w:caps/>
          <w:sz w:val="26"/>
          <w:szCs w:val="26"/>
        </w:rPr>
        <w:lastRenderedPageBreak/>
        <w:t>до 2020 года и на период до 2030 года</w:t>
      </w:r>
    </w:p>
    <w:p w:rsidR="004616EA" w:rsidRPr="00D7787D" w:rsidRDefault="004616EA" w:rsidP="00DB70C4">
      <w:pPr>
        <w:spacing w:after="0" w:line="240" w:lineRule="auto"/>
        <w:ind w:firstLine="709"/>
        <w:jc w:val="center"/>
        <w:rPr>
          <w:rFonts w:ascii="Times New Roman" w:hAnsi="Times New Roman"/>
          <w:b/>
          <w:sz w:val="26"/>
          <w:szCs w:val="26"/>
        </w:rPr>
      </w:pPr>
    </w:p>
    <w:p w:rsidR="004616EA" w:rsidRPr="00D7787D" w:rsidRDefault="004616EA" w:rsidP="00D7787D">
      <w:pPr>
        <w:spacing w:after="0" w:line="240" w:lineRule="auto"/>
        <w:ind w:firstLine="709"/>
        <w:jc w:val="both"/>
        <w:rPr>
          <w:rFonts w:ascii="Times New Roman" w:hAnsi="Times New Roman"/>
          <w:b/>
          <w:sz w:val="26"/>
          <w:szCs w:val="26"/>
        </w:rPr>
      </w:pPr>
    </w:p>
    <w:p w:rsidR="004616EA" w:rsidRPr="00D7787D" w:rsidRDefault="004616EA" w:rsidP="00DB70C4">
      <w:pPr>
        <w:spacing w:after="0" w:line="240" w:lineRule="auto"/>
        <w:jc w:val="both"/>
        <w:rPr>
          <w:rFonts w:ascii="Times New Roman" w:hAnsi="Times New Roman"/>
          <w:b/>
          <w:sz w:val="26"/>
          <w:szCs w:val="26"/>
        </w:rPr>
      </w:pPr>
    </w:p>
    <w:p w:rsidR="004616EA" w:rsidRDefault="004616EA" w:rsidP="00D7787D">
      <w:pPr>
        <w:tabs>
          <w:tab w:val="left" w:pos="540"/>
        </w:tabs>
        <w:spacing w:after="0" w:line="240" w:lineRule="auto"/>
        <w:ind w:firstLine="709"/>
        <w:jc w:val="both"/>
        <w:rPr>
          <w:rFonts w:ascii="Times New Roman" w:hAnsi="Times New Roman"/>
          <w:bCs/>
          <w:spacing w:val="4"/>
          <w:sz w:val="26"/>
          <w:szCs w:val="26"/>
        </w:rPr>
      </w:pPr>
    </w:p>
    <w:p w:rsidR="004616EA" w:rsidRDefault="004616EA" w:rsidP="00D7787D">
      <w:pPr>
        <w:tabs>
          <w:tab w:val="left" w:pos="540"/>
        </w:tabs>
        <w:spacing w:after="0" w:line="240" w:lineRule="auto"/>
        <w:ind w:firstLine="709"/>
        <w:jc w:val="both"/>
        <w:rPr>
          <w:rFonts w:ascii="Times New Roman" w:hAnsi="Times New Roman"/>
          <w:bCs/>
          <w:spacing w:val="4"/>
          <w:sz w:val="26"/>
          <w:szCs w:val="26"/>
        </w:rPr>
      </w:pPr>
    </w:p>
    <w:p w:rsidR="004616EA" w:rsidRDefault="004616EA" w:rsidP="00D7787D">
      <w:pPr>
        <w:tabs>
          <w:tab w:val="left" w:pos="540"/>
        </w:tabs>
        <w:spacing w:after="0" w:line="240" w:lineRule="auto"/>
        <w:ind w:firstLine="709"/>
        <w:jc w:val="both"/>
        <w:rPr>
          <w:rFonts w:ascii="Times New Roman" w:hAnsi="Times New Roman"/>
          <w:bCs/>
          <w:spacing w:val="4"/>
          <w:sz w:val="26"/>
          <w:szCs w:val="26"/>
        </w:rPr>
      </w:pPr>
    </w:p>
    <w:p w:rsidR="004616EA" w:rsidRDefault="004616EA" w:rsidP="00D7787D">
      <w:pPr>
        <w:tabs>
          <w:tab w:val="left" w:pos="540"/>
        </w:tabs>
        <w:spacing w:after="0" w:line="240" w:lineRule="auto"/>
        <w:ind w:firstLine="709"/>
        <w:jc w:val="both"/>
        <w:rPr>
          <w:rFonts w:ascii="Times New Roman" w:hAnsi="Times New Roman"/>
          <w:bCs/>
          <w:spacing w:val="4"/>
          <w:sz w:val="26"/>
          <w:szCs w:val="26"/>
        </w:rPr>
      </w:pPr>
    </w:p>
    <w:p w:rsidR="004616EA" w:rsidRDefault="004616EA" w:rsidP="00D7787D">
      <w:pPr>
        <w:tabs>
          <w:tab w:val="left" w:pos="540"/>
        </w:tabs>
        <w:spacing w:after="0" w:line="240" w:lineRule="auto"/>
        <w:ind w:firstLine="709"/>
        <w:jc w:val="both"/>
        <w:rPr>
          <w:rFonts w:ascii="Times New Roman" w:hAnsi="Times New Roman"/>
          <w:bCs/>
          <w:spacing w:val="4"/>
          <w:sz w:val="26"/>
          <w:szCs w:val="26"/>
        </w:rPr>
      </w:pPr>
    </w:p>
    <w:p w:rsidR="004616EA" w:rsidRDefault="004616EA" w:rsidP="00D7787D">
      <w:pPr>
        <w:tabs>
          <w:tab w:val="left" w:pos="540"/>
        </w:tabs>
        <w:spacing w:after="0" w:line="240" w:lineRule="auto"/>
        <w:ind w:firstLine="709"/>
        <w:jc w:val="both"/>
        <w:rPr>
          <w:rFonts w:ascii="Times New Roman" w:hAnsi="Times New Roman"/>
          <w:bCs/>
          <w:spacing w:val="4"/>
          <w:sz w:val="26"/>
          <w:szCs w:val="26"/>
        </w:rPr>
      </w:pPr>
    </w:p>
    <w:p w:rsidR="004616EA" w:rsidRDefault="004616EA" w:rsidP="00D7787D">
      <w:pPr>
        <w:tabs>
          <w:tab w:val="left" w:pos="540"/>
        </w:tabs>
        <w:spacing w:after="0" w:line="240" w:lineRule="auto"/>
        <w:ind w:firstLine="709"/>
        <w:jc w:val="both"/>
        <w:rPr>
          <w:rFonts w:ascii="Times New Roman" w:hAnsi="Times New Roman"/>
          <w:bCs/>
          <w:spacing w:val="4"/>
          <w:sz w:val="26"/>
          <w:szCs w:val="26"/>
        </w:rPr>
      </w:pPr>
    </w:p>
    <w:p w:rsidR="004616EA" w:rsidRDefault="004616EA" w:rsidP="00D7787D">
      <w:pPr>
        <w:tabs>
          <w:tab w:val="left" w:pos="540"/>
        </w:tabs>
        <w:spacing w:after="0" w:line="240" w:lineRule="auto"/>
        <w:ind w:firstLine="709"/>
        <w:jc w:val="both"/>
        <w:rPr>
          <w:rFonts w:ascii="Times New Roman" w:hAnsi="Times New Roman"/>
          <w:bCs/>
          <w:spacing w:val="4"/>
          <w:sz w:val="26"/>
          <w:szCs w:val="26"/>
        </w:rPr>
      </w:pPr>
    </w:p>
    <w:p w:rsidR="004616EA" w:rsidRPr="00D7787D" w:rsidRDefault="004616EA" w:rsidP="00D7787D">
      <w:pPr>
        <w:tabs>
          <w:tab w:val="left" w:pos="540"/>
        </w:tabs>
        <w:spacing w:after="0" w:line="240" w:lineRule="auto"/>
        <w:ind w:firstLine="709"/>
        <w:jc w:val="both"/>
        <w:rPr>
          <w:rFonts w:ascii="Times New Roman" w:hAnsi="Times New Roman"/>
          <w:bCs/>
          <w:spacing w:val="4"/>
          <w:sz w:val="26"/>
          <w:szCs w:val="26"/>
        </w:rPr>
      </w:pPr>
    </w:p>
    <w:p w:rsidR="004616EA" w:rsidRPr="00D7787D" w:rsidRDefault="004616EA" w:rsidP="00D7787D">
      <w:pPr>
        <w:tabs>
          <w:tab w:val="left" w:pos="540"/>
        </w:tabs>
        <w:spacing w:after="0" w:line="240" w:lineRule="auto"/>
        <w:ind w:firstLine="709"/>
        <w:jc w:val="both"/>
        <w:rPr>
          <w:rFonts w:ascii="Times New Roman" w:hAnsi="Times New Roman"/>
          <w:bCs/>
          <w:spacing w:val="4"/>
          <w:sz w:val="26"/>
          <w:szCs w:val="26"/>
        </w:rPr>
      </w:pPr>
    </w:p>
    <w:p w:rsidR="004616EA" w:rsidRPr="00D7787D" w:rsidRDefault="004616EA" w:rsidP="00D7787D">
      <w:pPr>
        <w:spacing w:after="0" w:line="240" w:lineRule="auto"/>
        <w:ind w:firstLine="709"/>
        <w:jc w:val="both"/>
        <w:rPr>
          <w:rFonts w:ascii="Times New Roman" w:hAnsi="Times New Roman"/>
          <w:sz w:val="26"/>
          <w:szCs w:val="26"/>
        </w:rPr>
      </w:pPr>
    </w:p>
    <w:p w:rsidR="004616EA" w:rsidRPr="00D7787D" w:rsidRDefault="004616EA" w:rsidP="00D7787D">
      <w:pPr>
        <w:spacing w:after="0" w:line="240" w:lineRule="auto"/>
        <w:ind w:firstLine="709"/>
        <w:jc w:val="both"/>
        <w:rPr>
          <w:rFonts w:ascii="Times New Roman" w:hAnsi="Times New Roman"/>
          <w:sz w:val="26"/>
          <w:szCs w:val="26"/>
        </w:rPr>
      </w:pPr>
    </w:p>
    <w:p w:rsidR="004616EA" w:rsidRPr="00D7787D" w:rsidRDefault="004616EA" w:rsidP="00D7787D">
      <w:pPr>
        <w:spacing w:after="0" w:line="240" w:lineRule="auto"/>
        <w:ind w:firstLine="709"/>
        <w:jc w:val="both"/>
        <w:rPr>
          <w:rFonts w:ascii="Times New Roman" w:hAnsi="Times New Roman"/>
          <w:sz w:val="26"/>
          <w:szCs w:val="26"/>
        </w:rPr>
      </w:pPr>
    </w:p>
    <w:p w:rsidR="004616EA" w:rsidRPr="00D7787D" w:rsidRDefault="004616EA" w:rsidP="00D7787D">
      <w:pPr>
        <w:spacing w:after="0" w:line="240" w:lineRule="auto"/>
        <w:ind w:firstLine="709"/>
        <w:jc w:val="both"/>
        <w:rPr>
          <w:rFonts w:ascii="Times New Roman" w:hAnsi="Times New Roman"/>
          <w:sz w:val="26"/>
          <w:szCs w:val="26"/>
        </w:rPr>
      </w:pPr>
    </w:p>
    <w:p w:rsidR="004616EA" w:rsidRDefault="004616EA" w:rsidP="00D7787D">
      <w:pPr>
        <w:spacing w:after="0" w:line="240" w:lineRule="auto"/>
        <w:ind w:firstLine="709"/>
        <w:jc w:val="both"/>
        <w:rPr>
          <w:rFonts w:ascii="Times New Roman" w:hAnsi="Times New Roman"/>
          <w:sz w:val="26"/>
          <w:szCs w:val="26"/>
        </w:rPr>
      </w:pPr>
    </w:p>
    <w:p w:rsidR="004616EA" w:rsidRDefault="004616EA" w:rsidP="00D7787D">
      <w:pPr>
        <w:spacing w:after="0" w:line="240" w:lineRule="auto"/>
        <w:ind w:firstLine="709"/>
        <w:jc w:val="both"/>
        <w:rPr>
          <w:rFonts w:ascii="Times New Roman" w:hAnsi="Times New Roman"/>
          <w:sz w:val="26"/>
          <w:szCs w:val="26"/>
        </w:rPr>
      </w:pPr>
    </w:p>
    <w:p w:rsidR="004616EA" w:rsidRDefault="004616EA" w:rsidP="00D7787D">
      <w:pPr>
        <w:spacing w:after="0" w:line="240" w:lineRule="auto"/>
        <w:ind w:firstLine="709"/>
        <w:jc w:val="both"/>
        <w:rPr>
          <w:rFonts w:ascii="Times New Roman" w:hAnsi="Times New Roman"/>
          <w:sz w:val="26"/>
          <w:szCs w:val="26"/>
        </w:rPr>
      </w:pPr>
    </w:p>
    <w:p w:rsidR="004616EA" w:rsidRDefault="004616EA" w:rsidP="00D7787D">
      <w:pPr>
        <w:spacing w:after="0" w:line="240" w:lineRule="auto"/>
        <w:ind w:firstLine="709"/>
        <w:jc w:val="both"/>
        <w:rPr>
          <w:rFonts w:ascii="Times New Roman" w:hAnsi="Times New Roman"/>
          <w:sz w:val="26"/>
          <w:szCs w:val="26"/>
        </w:rPr>
      </w:pPr>
    </w:p>
    <w:p w:rsidR="004616EA" w:rsidRDefault="004616EA" w:rsidP="00DB70C4">
      <w:pPr>
        <w:spacing w:after="0" w:line="240" w:lineRule="auto"/>
        <w:ind w:firstLine="709"/>
        <w:jc w:val="center"/>
        <w:rPr>
          <w:rFonts w:ascii="Times New Roman" w:hAnsi="Times New Roman"/>
          <w:sz w:val="24"/>
          <w:szCs w:val="24"/>
        </w:rPr>
      </w:pPr>
    </w:p>
    <w:p w:rsidR="004616EA" w:rsidRDefault="004616EA" w:rsidP="00DB70C4">
      <w:pPr>
        <w:spacing w:after="0" w:line="240" w:lineRule="auto"/>
        <w:ind w:firstLine="709"/>
        <w:jc w:val="center"/>
        <w:rPr>
          <w:rFonts w:ascii="Times New Roman" w:hAnsi="Times New Roman"/>
          <w:sz w:val="24"/>
          <w:szCs w:val="24"/>
        </w:rPr>
      </w:pPr>
    </w:p>
    <w:p w:rsidR="004616EA" w:rsidRDefault="004616EA" w:rsidP="00DB70C4">
      <w:pPr>
        <w:spacing w:after="0" w:line="240" w:lineRule="auto"/>
        <w:ind w:firstLine="709"/>
        <w:jc w:val="center"/>
        <w:rPr>
          <w:rFonts w:ascii="Times New Roman" w:hAnsi="Times New Roman"/>
          <w:sz w:val="24"/>
          <w:szCs w:val="24"/>
        </w:rPr>
      </w:pPr>
    </w:p>
    <w:p w:rsidR="004616EA" w:rsidRDefault="004616EA" w:rsidP="00DB70C4">
      <w:pPr>
        <w:spacing w:after="0" w:line="240" w:lineRule="auto"/>
        <w:ind w:firstLine="709"/>
        <w:jc w:val="center"/>
        <w:rPr>
          <w:rFonts w:ascii="Times New Roman" w:hAnsi="Times New Roman"/>
          <w:sz w:val="24"/>
          <w:szCs w:val="24"/>
        </w:rPr>
      </w:pPr>
    </w:p>
    <w:p w:rsidR="004616EA" w:rsidRDefault="004616EA" w:rsidP="00DB70C4">
      <w:pPr>
        <w:spacing w:after="0" w:line="240" w:lineRule="auto"/>
        <w:ind w:firstLine="709"/>
        <w:jc w:val="center"/>
        <w:rPr>
          <w:rFonts w:ascii="Times New Roman" w:hAnsi="Times New Roman"/>
          <w:sz w:val="24"/>
          <w:szCs w:val="24"/>
        </w:rPr>
      </w:pPr>
    </w:p>
    <w:p w:rsidR="004616EA" w:rsidRDefault="004616EA" w:rsidP="00DB70C4">
      <w:pPr>
        <w:spacing w:after="0" w:line="240" w:lineRule="auto"/>
        <w:ind w:firstLine="709"/>
        <w:jc w:val="center"/>
        <w:rPr>
          <w:rFonts w:ascii="Times New Roman" w:hAnsi="Times New Roman"/>
          <w:sz w:val="24"/>
          <w:szCs w:val="24"/>
        </w:rPr>
      </w:pPr>
    </w:p>
    <w:p w:rsidR="004616EA" w:rsidRPr="00475E67" w:rsidRDefault="004616EA" w:rsidP="00DB70C4">
      <w:pPr>
        <w:spacing w:after="0" w:line="240" w:lineRule="auto"/>
        <w:ind w:firstLine="709"/>
        <w:jc w:val="center"/>
        <w:rPr>
          <w:rFonts w:ascii="Times New Roman" w:hAnsi="Times New Roman"/>
          <w:sz w:val="24"/>
          <w:szCs w:val="24"/>
        </w:rPr>
      </w:pPr>
    </w:p>
    <w:p w:rsidR="004616EA" w:rsidRPr="00D7787D" w:rsidRDefault="004616EA" w:rsidP="00DB70C4">
      <w:pPr>
        <w:spacing w:after="0" w:line="240" w:lineRule="auto"/>
        <w:ind w:firstLine="709"/>
        <w:jc w:val="center"/>
        <w:rPr>
          <w:rFonts w:ascii="Times New Roman" w:hAnsi="Times New Roman"/>
          <w:sz w:val="26"/>
          <w:szCs w:val="26"/>
        </w:rPr>
      </w:pPr>
      <w:r>
        <w:rPr>
          <w:rFonts w:ascii="Times New Roman" w:hAnsi="Times New Roman"/>
          <w:sz w:val="26"/>
          <w:szCs w:val="26"/>
        </w:rPr>
        <w:t>Когалым</w:t>
      </w:r>
      <w:r w:rsidRPr="00D7787D">
        <w:rPr>
          <w:rFonts w:ascii="Times New Roman" w:hAnsi="Times New Roman"/>
          <w:sz w:val="26"/>
          <w:szCs w:val="26"/>
        </w:rPr>
        <w:t xml:space="preserve"> </w:t>
      </w:r>
      <w:smartTag w:uri="urn:schemas-microsoft-com:office:smarttags" w:element="metricconverter">
        <w:smartTagPr>
          <w:attr w:name="ProductID" w:val="2014 г"/>
        </w:smartTagPr>
        <w:r w:rsidRPr="00D7787D">
          <w:rPr>
            <w:rFonts w:ascii="Times New Roman" w:hAnsi="Times New Roman"/>
            <w:sz w:val="26"/>
            <w:szCs w:val="26"/>
          </w:rPr>
          <w:t>2014 г</w:t>
        </w:r>
      </w:smartTag>
      <w:r w:rsidRPr="00D7787D">
        <w:rPr>
          <w:rFonts w:ascii="Times New Roman" w:hAnsi="Times New Roman"/>
          <w:sz w:val="26"/>
          <w:szCs w:val="26"/>
        </w:rPr>
        <w:t>.</w:t>
      </w:r>
    </w:p>
    <w:p w:rsidR="004616EA" w:rsidRPr="00475E67" w:rsidRDefault="004616EA" w:rsidP="007927E1">
      <w:pPr>
        <w:jc w:val="center"/>
        <w:rPr>
          <w:rFonts w:ascii="Times New Roman" w:hAnsi="Times New Roman"/>
          <w:sz w:val="24"/>
          <w:szCs w:val="24"/>
        </w:rPr>
        <w:sectPr w:rsidR="004616EA" w:rsidRPr="00475E67" w:rsidSect="002D1208">
          <w:footerReference w:type="even" r:id="rId7"/>
          <w:footerReference w:type="default" r:id="rId8"/>
          <w:pgSz w:w="11906" w:h="16838"/>
          <w:pgMar w:top="1134" w:right="567" w:bottom="1134" w:left="2552" w:header="709" w:footer="709" w:gutter="0"/>
          <w:pgNumType w:start="3"/>
          <w:cols w:space="708"/>
          <w:docGrid w:linePitch="360"/>
        </w:sectPr>
      </w:pPr>
    </w:p>
    <w:p w:rsidR="004616EA" w:rsidRPr="00475E67" w:rsidRDefault="004616EA" w:rsidP="00630CA8">
      <w:pPr>
        <w:spacing w:after="0" w:line="240" w:lineRule="auto"/>
        <w:jc w:val="center"/>
        <w:rPr>
          <w:rStyle w:val="a4"/>
          <w:b/>
          <w:noProof/>
          <w:color w:val="auto"/>
          <w:sz w:val="24"/>
          <w:szCs w:val="24"/>
          <w:u w:val="none"/>
        </w:rPr>
      </w:pPr>
      <w:r w:rsidRPr="00475E67">
        <w:rPr>
          <w:rStyle w:val="a4"/>
          <w:noProof/>
          <w:color w:val="auto"/>
          <w:sz w:val="24"/>
          <w:szCs w:val="24"/>
          <w:u w:val="none"/>
        </w:rPr>
        <w:lastRenderedPageBreak/>
        <w:t>СОДЕРЖАНИЕ:</w:t>
      </w:r>
    </w:p>
    <w:p w:rsidR="004616EA" w:rsidRPr="007B21FB" w:rsidRDefault="004616EA" w:rsidP="00DB70C4">
      <w:pPr>
        <w:pStyle w:val="11"/>
        <w:rPr>
          <w:rFonts w:ascii="Times New Roman" w:hAnsi="Times New Roman"/>
          <w:color w:val="auto"/>
        </w:rPr>
      </w:pPr>
      <w:r w:rsidRPr="007B21FB">
        <w:rPr>
          <w:rFonts w:ascii="Times New Roman" w:hAnsi="Times New Roman"/>
        </w:rPr>
        <w:fldChar w:fldCharType="begin"/>
      </w:r>
      <w:r w:rsidRPr="007B21FB">
        <w:rPr>
          <w:rFonts w:ascii="Times New Roman" w:hAnsi="Times New Roman"/>
        </w:rPr>
        <w:instrText xml:space="preserve"> TOC \o "1-3" \h \z \u </w:instrText>
      </w:r>
      <w:r w:rsidRPr="007B21FB">
        <w:rPr>
          <w:rFonts w:ascii="Times New Roman" w:hAnsi="Times New Roman"/>
        </w:rPr>
        <w:fldChar w:fldCharType="separate"/>
      </w:r>
      <w:hyperlink w:anchor="_Toc405805481" w:history="1">
        <w:r w:rsidRPr="007B21FB">
          <w:rPr>
            <w:rStyle w:val="a4"/>
            <w:color w:val="auto"/>
          </w:rPr>
          <w:t>1 Основы разработки Стратегии социально-экономического развития городского округа город Когалым</w:t>
        </w:r>
        <w:r w:rsidRPr="007B21FB">
          <w:rPr>
            <w:rFonts w:ascii="Times New Roman" w:hAnsi="Times New Roman"/>
            <w:webHidden/>
            <w:color w:val="auto"/>
          </w:rPr>
          <w:tab/>
        </w:r>
        <w:r w:rsidRPr="007B21FB">
          <w:rPr>
            <w:rFonts w:ascii="Times New Roman" w:hAnsi="Times New Roman"/>
            <w:webHidden/>
            <w:color w:val="auto"/>
          </w:rPr>
          <w:fldChar w:fldCharType="begin"/>
        </w:r>
        <w:r w:rsidRPr="007B21FB">
          <w:rPr>
            <w:rFonts w:ascii="Times New Roman" w:hAnsi="Times New Roman"/>
            <w:webHidden/>
            <w:color w:val="auto"/>
          </w:rPr>
          <w:instrText xml:space="preserve"> PAGEREF _Toc405805481 \h </w:instrText>
        </w:r>
        <w:r w:rsidRPr="007B21FB">
          <w:rPr>
            <w:rFonts w:ascii="Times New Roman" w:hAnsi="Times New Roman"/>
            <w:webHidden/>
            <w:color w:val="auto"/>
          </w:rPr>
        </w:r>
        <w:r w:rsidRPr="007B21FB">
          <w:rPr>
            <w:rFonts w:ascii="Times New Roman" w:hAnsi="Times New Roman"/>
            <w:webHidden/>
            <w:color w:val="auto"/>
          </w:rPr>
          <w:fldChar w:fldCharType="separate"/>
        </w:r>
        <w:r w:rsidR="001977F4">
          <w:rPr>
            <w:rFonts w:ascii="Times New Roman" w:hAnsi="Times New Roman"/>
            <w:webHidden/>
            <w:color w:val="auto"/>
          </w:rPr>
          <w:t>7</w:t>
        </w:r>
        <w:r w:rsidRPr="007B21FB">
          <w:rPr>
            <w:rFonts w:ascii="Times New Roman" w:hAnsi="Times New Roman"/>
            <w:webHidden/>
            <w:color w:val="auto"/>
          </w:rPr>
          <w:fldChar w:fldCharType="end"/>
        </w:r>
      </w:hyperlink>
    </w:p>
    <w:p w:rsidR="004616EA" w:rsidRPr="007B21FB" w:rsidRDefault="00574C05" w:rsidP="00DB70C4">
      <w:pPr>
        <w:pStyle w:val="11"/>
        <w:rPr>
          <w:rFonts w:ascii="Times New Roman" w:hAnsi="Times New Roman"/>
          <w:color w:val="auto"/>
        </w:rPr>
      </w:pPr>
      <w:hyperlink w:anchor="_Toc405805482" w:history="1">
        <w:r w:rsidR="004616EA" w:rsidRPr="007B21FB">
          <w:rPr>
            <w:rStyle w:val="a4"/>
            <w:color w:val="auto"/>
          </w:rPr>
          <w:t>2 Комплексный анализ социально-экономического положения городского округа город Когалым</w:t>
        </w:r>
        <w:r w:rsidR="004616EA" w:rsidRPr="007B21FB">
          <w:rPr>
            <w:rFonts w:ascii="Times New Roman" w:hAnsi="Times New Roman"/>
            <w:webHidden/>
            <w:color w:val="auto"/>
          </w:rPr>
          <w:tab/>
        </w:r>
        <w:r w:rsidR="004616EA" w:rsidRPr="007B21FB">
          <w:rPr>
            <w:rFonts w:ascii="Times New Roman" w:hAnsi="Times New Roman"/>
            <w:webHidden/>
            <w:color w:val="auto"/>
          </w:rPr>
          <w:fldChar w:fldCharType="begin"/>
        </w:r>
        <w:r w:rsidR="004616EA" w:rsidRPr="007B21FB">
          <w:rPr>
            <w:rFonts w:ascii="Times New Roman" w:hAnsi="Times New Roman"/>
            <w:webHidden/>
            <w:color w:val="auto"/>
          </w:rPr>
          <w:instrText xml:space="preserve"> PAGEREF _Toc405805482 \h </w:instrText>
        </w:r>
        <w:r w:rsidR="004616EA" w:rsidRPr="007B21FB">
          <w:rPr>
            <w:rFonts w:ascii="Times New Roman" w:hAnsi="Times New Roman"/>
            <w:webHidden/>
            <w:color w:val="auto"/>
          </w:rPr>
        </w:r>
        <w:r w:rsidR="004616EA" w:rsidRPr="007B21FB">
          <w:rPr>
            <w:rFonts w:ascii="Times New Roman" w:hAnsi="Times New Roman"/>
            <w:webHidden/>
            <w:color w:val="auto"/>
          </w:rPr>
          <w:fldChar w:fldCharType="separate"/>
        </w:r>
        <w:r w:rsidR="001977F4">
          <w:rPr>
            <w:rFonts w:ascii="Times New Roman" w:hAnsi="Times New Roman"/>
            <w:webHidden/>
            <w:color w:val="auto"/>
          </w:rPr>
          <w:t>10</w:t>
        </w:r>
        <w:r w:rsidR="004616EA" w:rsidRPr="007B21FB">
          <w:rPr>
            <w:rFonts w:ascii="Times New Roman" w:hAnsi="Times New Roman"/>
            <w:webHidden/>
            <w:color w:val="auto"/>
          </w:rPr>
          <w:fldChar w:fldCharType="end"/>
        </w:r>
      </w:hyperlink>
    </w:p>
    <w:p w:rsidR="004616EA" w:rsidRPr="007B21FB" w:rsidRDefault="00574C05" w:rsidP="00DB70C4">
      <w:pPr>
        <w:pStyle w:val="31"/>
        <w:rPr>
          <w:rFonts w:ascii="Times New Roman" w:hAnsi="Times New Roman"/>
          <w:noProof/>
          <w:lang w:eastAsia="ru-RU"/>
        </w:rPr>
      </w:pPr>
      <w:hyperlink w:anchor="_Toc405805483" w:history="1">
        <w:r w:rsidR="004616EA" w:rsidRPr="007B21FB">
          <w:rPr>
            <w:rStyle w:val="a4"/>
            <w:noProof/>
            <w:color w:val="auto"/>
            <w:sz w:val="24"/>
            <w:szCs w:val="24"/>
          </w:rPr>
          <w:t>2.1 Природно-ресурсный потенциал и экологическое состояние территории</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_Toc405805483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10</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485" w:history="1">
        <w:r w:rsidR="004616EA" w:rsidRPr="007B21FB">
          <w:rPr>
            <w:rStyle w:val="a4"/>
            <w:noProof/>
            <w:color w:val="auto"/>
            <w:sz w:val="24"/>
            <w:szCs w:val="24"/>
          </w:rPr>
          <w:t>2.2 Демографическое положение, рынок труда и уровень жизни населения</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_Toc405805485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11</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486" w:history="1">
        <w:r w:rsidR="004616EA" w:rsidRPr="007B21FB">
          <w:rPr>
            <w:rStyle w:val="a4"/>
            <w:noProof/>
            <w:color w:val="auto"/>
            <w:sz w:val="24"/>
            <w:szCs w:val="24"/>
          </w:rPr>
          <w:t>2.3 Реальный сектор экономики</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_Toc405805486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19</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487" w:history="1">
        <w:r w:rsidR="004616EA" w:rsidRPr="007B21FB">
          <w:rPr>
            <w:rStyle w:val="a4"/>
            <w:noProof/>
            <w:color w:val="auto"/>
            <w:sz w:val="24"/>
            <w:szCs w:val="24"/>
          </w:rPr>
          <w:t>2.4 Развитие потребительского рынка</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_Toc405805487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23</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488" w:history="1">
        <w:r w:rsidR="004616EA" w:rsidRPr="007B21FB">
          <w:rPr>
            <w:rStyle w:val="a4"/>
            <w:noProof/>
            <w:color w:val="auto"/>
            <w:sz w:val="24"/>
            <w:szCs w:val="24"/>
          </w:rPr>
          <w:t>2.5 Уровень развития жилищной сферы и социальной инфраструктуры</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_Toc405805488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26</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489" w:history="1">
        <w:r w:rsidR="004616EA" w:rsidRPr="007B21FB">
          <w:rPr>
            <w:rStyle w:val="a4"/>
            <w:noProof/>
            <w:color w:val="auto"/>
            <w:sz w:val="24"/>
            <w:szCs w:val="24"/>
          </w:rPr>
          <w:t>2.5.1 Уровень развития жилищной сферы</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_Toc405805489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26</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490" w:history="1">
        <w:r w:rsidR="004616EA" w:rsidRPr="007B21FB">
          <w:rPr>
            <w:rStyle w:val="a4"/>
            <w:noProof/>
            <w:color w:val="auto"/>
            <w:sz w:val="24"/>
            <w:szCs w:val="24"/>
          </w:rPr>
          <w:t>2.5.2 Уровень развития социальной инфраструктуры</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_Toc405805490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31</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491" w:history="1">
        <w:r w:rsidR="004616EA" w:rsidRPr="007B21FB">
          <w:rPr>
            <w:rStyle w:val="a4"/>
            <w:noProof/>
            <w:color w:val="auto"/>
            <w:sz w:val="24"/>
            <w:szCs w:val="24"/>
          </w:rPr>
          <w:t>2.6 Уровень развития инженерной инфраструктуры</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_Toc405805491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43</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492" w:history="1">
        <w:r w:rsidR="004616EA" w:rsidRPr="007B21FB">
          <w:rPr>
            <w:rStyle w:val="a4"/>
            <w:noProof/>
            <w:color w:val="auto"/>
            <w:sz w:val="24"/>
            <w:szCs w:val="24"/>
            <w:lang w:eastAsia="ru-RU"/>
          </w:rPr>
          <w:t>2.6.1 Водоснабжение</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_Toc405805492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43</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493" w:history="1">
        <w:r w:rsidR="004616EA" w:rsidRPr="007B21FB">
          <w:rPr>
            <w:rStyle w:val="a4"/>
            <w:noProof/>
            <w:color w:val="auto"/>
            <w:sz w:val="24"/>
            <w:szCs w:val="24"/>
            <w:lang w:eastAsia="ru-RU"/>
          </w:rPr>
          <w:t>2.6.2 Водоотведение (канализация)</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_Toc405805493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45</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494" w:history="1">
        <w:r w:rsidR="004616EA" w:rsidRPr="007B21FB">
          <w:rPr>
            <w:rStyle w:val="a4"/>
            <w:noProof/>
            <w:color w:val="auto"/>
            <w:sz w:val="24"/>
            <w:szCs w:val="24"/>
            <w:lang w:eastAsia="ru-RU"/>
          </w:rPr>
          <w:t>2.6.3 Теплоснабжение</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_Toc405805494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46</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495" w:history="1">
        <w:r w:rsidR="004616EA" w:rsidRPr="007B21FB">
          <w:rPr>
            <w:rStyle w:val="a4"/>
            <w:noProof/>
            <w:color w:val="auto"/>
            <w:sz w:val="24"/>
            <w:szCs w:val="24"/>
            <w:lang w:eastAsia="ru-RU"/>
          </w:rPr>
          <w:t>2.6.4 Газоснабжение</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_Toc405805495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47</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496" w:history="1">
        <w:r w:rsidR="004616EA" w:rsidRPr="007B21FB">
          <w:rPr>
            <w:rStyle w:val="a4"/>
            <w:noProof/>
            <w:color w:val="auto"/>
            <w:sz w:val="24"/>
            <w:szCs w:val="24"/>
            <w:lang w:eastAsia="ru-RU"/>
          </w:rPr>
          <w:t>2.6.5 Связь и информатизация</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_Toc405805496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48</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497" w:history="1">
        <w:r w:rsidR="004616EA" w:rsidRPr="007B21FB">
          <w:rPr>
            <w:rStyle w:val="a4"/>
            <w:noProof/>
            <w:color w:val="auto"/>
            <w:sz w:val="24"/>
            <w:szCs w:val="24"/>
            <w:lang w:eastAsia="ru-RU"/>
          </w:rPr>
          <w:t>2.6.6 Электроснабжение</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_Toc405805497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48</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498" w:history="1">
        <w:r w:rsidR="004616EA" w:rsidRPr="007B21FB">
          <w:rPr>
            <w:rStyle w:val="a4"/>
            <w:noProof/>
            <w:color w:val="auto"/>
            <w:sz w:val="24"/>
            <w:szCs w:val="24"/>
          </w:rPr>
          <w:t>2.7 Уровень развития транспортной инфраструктуры</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_Toc405805498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49</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499" w:history="1">
        <w:r w:rsidR="004616EA" w:rsidRPr="007B21FB">
          <w:rPr>
            <w:rStyle w:val="a4"/>
            <w:noProof/>
            <w:color w:val="auto"/>
            <w:sz w:val="24"/>
            <w:szCs w:val="24"/>
          </w:rPr>
          <w:t>2.8 Пространственное развитие территории</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_Toc405805499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51</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500" w:history="1">
        <w:r w:rsidR="004616EA" w:rsidRPr="007B21FB">
          <w:rPr>
            <w:rStyle w:val="a4"/>
            <w:noProof/>
            <w:color w:val="auto"/>
            <w:sz w:val="24"/>
            <w:szCs w:val="24"/>
          </w:rPr>
          <w:t>2.9 Муниципальные финансы и межбюджетные отношения</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_Toc405805500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53</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501" w:history="1">
        <w:r w:rsidR="004616EA" w:rsidRPr="007B21FB">
          <w:rPr>
            <w:rStyle w:val="a4"/>
            <w:noProof/>
            <w:color w:val="auto"/>
            <w:sz w:val="24"/>
            <w:szCs w:val="24"/>
          </w:rPr>
          <w:t>2.10 Анализ эффективности деятельности органов местного самоуправления</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_Toc405805501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59</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502" w:history="1">
        <w:r w:rsidR="004616EA" w:rsidRPr="007B21FB">
          <w:rPr>
            <w:rStyle w:val="a4"/>
            <w:noProof/>
            <w:color w:val="auto"/>
            <w:sz w:val="24"/>
            <w:szCs w:val="24"/>
          </w:rPr>
          <w:t>2.11 Историко-культурный потенциал территории</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_Toc405805502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65</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503" w:history="1">
        <w:r w:rsidR="004616EA" w:rsidRPr="007B21FB">
          <w:rPr>
            <w:rStyle w:val="a4"/>
            <w:noProof/>
            <w:color w:val="auto"/>
            <w:sz w:val="24"/>
            <w:szCs w:val="24"/>
          </w:rPr>
          <w:t>2.12 Анализ развития малого и среднего предпринимательства</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_Toc405805503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66</w:t>
        </w:r>
        <w:r w:rsidR="004616EA" w:rsidRPr="007B21FB">
          <w:rPr>
            <w:rFonts w:ascii="Times New Roman" w:hAnsi="Times New Roman"/>
            <w:noProof/>
            <w:webHidden/>
          </w:rPr>
          <w:fldChar w:fldCharType="end"/>
        </w:r>
      </w:hyperlink>
    </w:p>
    <w:p w:rsidR="004616EA" w:rsidRPr="007B21FB" w:rsidRDefault="00574C05" w:rsidP="00DB70C4">
      <w:pPr>
        <w:pStyle w:val="11"/>
        <w:rPr>
          <w:rFonts w:ascii="Times New Roman" w:hAnsi="Times New Roman"/>
          <w:color w:val="auto"/>
        </w:rPr>
      </w:pPr>
      <w:hyperlink w:anchor="_Toc405805504" w:history="1">
        <w:r w:rsidR="004616EA" w:rsidRPr="007B21FB">
          <w:rPr>
            <w:rStyle w:val="a4"/>
            <w:color w:val="auto"/>
          </w:rPr>
          <w:t>3 Внешние условия и факторы развития городского округа город Когалым</w:t>
        </w:r>
        <w:r w:rsidR="004616EA" w:rsidRPr="007B21FB">
          <w:rPr>
            <w:rFonts w:ascii="Times New Roman" w:hAnsi="Times New Roman"/>
            <w:webHidden/>
            <w:color w:val="auto"/>
          </w:rPr>
          <w:tab/>
        </w:r>
        <w:r w:rsidR="004616EA" w:rsidRPr="007B21FB">
          <w:rPr>
            <w:rFonts w:ascii="Times New Roman" w:hAnsi="Times New Roman"/>
            <w:webHidden/>
            <w:color w:val="auto"/>
          </w:rPr>
          <w:fldChar w:fldCharType="begin"/>
        </w:r>
        <w:r w:rsidR="004616EA" w:rsidRPr="007B21FB">
          <w:rPr>
            <w:rFonts w:ascii="Times New Roman" w:hAnsi="Times New Roman"/>
            <w:webHidden/>
            <w:color w:val="auto"/>
          </w:rPr>
          <w:instrText xml:space="preserve"> PAGEREF _Toc405805504 \h </w:instrText>
        </w:r>
        <w:r w:rsidR="004616EA" w:rsidRPr="007B21FB">
          <w:rPr>
            <w:rFonts w:ascii="Times New Roman" w:hAnsi="Times New Roman"/>
            <w:webHidden/>
            <w:color w:val="auto"/>
          </w:rPr>
        </w:r>
        <w:r w:rsidR="004616EA" w:rsidRPr="007B21FB">
          <w:rPr>
            <w:rFonts w:ascii="Times New Roman" w:hAnsi="Times New Roman"/>
            <w:webHidden/>
            <w:color w:val="auto"/>
          </w:rPr>
          <w:fldChar w:fldCharType="separate"/>
        </w:r>
        <w:r w:rsidR="001977F4">
          <w:rPr>
            <w:rFonts w:ascii="Times New Roman" w:hAnsi="Times New Roman"/>
            <w:webHidden/>
            <w:color w:val="auto"/>
          </w:rPr>
          <w:t>69</w:t>
        </w:r>
        <w:r w:rsidR="004616EA" w:rsidRPr="007B21FB">
          <w:rPr>
            <w:rFonts w:ascii="Times New Roman" w:hAnsi="Times New Roman"/>
            <w:webHidden/>
            <w:color w:val="auto"/>
          </w:rPr>
          <w:fldChar w:fldCharType="end"/>
        </w:r>
      </w:hyperlink>
    </w:p>
    <w:p w:rsidR="004616EA" w:rsidRPr="007B21FB" w:rsidRDefault="00574C05" w:rsidP="00DB70C4">
      <w:pPr>
        <w:pStyle w:val="31"/>
        <w:rPr>
          <w:rFonts w:ascii="Times New Roman" w:hAnsi="Times New Roman"/>
          <w:noProof/>
          <w:lang w:eastAsia="ru-RU"/>
        </w:rPr>
      </w:pPr>
      <w:hyperlink w:anchor="_Toc405805505" w:history="1">
        <w:r w:rsidR="004616EA" w:rsidRPr="007B21FB">
          <w:rPr>
            <w:rStyle w:val="a4"/>
            <w:noProof/>
            <w:color w:val="auto"/>
            <w:sz w:val="24"/>
            <w:szCs w:val="24"/>
          </w:rPr>
          <w:t>3.1 Условия развития приоритетных видов производственной деятельности</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_Toc405805505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69</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506" w:history="1">
        <w:r w:rsidR="004616EA" w:rsidRPr="007B21FB">
          <w:rPr>
            <w:rStyle w:val="a4"/>
            <w:noProof/>
            <w:color w:val="auto"/>
            <w:sz w:val="24"/>
            <w:szCs w:val="24"/>
          </w:rPr>
          <w:t>3.1.1 Конъюнктура отраслевых рынков товаров и услуг</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_Toc405805506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69</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507" w:history="1">
        <w:r w:rsidR="004616EA" w:rsidRPr="007B21FB">
          <w:rPr>
            <w:rStyle w:val="a4"/>
            <w:noProof/>
            <w:color w:val="auto"/>
            <w:sz w:val="24"/>
            <w:szCs w:val="24"/>
          </w:rPr>
          <w:t>3.1.2 Развитие территориальных производственных кластеров</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_Toc405805507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89</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508" w:history="1">
        <w:r w:rsidR="004616EA" w:rsidRPr="007B21FB">
          <w:rPr>
            <w:rStyle w:val="a4"/>
            <w:noProof/>
            <w:color w:val="auto"/>
            <w:sz w:val="24"/>
            <w:szCs w:val="24"/>
          </w:rPr>
          <w:t>3.2 Место города в региональной системе расселения</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_Toc405805508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98</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509" w:history="1">
        <w:r w:rsidR="004616EA" w:rsidRPr="007B21FB">
          <w:rPr>
            <w:rStyle w:val="a4"/>
            <w:noProof/>
            <w:color w:val="auto"/>
            <w:sz w:val="24"/>
            <w:szCs w:val="24"/>
          </w:rPr>
          <w:t>3.3 Доступ к инвестиционным ресурсам</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_Toc405805509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102</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510" w:history="1">
        <w:r w:rsidR="004616EA" w:rsidRPr="007B21FB">
          <w:rPr>
            <w:rStyle w:val="a4"/>
            <w:noProof/>
            <w:color w:val="auto"/>
            <w:sz w:val="24"/>
            <w:szCs w:val="24"/>
          </w:rPr>
          <w:t>3.4 Сравнительный анализ конкурентных преимуществ территории</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_Toc405805510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107</w:t>
        </w:r>
        <w:r w:rsidR="004616EA" w:rsidRPr="007B21FB">
          <w:rPr>
            <w:rFonts w:ascii="Times New Roman" w:hAnsi="Times New Roman"/>
            <w:noProof/>
            <w:webHidden/>
          </w:rPr>
          <w:fldChar w:fldCharType="end"/>
        </w:r>
      </w:hyperlink>
    </w:p>
    <w:p w:rsidR="004616EA" w:rsidRPr="007B21FB" w:rsidRDefault="00574C05" w:rsidP="00DB70C4">
      <w:pPr>
        <w:pStyle w:val="11"/>
        <w:rPr>
          <w:rFonts w:ascii="Times New Roman" w:hAnsi="Times New Roman"/>
          <w:color w:val="auto"/>
        </w:rPr>
      </w:pPr>
      <w:hyperlink w:anchor="_Toc405805511" w:history="1">
        <w:r w:rsidR="004616EA" w:rsidRPr="007B21FB">
          <w:rPr>
            <w:rStyle w:val="a4"/>
            <w:color w:val="auto"/>
          </w:rPr>
          <w:t>4 Анализ существующей структуры администрации города Когалыма</w:t>
        </w:r>
        <w:r w:rsidR="004616EA" w:rsidRPr="007B21FB">
          <w:rPr>
            <w:rFonts w:ascii="Times New Roman" w:hAnsi="Times New Roman"/>
            <w:webHidden/>
            <w:color w:val="auto"/>
          </w:rPr>
          <w:tab/>
        </w:r>
        <w:r w:rsidR="004616EA" w:rsidRPr="007B21FB">
          <w:rPr>
            <w:rFonts w:ascii="Times New Roman" w:hAnsi="Times New Roman"/>
            <w:webHidden/>
            <w:color w:val="auto"/>
          </w:rPr>
          <w:fldChar w:fldCharType="begin"/>
        </w:r>
        <w:r w:rsidR="004616EA" w:rsidRPr="007B21FB">
          <w:rPr>
            <w:rFonts w:ascii="Times New Roman" w:hAnsi="Times New Roman"/>
            <w:webHidden/>
            <w:color w:val="auto"/>
          </w:rPr>
          <w:instrText xml:space="preserve"> PAGEREF _Toc405805511 \h </w:instrText>
        </w:r>
        <w:r w:rsidR="004616EA" w:rsidRPr="007B21FB">
          <w:rPr>
            <w:rFonts w:ascii="Times New Roman" w:hAnsi="Times New Roman"/>
            <w:webHidden/>
            <w:color w:val="auto"/>
          </w:rPr>
        </w:r>
        <w:r w:rsidR="004616EA" w:rsidRPr="007B21FB">
          <w:rPr>
            <w:rFonts w:ascii="Times New Roman" w:hAnsi="Times New Roman"/>
            <w:webHidden/>
            <w:color w:val="auto"/>
          </w:rPr>
          <w:fldChar w:fldCharType="separate"/>
        </w:r>
        <w:r w:rsidR="001977F4">
          <w:rPr>
            <w:rFonts w:ascii="Times New Roman" w:hAnsi="Times New Roman"/>
            <w:webHidden/>
            <w:color w:val="auto"/>
          </w:rPr>
          <w:t>114</w:t>
        </w:r>
        <w:r w:rsidR="004616EA" w:rsidRPr="007B21FB">
          <w:rPr>
            <w:rFonts w:ascii="Times New Roman" w:hAnsi="Times New Roman"/>
            <w:webHidden/>
            <w:color w:val="auto"/>
          </w:rPr>
          <w:fldChar w:fldCharType="end"/>
        </w:r>
      </w:hyperlink>
    </w:p>
    <w:p w:rsidR="004616EA" w:rsidRPr="007B21FB" w:rsidRDefault="00574C05" w:rsidP="00DB70C4">
      <w:pPr>
        <w:pStyle w:val="11"/>
        <w:rPr>
          <w:rFonts w:ascii="Times New Roman" w:hAnsi="Times New Roman"/>
          <w:color w:val="auto"/>
        </w:rPr>
      </w:pPr>
      <w:hyperlink w:anchor="_Toc405805512" w:history="1">
        <w:r w:rsidR="004616EA" w:rsidRPr="007B21FB">
          <w:rPr>
            <w:rStyle w:val="a4"/>
            <w:color w:val="auto"/>
          </w:rPr>
          <w:t>5 Результаты комплексной оценки проблем и перспектив развития городского округа город Когалым</w:t>
        </w:r>
        <w:r w:rsidR="004616EA" w:rsidRPr="007B21FB">
          <w:rPr>
            <w:rFonts w:ascii="Times New Roman" w:hAnsi="Times New Roman"/>
            <w:webHidden/>
            <w:color w:val="auto"/>
          </w:rPr>
          <w:tab/>
        </w:r>
        <w:r w:rsidR="004616EA" w:rsidRPr="007B21FB">
          <w:rPr>
            <w:rFonts w:ascii="Times New Roman" w:hAnsi="Times New Roman"/>
            <w:webHidden/>
            <w:color w:val="auto"/>
          </w:rPr>
          <w:fldChar w:fldCharType="begin"/>
        </w:r>
        <w:r w:rsidR="004616EA" w:rsidRPr="007B21FB">
          <w:rPr>
            <w:rFonts w:ascii="Times New Roman" w:hAnsi="Times New Roman"/>
            <w:webHidden/>
            <w:color w:val="auto"/>
          </w:rPr>
          <w:instrText xml:space="preserve"> PAGEREF _Toc405805512 \h </w:instrText>
        </w:r>
        <w:r w:rsidR="004616EA" w:rsidRPr="007B21FB">
          <w:rPr>
            <w:rFonts w:ascii="Times New Roman" w:hAnsi="Times New Roman"/>
            <w:webHidden/>
            <w:color w:val="auto"/>
          </w:rPr>
        </w:r>
        <w:r w:rsidR="004616EA" w:rsidRPr="007B21FB">
          <w:rPr>
            <w:rFonts w:ascii="Times New Roman" w:hAnsi="Times New Roman"/>
            <w:webHidden/>
            <w:color w:val="auto"/>
          </w:rPr>
          <w:fldChar w:fldCharType="separate"/>
        </w:r>
        <w:r w:rsidR="001977F4">
          <w:rPr>
            <w:rFonts w:ascii="Times New Roman" w:hAnsi="Times New Roman"/>
            <w:webHidden/>
            <w:color w:val="auto"/>
          </w:rPr>
          <w:t>122</w:t>
        </w:r>
        <w:r w:rsidR="004616EA" w:rsidRPr="007B21FB">
          <w:rPr>
            <w:rFonts w:ascii="Times New Roman" w:hAnsi="Times New Roman"/>
            <w:webHidden/>
            <w:color w:val="auto"/>
          </w:rPr>
          <w:fldChar w:fldCharType="end"/>
        </w:r>
      </w:hyperlink>
    </w:p>
    <w:p w:rsidR="004616EA" w:rsidRPr="007B21FB" w:rsidRDefault="00574C05" w:rsidP="00DB70C4">
      <w:pPr>
        <w:pStyle w:val="11"/>
        <w:rPr>
          <w:rFonts w:ascii="Times New Roman" w:hAnsi="Times New Roman"/>
          <w:color w:val="auto"/>
        </w:rPr>
      </w:pPr>
      <w:hyperlink w:anchor="_Toc405805513" w:history="1">
        <w:r w:rsidR="004616EA" w:rsidRPr="007B21FB">
          <w:rPr>
            <w:rStyle w:val="a4"/>
            <w:color w:val="auto"/>
          </w:rPr>
          <w:t xml:space="preserve">6 Анализ мер по улучшению социально-экономического положения городского </w:t>
        </w:r>
        <w:r w:rsidR="004616EA" w:rsidRPr="007B21FB">
          <w:rPr>
            <w:rStyle w:val="a4"/>
            <w:color w:val="auto"/>
          </w:rPr>
          <w:lastRenderedPageBreak/>
          <w:t>округа город Когалым, осуществляемых в рамках государственных и муниципальных программ</w:t>
        </w:r>
        <w:r w:rsidR="004616EA" w:rsidRPr="007B21FB">
          <w:rPr>
            <w:rFonts w:ascii="Times New Roman" w:hAnsi="Times New Roman"/>
            <w:webHidden/>
            <w:color w:val="auto"/>
          </w:rPr>
          <w:tab/>
        </w:r>
        <w:r w:rsidR="004616EA" w:rsidRPr="007B21FB">
          <w:rPr>
            <w:rFonts w:ascii="Times New Roman" w:hAnsi="Times New Roman"/>
            <w:webHidden/>
            <w:color w:val="auto"/>
          </w:rPr>
          <w:fldChar w:fldCharType="begin"/>
        </w:r>
        <w:r w:rsidR="004616EA" w:rsidRPr="007B21FB">
          <w:rPr>
            <w:rFonts w:ascii="Times New Roman" w:hAnsi="Times New Roman"/>
            <w:webHidden/>
            <w:color w:val="auto"/>
          </w:rPr>
          <w:instrText xml:space="preserve"> PAGEREF _Toc405805513 \h </w:instrText>
        </w:r>
        <w:r w:rsidR="004616EA" w:rsidRPr="007B21FB">
          <w:rPr>
            <w:rFonts w:ascii="Times New Roman" w:hAnsi="Times New Roman"/>
            <w:webHidden/>
            <w:color w:val="auto"/>
          </w:rPr>
        </w:r>
        <w:r w:rsidR="004616EA" w:rsidRPr="007B21FB">
          <w:rPr>
            <w:rFonts w:ascii="Times New Roman" w:hAnsi="Times New Roman"/>
            <w:webHidden/>
            <w:color w:val="auto"/>
          </w:rPr>
          <w:fldChar w:fldCharType="separate"/>
        </w:r>
        <w:r w:rsidR="001977F4">
          <w:rPr>
            <w:rFonts w:ascii="Times New Roman" w:hAnsi="Times New Roman"/>
            <w:webHidden/>
            <w:color w:val="auto"/>
          </w:rPr>
          <w:t>129</w:t>
        </w:r>
        <w:r w:rsidR="004616EA" w:rsidRPr="007B21FB">
          <w:rPr>
            <w:rFonts w:ascii="Times New Roman" w:hAnsi="Times New Roman"/>
            <w:webHidden/>
            <w:color w:val="auto"/>
          </w:rPr>
          <w:fldChar w:fldCharType="end"/>
        </w:r>
      </w:hyperlink>
    </w:p>
    <w:p w:rsidR="004616EA" w:rsidRPr="007B21FB" w:rsidRDefault="00574C05" w:rsidP="00DB70C4">
      <w:pPr>
        <w:pStyle w:val="31"/>
        <w:rPr>
          <w:rFonts w:ascii="Times New Roman" w:hAnsi="Times New Roman"/>
          <w:noProof/>
          <w:lang w:eastAsia="ru-RU"/>
        </w:rPr>
      </w:pPr>
      <w:hyperlink w:anchor="_Toc405805514" w:history="1">
        <w:r w:rsidR="004616EA" w:rsidRPr="007B21FB">
          <w:rPr>
            <w:rStyle w:val="a4"/>
            <w:noProof/>
            <w:color w:val="auto"/>
            <w:sz w:val="24"/>
            <w:szCs w:val="24"/>
          </w:rPr>
          <w:t>6.1 Анализ существующих государственных программ, государственных программ Ханты-</w:t>
        </w:r>
        <w:r w:rsidR="004616EA" w:rsidRPr="007B21FB">
          <w:rPr>
            <w:rStyle w:val="a4"/>
            <w:noProof/>
            <w:color w:val="auto"/>
            <w:sz w:val="24"/>
            <w:szCs w:val="24"/>
          </w:rPr>
          <w:lastRenderedPageBreak/>
          <w:t>Мансийского автономного округа - Югры, муниципальных программ</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_Toc405805514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129</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515" w:history="1">
        <w:r w:rsidR="004616EA" w:rsidRPr="007B21FB">
          <w:rPr>
            <w:rStyle w:val="a4"/>
            <w:noProof/>
            <w:color w:val="auto"/>
            <w:sz w:val="24"/>
            <w:szCs w:val="24"/>
          </w:rPr>
          <w:t>6.2 Возможные ограничения при реализации программ социально-экономического развития</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_Toc405805515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134</w:t>
        </w:r>
        <w:r w:rsidR="004616EA" w:rsidRPr="007B21FB">
          <w:rPr>
            <w:rFonts w:ascii="Times New Roman" w:hAnsi="Times New Roman"/>
            <w:noProof/>
            <w:webHidden/>
          </w:rPr>
          <w:fldChar w:fldCharType="end"/>
        </w:r>
      </w:hyperlink>
    </w:p>
    <w:p w:rsidR="004616EA" w:rsidRPr="007B21FB" w:rsidRDefault="00574C05" w:rsidP="00DB70C4">
      <w:pPr>
        <w:pStyle w:val="11"/>
        <w:rPr>
          <w:rFonts w:ascii="Times New Roman" w:hAnsi="Times New Roman"/>
          <w:color w:val="auto"/>
        </w:rPr>
      </w:pPr>
      <w:hyperlink w:anchor="_Toc405805516" w:history="1">
        <w:r w:rsidR="004616EA" w:rsidRPr="007B21FB">
          <w:rPr>
            <w:rStyle w:val="a4"/>
            <w:color w:val="auto"/>
          </w:rPr>
          <w:t xml:space="preserve">7 Сценарии социально-экономического развития городского округа город </w:t>
        </w:r>
        <w:r w:rsidR="004616EA" w:rsidRPr="007B21FB">
          <w:rPr>
            <w:rStyle w:val="a4"/>
            <w:color w:val="auto"/>
          </w:rPr>
          <w:lastRenderedPageBreak/>
          <w:t>К</w:t>
        </w:r>
        <w:r w:rsidR="004616EA" w:rsidRPr="007B21FB">
          <w:rPr>
            <w:rStyle w:val="a4"/>
            <w:b/>
            <w:color w:val="auto"/>
          </w:rPr>
          <w:t>о</w:t>
        </w:r>
        <w:r w:rsidR="004616EA" w:rsidRPr="007B21FB">
          <w:rPr>
            <w:rStyle w:val="a4"/>
            <w:color w:val="auto"/>
          </w:rPr>
          <w:t>галым до 2020 года и на период до 2030 года</w:t>
        </w:r>
        <w:r w:rsidR="004616EA" w:rsidRPr="007B21FB">
          <w:rPr>
            <w:rFonts w:ascii="Times New Roman" w:hAnsi="Times New Roman"/>
            <w:webHidden/>
            <w:color w:val="auto"/>
          </w:rPr>
          <w:tab/>
        </w:r>
        <w:r w:rsidR="004616EA" w:rsidRPr="007B21FB">
          <w:rPr>
            <w:rFonts w:ascii="Times New Roman" w:hAnsi="Times New Roman"/>
            <w:webHidden/>
            <w:color w:val="auto"/>
          </w:rPr>
          <w:fldChar w:fldCharType="begin"/>
        </w:r>
        <w:r w:rsidR="004616EA" w:rsidRPr="007B21FB">
          <w:rPr>
            <w:rFonts w:ascii="Times New Roman" w:hAnsi="Times New Roman"/>
            <w:webHidden/>
            <w:color w:val="auto"/>
          </w:rPr>
          <w:instrText xml:space="preserve"> PAGEREF _Toc405805516 \h </w:instrText>
        </w:r>
        <w:r w:rsidR="004616EA" w:rsidRPr="007B21FB">
          <w:rPr>
            <w:rFonts w:ascii="Times New Roman" w:hAnsi="Times New Roman"/>
            <w:webHidden/>
            <w:color w:val="auto"/>
          </w:rPr>
        </w:r>
        <w:r w:rsidR="004616EA" w:rsidRPr="007B21FB">
          <w:rPr>
            <w:rFonts w:ascii="Times New Roman" w:hAnsi="Times New Roman"/>
            <w:webHidden/>
            <w:color w:val="auto"/>
          </w:rPr>
          <w:fldChar w:fldCharType="separate"/>
        </w:r>
        <w:r w:rsidR="001977F4">
          <w:rPr>
            <w:rFonts w:ascii="Times New Roman" w:hAnsi="Times New Roman"/>
            <w:webHidden/>
            <w:color w:val="auto"/>
          </w:rPr>
          <w:t>136</w:t>
        </w:r>
        <w:r w:rsidR="004616EA" w:rsidRPr="007B21FB">
          <w:rPr>
            <w:rFonts w:ascii="Times New Roman" w:hAnsi="Times New Roman"/>
            <w:webHidden/>
            <w:color w:val="auto"/>
          </w:rPr>
          <w:fldChar w:fldCharType="end"/>
        </w:r>
      </w:hyperlink>
    </w:p>
    <w:p w:rsidR="004616EA" w:rsidRPr="007B21FB" w:rsidRDefault="00574C05" w:rsidP="00DB70C4">
      <w:pPr>
        <w:pStyle w:val="31"/>
        <w:rPr>
          <w:rFonts w:ascii="Times New Roman" w:hAnsi="Times New Roman"/>
          <w:noProof/>
          <w:lang w:eastAsia="ru-RU"/>
        </w:rPr>
      </w:pPr>
      <w:hyperlink w:anchor="_Toc405805518" w:history="1">
        <w:r w:rsidR="004616EA" w:rsidRPr="007B21FB">
          <w:rPr>
            <w:rStyle w:val="a4"/>
            <w:noProof/>
            <w:color w:val="auto"/>
            <w:sz w:val="24"/>
            <w:szCs w:val="24"/>
          </w:rPr>
          <w:t>7.1 Инерционный сценарий</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_Toc405805518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136</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519" w:history="1">
        <w:r w:rsidR="004616EA" w:rsidRPr="007B21FB">
          <w:rPr>
            <w:rStyle w:val="a4"/>
            <w:noProof/>
            <w:color w:val="auto"/>
            <w:sz w:val="24"/>
            <w:szCs w:val="24"/>
          </w:rPr>
          <w:t>7.2 Инвестиционный сценарий</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_Toc405805519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138</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520" w:history="1">
        <w:r w:rsidR="004616EA" w:rsidRPr="007B21FB">
          <w:rPr>
            <w:rStyle w:val="a4"/>
            <w:noProof/>
            <w:color w:val="auto"/>
            <w:sz w:val="24"/>
            <w:szCs w:val="24"/>
          </w:rPr>
          <w:t>7.3 Инновационный сценарий</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_Toc405805520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140</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521" w:history="1">
        <w:r w:rsidR="004616EA" w:rsidRPr="007B21FB">
          <w:rPr>
            <w:rStyle w:val="a4"/>
            <w:noProof/>
            <w:color w:val="auto"/>
            <w:sz w:val="24"/>
            <w:szCs w:val="24"/>
          </w:rPr>
          <w:t>7.4 Обоснование выбора целевого сценария социально-экономического развития</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_Toc405805521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143</w:t>
        </w:r>
        <w:r w:rsidR="004616EA" w:rsidRPr="007B21FB">
          <w:rPr>
            <w:rFonts w:ascii="Times New Roman" w:hAnsi="Times New Roman"/>
            <w:noProof/>
            <w:webHidden/>
          </w:rPr>
          <w:fldChar w:fldCharType="end"/>
        </w:r>
      </w:hyperlink>
    </w:p>
    <w:p w:rsidR="004616EA" w:rsidRPr="007B21FB" w:rsidRDefault="00574C05" w:rsidP="00DB70C4">
      <w:pPr>
        <w:pStyle w:val="11"/>
        <w:rPr>
          <w:rFonts w:ascii="Times New Roman" w:hAnsi="Times New Roman"/>
          <w:color w:val="auto"/>
        </w:rPr>
      </w:pPr>
      <w:hyperlink w:anchor="_Toc405805522" w:history="1">
        <w:r w:rsidR="004616EA" w:rsidRPr="007B21FB">
          <w:rPr>
            <w:rStyle w:val="a4"/>
            <w:color w:val="auto"/>
          </w:rPr>
          <w:t xml:space="preserve">8 Стратегические приоритеты, цели и задачи долгосрочного социально-экономического развития города </w:t>
        </w:r>
        <w:r w:rsidR="004616EA" w:rsidRPr="007B21FB">
          <w:rPr>
            <w:rStyle w:val="a4"/>
            <w:color w:val="auto"/>
          </w:rPr>
          <w:lastRenderedPageBreak/>
          <w:t>Когалыма до 2020 года и на период до 2030 года</w:t>
        </w:r>
        <w:r w:rsidR="004616EA" w:rsidRPr="007B21FB">
          <w:rPr>
            <w:rFonts w:ascii="Times New Roman" w:hAnsi="Times New Roman"/>
            <w:webHidden/>
            <w:color w:val="auto"/>
          </w:rPr>
          <w:tab/>
        </w:r>
        <w:r w:rsidR="004616EA" w:rsidRPr="007B21FB">
          <w:rPr>
            <w:rFonts w:ascii="Times New Roman" w:hAnsi="Times New Roman"/>
            <w:webHidden/>
            <w:color w:val="auto"/>
          </w:rPr>
          <w:fldChar w:fldCharType="begin"/>
        </w:r>
        <w:r w:rsidR="004616EA" w:rsidRPr="007B21FB">
          <w:rPr>
            <w:rFonts w:ascii="Times New Roman" w:hAnsi="Times New Roman"/>
            <w:webHidden/>
            <w:color w:val="auto"/>
          </w:rPr>
          <w:instrText xml:space="preserve"> PAGEREF _Toc405805522 \h </w:instrText>
        </w:r>
        <w:r w:rsidR="004616EA" w:rsidRPr="007B21FB">
          <w:rPr>
            <w:rFonts w:ascii="Times New Roman" w:hAnsi="Times New Roman"/>
            <w:webHidden/>
            <w:color w:val="auto"/>
          </w:rPr>
        </w:r>
        <w:r w:rsidR="004616EA" w:rsidRPr="007B21FB">
          <w:rPr>
            <w:rFonts w:ascii="Times New Roman" w:hAnsi="Times New Roman"/>
            <w:webHidden/>
            <w:color w:val="auto"/>
          </w:rPr>
          <w:fldChar w:fldCharType="separate"/>
        </w:r>
        <w:r w:rsidR="001977F4">
          <w:rPr>
            <w:rFonts w:ascii="Times New Roman" w:hAnsi="Times New Roman"/>
            <w:webHidden/>
            <w:color w:val="auto"/>
          </w:rPr>
          <w:t>144</w:t>
        </w:r>
        <w:r w:rsidR="004616EA" w:rsidRPr="007B21FB">
          <w:rPr>
            <w:rFonts w:ascii="Times New Roman" w:hAnsi="Times New Roman"/>
            <w:webHidden/>
            <w:color w:val="auto"/>
          </w:rPr>
          <w:fldChar w:fldCharType="end"/>
        </w:r>
      </w:hyperlink>
    </w:p>
    <w:p w:rsidR="004616EA" w:rsidRPr="007B21FB" w:rsidRDefault="00574C05" w:rsidP="00DB70C4">
      <w:pPr>
        <w:pStyle w:val="31"/>
        <w:rPr>
          <w:rFonts w:ascii="Times New Roman" w:hAnsi="Times New Roman"/>
          <w:noProof/>
          <w:lang w:eastAsia="ru-RU"/>
        </w:rPr>
      </w:pPr>
      <w:hyperlink w:anchor="_Toc405805523" w:history="1">
        <w:r w:rsidR="004616EA" w:rsidRPr="007B21FB">
          <w:rPr>
            <w:rStyle w:val="a4"/>
            <w:noProof/>
            <w:color w:val="auto"/>
            <w:sz w:val="24"/>
            <w:szCs w:val="24"/>
          </w:rPr>
          <w:t>8.1 Стратегические цели и задачи развития города</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_Toc405805523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144</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524" w:history="1">
        <w:r w:rsidR="004616EA" w:rsidRPr="007B21FB">
          <w:rPr>
            <w:rStyle w:val="a4"/>
            <w:noProof/>
            <w:color w:val="auto"/>
            <w:sz w:val="24"/>
            <w:szCs w:val="24"/>
          </w:rPr>
          <w:t>8.2 Анализ соответствия стратегических направлений развития города Когалыма и Ханты-Мансийского автономного округа - Югры</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_Toc405805524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150</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525" w:history="1">
        <w:r w:rsidR="004616EA" w:rsidRPr="007B21FB">
          <w:rPr>
            <w:rStyle w:val="a4"/>
            <w:noProof/>
            <w:color w:val="auto"/>
            <w:sz w:val="24"/>
            <w:szCs w:val="24"/>
          </w:rPr>
          <w:t>8.3 Анализ охвата существующих проблем городского округа муниципальными программами</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_Toc405805525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156</w:t>
        </w:r>
        <w:r w:rsidR="004616EA" w:rsidRPr="007B21FB">
          <w:rPr>
            <w:rFonts w:ascii="Times New Roman" w:hAnsi="Times New Roman"/>
            <w:noProof/>
            <w:webHidden/>
          </w:rPr>
          <w:fldChar w:fldCharType="end"/>
        </w:r>
      </w:hyperlink>
    </w:p>
    <w:p w:rsidR="004616EA" w:rsidRPr="007B21FB" w:rsidRDefault="00574C05" w:rsidP="00DB70C4">
      <w:pPr>
        <w:pStyle w:val="11"/>
        <w:rPr>
          <w:rFonts w:ascii="Times New Roman" w:hAnsi="Times New Roman"/>
          <w:color w:val="auto"/>
        </w:rPr>
      </w:pPr>
      <w:hyperlink w:anchor="_Toc405805526" w:history="1">
        <w:r w:rsidR="004616EA" w:rsidRPr="007B21FB">
          <w:rPr>
            <w:rStyle w:val="a4"/>
            <w:color w:val="auto"/>
          </w:rPr>
          <w:t xml:space="preserve">9 Основные механизмы реализации стратегических целей и задач социально-экономического развития города </w:t>
        </w:r>
        <w:r w:rsidR="004616EA" w:rsidRPr="007B21FB">
          <w:rPr>
            <w:rStyle w:val="a4"/>
            <w:color w:val="auto"/>
          </w:rPr>
          <w:lastRenderedPageBreak/>
          <w:t>Когалыма до 2020 года и на период до 2030 года</w:t>
        </w:r>
        <w:r w:rsidR="004616EA" w:rsidRPr="007B21FB">
          <w:rPr>
            <w:rFonts w:ascii="Times New Roman" w:hAnsi="Times New Roman"/>
            <w:webHidden/>
            <w:color w:val="auto"/>
          </w:rPr>
          <w:tab/>
        </w:r>
        <w:r w:rsidR="004616EA" w:rsidRPr="007B21FB">
          <w:rPr>
            <w:rFonts w:ascii="Times New Roman" w:hAnsi="Times New Roman"/>
            <w:webHidden/>
            <w:color w:val="auto"/>
          </w:rPr>
          <w:fldChar w:fldCharType="begin"/>
        </w:r>
        <w:r w:rsidR="004616EA" w:rsidRPr="007B21FB">
          <w:rPr>
            <w:rFonts w:ascii="Times New Roman" w:hAnsi="Times New Roman"/>
            <w:webHidden/>
            <w:color w:val="auto"/>
          </w:rPr>
          <w:instrText xml:space="preserve"> PAGEREF _Toc405805526 \h </w:instrText>
        </w:r>
        <w:r w:rsidR="004616EA" w:rsidRPr="007B21FB">
          <w:rPr>
            <w:rFonts w:ascii="Times New Roman" w:hAnsi="Times New Roman"/>
            <w:webHidden/>
            <w:color w:val="auto"/>
          </w:rPr>
        </w:r>
        <w:r w:rsidR="004616EA" w:rsidRPr="007B21FB">
          <w:rPr>
            <w:rFonts w:ascii="Times New Roman" w:hAnsi="Times New Roman"/>
            <w:webHidden/>
            <w:color w:val="auto"/>
          </w:rPr>
          <w:fldChar w:fldCharType="separate"/>
        </w:r>
        <w:r w:rsidR="001977F4">
          <w:rPr>
            <w:rFonts w:ascii="Times New Roman" w:hAnsi="Times New Roman"/>
            <w:webHidden/>
            <w:color w:val="auto"/>
          </w:rPr>
          <w:t>160</w:t>
        </w:r>
        <w:r w:rsidR="004616EA" w:rsidRPr="007B21FB">
          <w:rPr>
            <w:rFonts w:ascii="Times New Roman" w:hAnsi="Times New Roman"/>
            <w:webHidden/>
            <w:color w:val="auto"/>
          </w:rPr>
          <w:fldChar w:fldCharType="end"/>
        </w:r>
      </w:hyperlink>
    </w:p>
    <w:p w:rsidR="004616EA" w:rsidRPr="007B21FB" w:rsidRDefault="00574C05" w:rsidP="00DB70C4">
      <w:pPr>
        <w:pStyle w:val="31"/>
        <w:rPr>
          <w:rFonts w:ascii="Times New Roman" w:hAnsi="Times New Roman"/>
          <w:noProof/>
          <w:lang w:eastAsia="ru-RU"/>
        </w:rPr>
      </w:pPr>
      <w:hyperlink w:anchor="_Toc405805527" w:history="1">
        <w:r w:rsidR="004616EA" w:rsidRPr="007B21FB">
          <w:rPr>
            <w:rStyle w:val="a4"/>
            <w:noProof/>
            <w:color w:val="auto"/>
            <w:sz w:val="24"/>
            <w:szCs w:val="24"/>
          </w:rPr>
          <w:t>9.1 Организационные механизмы</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_Toc405805527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160</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528" w:history="1">
        <w:r w:rsidR="004616EA" w:rsidRPr="007B21FB">
          <w:rPr>
            <w:rStyle w:val="a4"/>
            <w:noProof/>
            <w:color w:val="auto"/>
            <w:sz w:val="24"/>
            <w:szCs w:val="24"/>
          </w:rPr>
          <w:t>9.2 Правовые механизмы</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_Toc405805528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162</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529" w:history="1">
        <w:r w:rsidR="004616EA" w:rsidRPr="007B21FB">
          <w:rPr>
            <w:rStyle w:val="a4"/>
            <w:noProof/>
            <w:color w:val="auto"/>
            <w:sz w:val="24"/>
            <w:szCs w:val="24"/>
          </w:rPr>
          <w:t>9.3 Реализация Стратегии посредством создания Комплексной системы управления развитием территории и недвижимости</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_Toc405805529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164</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530" w:history="1">
        <w:r w:rsidR="004616EA" w:rsidRPr="007B21FB">
          <w:rPr>
            <w:rStyle w:val="a4"/>
            <w:noProof/>
            <w:color w:val="auto"/>
            <w:sz w:val="24"/>
            <w:szCs w:val="24"/>
          </w:rPr>
          <w:t>9.4 Информационные механизмы</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_Toc405805530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166</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531" w:history="1">
        <w:r w:rsidR="004616EA" w:rsidRPr="007B21FB">
          <w:rPr>
            <w:rStyle w:val="a4"/>
            <w:noProof/>
            <w:color w:val="auto"/>
            <w:sz w:val="24"/>
            <w:szCs w:val="24"/>
          </w:rPr>
          <w:t>9.5 Финансовые механизмы</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_Toc405805531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166</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532" w:history="1">
        <w:r w:rsidR="004616EA" w:rsidRPr="007B21FB">
          <w:rPr>
            <w:rStyle w:val="a4"/>
            <w:noProof/>
            <w:color w:val="auto"/>
            <w:sz w:val="24"/>
            <w:szCs w:val="24"/>
          </w:rPr>
          <w:t>9.6 Система управления реализации Стратегии социально-экономического развития города Когалыма до 2020 года и на период до 2030 года</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_Toc405805532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168</w:t>
        </w:r>
        <w:r w:rsidR="004616EA" w:rsidRPr="007B21FB">
          <w:rPr>
            <w:rFonts w:ascii="Times New Roman" w:hAnsi="Times New Roman"/>
            <w:noProof/>
            <w:webHidden/>
          </w:rPr>
          <w:fldChar w:fldCharType="end"/>
        </w:r>
      </w:hyperlink>
    </w:p>
    <w:p w:rsidR="004616EA" w:rsidRPr="007B21FB" w:rsidRDefault="00574C05" w:rsidP="00DB70C4">
      <w:pPr>
        <w:pStyle w:val="11"/>
        <w:rPr>
          <w:rFonts w:ascii="Times New Roman" w:hAnsi="Times New Roman"/>
          <w:color w:val="auto"/>
        </w:rPr>
      </w:pPr>
      <w:hyperlink w:anchor="_Toc405805533" w:history="1">
        <w:r w:rsidR="004616EA" w:rsidRPr="007B21FB">
          <w:rPr>
            <w:rStyle w:val="a4"/>
            <w:color w:val="auto"/>
          </w:rPr>
          <w:t>10 Система мониторинга и контроля реализации целей и задач социально-</w:t>
        </w:r>
        <w:r w:rsidR="004616EA" w:rsidRPr="007B21FB">
          <w:rPr>
            <w:rStyle w:val="a4"/>
            <w:color w:val="auto"/>
          </w:rPr>
          <w:lastRenderedPageBreak/>
          <w:t>экономического развития города Когалыма до 2020 года и на период до 2030 года</w:t>
        </w:r>
        <w:r w:rsidR="004616EA" w:rsidRPr="007B21FB">
          <w:rPr>
            <w:rFonts w:ascii="Times New Roman" w:hAnsi="Times New Roman"/>
            <w:webHidden/>
            <w:color w:val="auto"/>
          </w:rPr>
          <w:tab/>
        </w:r>
        <w:r w:rsidR="004616EA" w:rsidRPr="007B21FB">
          <w:rPr>
            <w:rFonts w:ascii="Times New Roman" w:hAnsi="Times New Roman"/>
            <w:webHidden/>
            <w:color w:val="auto"/>
          </w:rPr>
          <w:fldChar w:fldCharType="begin"/>
        </w:r>
        <w:r w:rsidR="004616EA" w:rsidRPr="007B21FB">
          <w:rPr>
            <w:rFonts w:ascii="Times New Roman" w:hAnsi="Times New Roman"/>
            <w:webHidden/>
            <w:color w:val="auto"/>
          </w:rPr>
          <w:instrText xml:space="preserve"> PAGEREF _Toc405805533 \h </w:instrText>
        </w:r>
        <w:r w:rsidR="004616EA" w:rsidRPr="007B21FB">
          <w:rPr>
            <w:rFonts w:ascii="Times New Roman" w:hAnsi="Times New Roman"/>
            <w:webHidden/>
            <w:color w:val="auto"/>
          </w:rPr>
        </w:r>
        <w:r w:rsidR="004616EA" w:rsidRPr="007B21FB">
          <w:rPr>
            <w:rFonts w:ascii="Times New Roman" w:hAnsi="Times New Roman"/>
            <w:webHidden/>
            <w:color w:val="auto"/>
          </w:rPr>
          <w:fldChar w:fldCharType="separate"/>
        </w:r>
        <w:r w:rsidR="001977F4">
          <w:rPr>
            <w:rFonts w:ascii="Times New Roman" w:hAnsi="Times New Roman"/>
            <w:webHidden/>
            <w:color w:val="auto"/>
          </w:rPr>
          <w:t>176</w:t>
        </w:r>
        <w:r w:rsidR="004616EA" w:rsidRPr="007B21FB">
          <w:rPr>
            <w:rFonts w:ascii="Times New Roman" w:hAnsi="Times New Roman"/>
            <w:webHidden/>
            <w:color w:val="auto"/>
          </w:rPr>
          <w:fldChar w:fldCharType="end"/>
        </w:r>
      </w:hyperlink>
    </w:p>
    <w:p w:rsidR="004616EA" w:rsidRPr="007B21FB" w:rsidRDefault="00574C05" w:rsidP="00DB70C4">
      <w:pPr>
        <w:pStyle w:val="31"/>
        <w:rPr>
          <w:rFonts w:ascii="Times New Roman" w:hAnsi="Times New Roman"/>
          <w:noProof/>
          <w:lang w:eastAsia="ru-RU"/>
        </w:rPr>
      </w:pPr>
      <w:hyperlink w:anchor="_Toc405805534" w:history="1">
        <w:r w:rsidR="004616EA" w:rsidRPr="007B21FB">
          <w:rPr>
            <w:rStyle w:val="a4"/>
            <w:noProof/>
            <w:color w:val="auto"/>
            <w:sz w:val="24"/>
            <w:szCs w:val="24"/>
          </w:rPr>
          <w:t>10.1 Формирование системы целевых индикаторов</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_Toc405805534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176</w:t>
        </w:r>
        <w:r w:rsidR="004616EA" w:rsidRPr="007B21FB">
          <w:rPr>
            <w:rFonts w:ascii="Times New Roman" w:hAnsi="Times New Roman"/>
            <w:noProof/>
            <w:webHidden/>
          </w:rPr>
          <w:fldChar w:fldCharType="end"/>
        </w:r>
      </w:hyperlink>
    </w:p>
    <w:p w:rsidR="004616EA" w:rsidRPr="007B21FB" w:rsidRDefault="00574C05" w:rsidP="00DB70C4">
      <w:pPr>
        <w:pStyle w:val="31"/>
        <w:rPr>
          <w:rFonts w:ascii="Times New Roman" w:hAnsi="Times New Roman"/>
          <w:noProof/>
          <w:lang w:eastAsia="ru-RU"/>
        </w:rPr>
      </w:pPr>
      <w:hyperlink w:anchor="_Toc405805537" w:history="1">
        <w:r w:rsidR="004616EA" w:rsidRPr="007B21FB">
          <w:rPr>
            <w:rStyle w:val="a4"/>
            <w:noProof/>
            <w:color w:val="auto"/>
            <w:sz w:val="24"/>
            <w:szCs w:val="24"/>
          </w:rPr>
          <w:t>10.2 Система контроля реализации и корректировки целей и задач</w:t>
        </w:r>
        <w:r w:rsidR="004616EA" w:rsidRPr="007B21FB">
          <w:rPr>
            <w:rFonts w:ascii="Times New Roman" w:hAnsi="Times New Roman"/>
            <w:noProof/>
            <w:webHidden/>
          </w:rPr>
          <w:tab/>
        </w:r>
        <w:r w:rsidR="004616EA" w:rsidRPr="007B21FB">
          <w:rPr>
            <w:rFonts w:ascii="Times New Roman" w:hAnsi="Times New Roman"/>
            <w:noProof/>
            <w:webHidden/>
          </w:rPr>
          <w:fldChar w:fldCharType="begin"/>
        </w:r>
        <w:r w:rsidR="004616EA" w:rsidRPr="007B21FB">
          <w:rPr>
            <w:rFonts w:ascii="Times New Roman" w:hAnsi="Times New Roman"/>
            <w:noProof/>
            <w:webHidden/>
          </w:rPr>
          <w:instrText xml:space="preserve"> PAGEREF _Toc405805537 \h </w:instrText>
        </w:r>
        <w:r w:rsidR="004616EA" w:rsidRPr="007B21FB">
          <w:rPr>
            <w:rFonts w:ascii="Times New Roman" w:hAnsi="Times New Roman"/>
            <w:noProof/>
            <w:webHidden/>
          </w:rPr>
        </w:r>
        <w:r w:rsidR="004616EA" w:rsidRPr="007B21FB">
          <w:rPr>
            <w:rFonts w:ascii="Times New Roman" w:hAnsi="Times New Roman"/>
            <w:noProof/>
            <w:webHidden/>
          </w:rPr>
          <w:fldChar w:fldCharType="separate"/>
        </w:r>
        <w:r w:rsidR="001977F4">
          <w:rPr>
            <w:rFonts w:ascii="Times New Roman" w:hAnsi="Times New Roman"/>
            <w:noProof/>
            <w:webHidden/>
          </w:rPr>
          <w:t>184</w:t>
        </w:r>
        <w:r w:rsidR="004616EA" w:rsidRPr="007B21FB">
          <w:rPr>
            <w:rFonts w:ascii="Times New Roman" w:hAnsi="Times New Roman"/>
            <w:noProof/>
            <w:webHidden/>
          </w:rPr>
          <w:fldChar w:fldCharType="end"/>
        </w:r>
      </w:hyperlink>
    </w:p>
    <w:p w:rsidR="004616EA" w:rsidRPr="007B21FB" w:rsidRDefault="00574C05" w:rsidP="00DB70C4">
      <w:pPr>
        <w:pStyle w:val="11"/>
        <w:rPr>
          <w:rFonts w:ascii="Times New Roman" w:hAnsi="Times New Roman"/>
          <w:color w:val="auto"/>
        </w:rPr>
      </w:pPr>
      <w:hyperlink w:anchor="_Toc405805538" w:history="1">
        <w:r w:rsidR="004616EA" w:rsidRPr="007B21FB">
          <w:rPr>
            <w:rStyle w:val="a4"/>
            <w:color w:val="auto"/>
            <w:lang w:eastAsia="ar-SA"/>
          </w:rPr>
          <w:t>Приложение А</w:t>
        </w:r>
        <w:r w:rsidR="004616EA" w:rsidRPr="007B21FB">
          <w:rPr>
            <w:rFonts w:ascii="Times New Roman" w:hAnsi="Times New Roman"/>
            <w:webHidden/>
            <w:color w:val="auto"/>
          </w:rPr>
          <w:tab/>
        </w:r>
        <w:r w:rsidR="004616EA" w:rsidRPr="007B21FB">
          <w:rPr>
            <w:rFonts w:ascii="Times New Roman" w:hAnsi="Times New Roman"/>
            <w:webHidden/>
            <w:color w:val="auto"/>
          </w:rPr>
          <w:fldChar w:fldCharType="begin"/>
        </w:r>
        <w:r w:rsidR="004616EA" w:rsidRPr="007B21FB">
          <w:rPr>
            <w:rFonts w:ascii="Times New Roman" w:hAnsi="Times New Roman"/>
            <w:webHidden/>
            <w:color w:val="auto"/>
          </w:rPr>
          <w:instrText xml:space="preserve"> PAGEREF _Toc405805538 \h </w:instrText>
        </w:r>
        <w:r w:rsidR="004616EA" w:rsidRPr="007B21FB">
          <w:rPr>
            <w:rFonts w:ascii="Times New Roman" w:hAnsi="Times New Roman"/>
            <w:webHidden/>
            <w:color w:val="auto"/>
          </w:rPr>
        </w:r>
        <w:r w:rsidR="004616EA" w:rsidRPr="007B21FB">
          <w:rPr>
            <w:rFonts w:ascii="Times New Roman" w:hAnsi="Times New Roman"/>
            <w:webHidden/>
            <w:color w:val="auto"/>
          </w:rPr>
          <w:fldChar w:fldCharType="separate"/>
        </w:r>
        <w:r w:rsidR="001977F4">
          <w:rPr>
            <w:rFonts w:ascii="Times New Roman" w:hAnsi="Times New Roman"/>
            <w:webHidden/>
            <w:color w:val="auto"/>
          </w:rPr>
          <w:t>186</w:t>
        </w:r>
        <w:r w:rsidR="004616EA" w:rsidRPr="007B21FB">
          <w:rPr>
            <w:rFonts w:ascii="Times New Roman" w:hAnsi="Times New Roman"/>
            <w:webHidden/>
            <w:color w:val="auto"/>
          </w:rPr>
          <w:fldChar w:fldCharType="end"/>
        </w:r>
      </w:hyperlink>
    </w:p>
    <w:p w:rsidR="004616EA" w:rsidRPr="007B21FB" w:rsidRDefault="00574C05" w:rsidP="00DB70C4">
      <w:pPr>
        <w:pStyle w:val="11"/>
        <w:rPr>
          <w:rFonts w:ascii="Times New Roman" w:hAnsi="Times New Roman"/>
          <w:color w:val="auto"/>
        </w:rPr>
      </w:pPr>
      <w:hyperlink w:anchor="_Toc405805566" w:history="1">
        <w:r w:rsidR="004616EA" w:rsidRPr="007B21FB">
          <w:rPr>
            <w:rStyle w:val="a4"/>
            <w:color w:val="auto"/>
            <w:lang w:eastAsia="ar-SA"/>
          </w:rPr>
          <w:t>Приложение Б</w:t>
        </w:r>
        <w:r w:rsidR="004616EA" w:rsidRPr="007B21FB">
          <w:rPr>
            <w:rFonts w:ascii="Times New Roman" w:hAnsi="Times New Roman"/>
            <w:webHidden/>
            <w:color w:val="auto"/>
          </w:rPr>
          <w:tab/>
        </w:r>
        <w:r w:rsidR="004616EA" w:rsidRPr="007B21FB">
          <w:rPr>
            <w:rFonts w:ascii="Times New Roman" w:hAnsi="Times New Roman"/>
            <w:webHidden/>
            <w:color w:val="auto"/>
          </w:rPr>
          <w:fldChar w:fldCharType="begin"/>
        </w:r>
        <w:r w:rsidR="004616EA" w:rsidRPr="007B21FB">
          <w:rPr>
            <w:rFonts w:ascii="Times New Roman" w:hAnsi="Times New Roman"/>
            <w:webHidden/>
            <w:color w:val="auto"/>
          </w:rPr>
          <w:instrText xml:space="preserve"> PAGEREF _Toc405805566 \h </w:instrText>
        </w:r>
        <w:r w:rsidR="004616EA" w:rsidRPr="007B21FB">
          <w:rPr>
            <w:rFonts w:ascii="Times New Roman" w:hAnsi="Times New Roman"/>
            <w:webHidden/>
            <w:color w:val="auto"/>
          </w:rPr>
        </w:r>
        <w:r w:rsidR="004616EA" w:rsidRPr="007B21FB">
          <w:rPr>
            <w:rFonts w:ascii="Times New Roman" w:hAnsi="Times New Roman"/>
            <w:webHidden/>
            <w:color w:val="auto"/>
          </w:rPr>
          <w:fldChar w:fldCharType="separate"/>
        </w:r>
        <w:r w:rsidR="001977F4">
          <w:rPr>
            <w:rFonts w:ascii="Times New Roman" w:hAnsi="Times New Roman"/>
            <w:webHidden/>
            <w:color w:val="auto"/>
          </w:rPr>
          <w:t>202</w:t>
        </w:r>
        <w:r w:rsidR="004616EA" w:rsidRPr="007B21FB">
          <w:rPr>
            <w:rFonts w:ascii="Times New Roman" w:hAnsi="Times New Roman"/>
            <w:webHidden/>
            <w:color w:val="auto"/>
          </w:rPr>
          <w:fldChar w:fldCharType="end"/>
        </w:r>
      </w:hyperlink>
    </w:p>
    <w:p w:rsidR="004616EA" w:rsidRPr="007B21FB" w:rsidRDefault="00574C05" w:rsidP="00DB70C4">
      <w:pPr>
        <w:pStyle w:val="11"/>
        <w:rPr>
          <w:rFonts w:ascii="Times New Roman" w:hAnsi="Times New Roman"/>
          <w:color w:val="auto"/>
        </w:rPr>
      </w:pPr>
      <w:hyperlink w:anchor="_Toc405805569" w:history="1">
        <w:r w:rsidR="004616EA" w:rsidRPr="007B21FB">
          <w:rPr>
            <w:rStyle w:val="a4"/>
            <w:rFonts w:eastAsia="Batang"/>
            <w:color w:val="auto"/>
          </w:rPr>
          <w:t>Приложение В</w:t>
        </w:r>
        <w:r w:rsidR="004616EA" w:rsidRPr="007B21FB">
          <w:rPr>
            <w:rFonts w:ascii="Times New Roman" w:hAnsi="Times New Roman"/>
            <w:webHidden/>
            <w:color w:val="auto"/>
          </w:rPr>
          <w:tab/>
        </w:r>
        <w:r w:rsidR="004616EA" w:rsidRPr="007B21FB">
          <w:rPr>
            <w:rFonts w:ascii="Times New Roman" w:hAnsi="Times New Roman"/>
            <w:webHidden/>
            <w:color w:val="auto"/>
          </w:rPr>
          <w:fldChar w:fldCharType="begin"/>
        </w:r>
        <w:r w:rsidR="004616EA" w:rsidRPr="007B21FB">
          <w:rPr>
            <w:rFonts w:ascii="Times New Roman" w:hAnsi="Times New Roman"/>
            <w:webHidden/>
            <w:color w:val="auto"/>
          </w:rPr>
          <w:instrText xml:space="preserve"> PAGEREF _Toc405805569 \h </w:instrText>
        </w:r>
        <w:r w:rsidR="004616EA" w:rsidRPr="007B21FB">
          <w:rPr>
            <w:rFonts w:ascii="Times New Roman" w:hAnsi="Times New Roman"/>
            <w:webHidden/>
            <w:color w:val="auto"/>
          </w:rPr>
        </w:r>
        <w:r w:rsidR="004616EA" w:rsidRPr="007B21FB">
          <w:rPr>
            <w:rFonts w:ascii="Times New Roman" w:hAnsi="Times New Roman"/>
            <w:webHidden/>
            <w:color w:val="auto"/>
          </w:rPr>
          <w:fldChar w:fldCharType="separate"/>
        </w:r>
        <w:r w:rsidR="001977F4">
          <w:rPr>
            <w:rFonts w:ascii="Times New Roman" w:hAnsi="Times New Roman"/>
            <w:webHidden/>
            <w:color w:val="auto"/>
          </w:rPr>
          <w:t>208</w:t>
        </w:r>
        <w:r w:rsidR="004616EA" w:rsidRPr="007B21FB">
          <w:rPr>
            <w:rFonts w:ascii="Times New Roman" w:hAnsi="Times New Roman"/>
            <w:webHidden/>
            <w:color w:val="auto"/>
          </w:rPr>
          <w:fldChar w:fldCharType="end"/>
        </w:r>
      </w:hyperlink>
    </w:p>
    <w:p w:rsidR="004616EA" w:rsidRPr="007B21FB" w:rsidRDefault="00574C05" w:rsidP="00DB70C4">
      <w:pPr>
        <w:pStyle w:val="11"/>
        <w:rPr>
          <w:rFonts w:ascii="Times New Roman" w:hAnsi="Times New Roman"/>
          <w:color w:val="auto"/>
        </w:rPr>
      </w:pPr>
      <w:hyperlink w:anchor="_Toc405805570" w:history="1">
        <w:r w:rsidR="004616EA" w:rsidRPr="007B21FB">
          <w:rPr>
            <w:rStyle w:val="a4"/>
            <w:color w:val="auto"/>
          </w:rPr>
          <w:t>Приложение Г</w:t>
        </w:r>
        <w:r w:rsidR="004616EA" w:rsidRPr="007B21FB">
          <w:rPr>
            <w:rFonts w:ascii="Times New Roman" w:hAnsi="Times New Roman"/>
            <w:webHidden/>
            <w:color w:val="auto"/>
          </w:rPr>
          <w:tab/>
        </w:r>
        <w:r w:rsidR="004616EA" w:rsidRPr="007B21FB">
          <w:rPr>
            <w:rFonts w:ascii="Times New Roman" w:hAnsi="Times New Roman"/>
            <w:webHidden/>
            <w:color w:val="auto"/>
          </w:rPr>
          <w:fldChar w:fldCharType="begin"/>
        </w:r>
        <w:r w:rsidR="004616EA" w:rsidRPr="007B21FB">
          <w:rPr>
            <w:rFonts w:ascii="Times New Roman" w:hAnsi="Times New Roman"/>
            <w:webHidden/>
            <w:color w:val="auto"/>
          </w:rPr>
          <w:instrText xml:space="preserve"> PAGEREF _Toc405805570 \h </w:instrText>
        </w:r>
        <w:r w:rsidR="004616EA" w:rsidRPr="007B21FB">
          <w:rPr>
            <w:rFonts w:ascii="Times New Roman" w:hAnsi="Times New Roman"/>
            <w:webHidden/>
            <w:color w:val="auto"/>
          </w:rPr>
        </w:r>
        <w:r w:rsidR="004616EA" w:rsidRPr="007B21FB">
          <w:rPr>
            <w:rFonts w:ascii="Times New Roman" w:hAnsi="Times New Roman"/>
            <w:webHidden/>
            <w:color w:val="auto"/>
          </w:rPr>
          <w:fldChar w:fldCharType="separate"/>
        </w:r>
        <w:r w:rsidR="001977F4">
          <w:rPr>
            <w:rFonts w:ascii="Times New Roman" w:hAnsi="Times New Roman"/>
            <w:webHidden/>
            <w:color w:val="auto"/>
          </w:rPr>
          <w:t>218</w:t>
        </w:r>
        <w:r w:rsidR="004616EA" w:rsidRPr="007B21FB">
          <w:rPr>
            <w:rFonts w:ascii="Times New Roman" w:hAnsi="Times New Roman"/>
            <w:webHidden/>
            <w:color w:val="auto"/>
          </w:rPr>
          <w:fldChar w:fldCharType="end"/>
        </w:r>
      </w:hyperlink>
    </w:p>
    <w:p w:rsidR="004616EA" w:rsidRPr="007B21FB" w:rsidRDefault="00574C05" w:rsidP="00DB70C4">
      <w:pPr>
        <w:pStyle w:val="11"/>
        <w:rPr>
          <w:rFonts w:ascii="Times New Roman" w:hAnsi="Times New Roman"/>
          <w:color w:val="auto"/>
        </w:rPr>
      </w:pPr>
      <w:hyperlink w:anchor="_Toc405805571" w:history="1">
        <w:r w:rsidR="004616EA" w:rsidRPr="007B21FB">
          <w:rPr>
            <w:rStyle w:val="a4"/>
            <w:color w:val="auto"/>
          </w:rPr>
          <w:t>Приложение Д</w:t>
        </w:r>
        <w:r w:rsidR="004616EA" w:rsidRPr="007B21FB">
          <w:rPr>
            <w:rFonts w:ascii="Times New Roman" w:hAnsi="Times New Roman"/>
            <w:webHidden/>
            <w:color w:val="auto"/>
          </w:rPr>
          <w:tab/>
        </w:r>
        <w:r w:rsidR="004616EA" w:rsidRPr="007B21FB">
          <w:rPr>
            <w:rFonts w:ascii="Times New Roman" w:hAnsi="Times New Roman"/>
            <w:webHidden/>
            <w:color w:val="auto"/>
          </w:rPr>
          <w:fldChar w:fldCharType="begin"/>
        </w:r>
        <w:r w:rsidR="004616EA" w:rsidRPr="007B21FB">
          <w:rPr>
            <w:rFonts w:ascii="Times New Roman" w:hAnsi="Times New Roman"/>
            <w:webHidden/>
            <w:color w:val="auto"/>
          </w:rPr>
          <w:instrText xml:space="preserve"> PAGEREF _Toc405805571 \h </w:instrText>
        </w:r>
        <w:r w:rsidR="004616EA" w:rsidRPr="007B21FB">
          <w:rPr>
            <w:rFonts w:ascii="Times New Roman" w:hAnsi="Times New Roman"/>
            <w:webHidden/>
            <w:color w:val="auto"/>
          </w:rPr>
        </w:r>
        <w:r w:rsidR="004616EA" w:rsidRPr="007B21FB">
          <w:rPr>
            <w:rFonts w:ascii="Times New Roman" w:hAnsi="Times New Roman"/>
            <w:webHidden/>
            <w:color w:val="auto"/>
          </w:rPr>
          <w:fldChar w:fldCharType="separate"/>
        </w:r>
        <w:r w:rsidR="001977F4">
          <w:rPr>
            <w:rFonts w:ascii="Times New Roman" w:hAnsi="Times New Roman"/>
            <w:webHidden/>
            <w:color w:val="auto"/>
          </w:rPr>
          <w:t>231</w:t>
        </w:r>
        <w:r w:rsidR="004616EA" w:rsidRPr="007B21FB">
          <w:rPr>
            <w:rFonts w:ascii="Times New Roman" w:hAnsi="Times New Roman"/>
            <w:webHidden/>
            <w:color w:val="auto"/>
          </w:rPr>
          <w:fldChar w:fldCharType="end"/>
        </w:r>
      </w:hyperlink>
    </w:p>
    <w:p w:rsidR="004616EA" w:rsidRPr="007B21FB" w:rsidRDefault="00574C05" w:rsidP="00DB70C4">
      <w:pPr>
        <w:pStyle w:val="11"/>
        <w:rPr>
          <w:rFonts w:ascii="Times New Roman" w:hAnsi="Times New Roman"/>
          <w:sz w:val="22"/>
          <w:szCs w:val="22"/>
        </w:rPr>
      </w:pPr>
      <w:hyperlink w:anchor="_Toc405805572" w:history="1">
        <w:r w:rsidR="004616EA" w:rsidRPr="007B21FB">
          <w:rPr>
            <w:rStyle w:val="a4"/>
            <w:color w:val="auto"/>
          </w:rPr>
          <w:t>Приложение Е</w:t>
        </w:r>
        <w:r w:rsidR="004616EA" w:rsidRPr="007B21FB">
          <w:rPr>
            <w:rFonts w:ascii="Times New Roman" w:hAnsi="Times New Roman"/>
            <w:webHidden/>
            <w:color w:val="auto"/>
          </w:rPr>
          <w:tab/>
        </w:r>
        <w:r w:rsidR="004616EA" w:rsidRPr="007B21FB">
          <w:rPr>
            <w:rFonts w:ascii="Times New Roman" w:hAnsi="Times New Roman"/>
            <w:webHidden/>
            <w:color w:val="auto"/>
          </w:rPr>
          <w:fldChar w:fldCharType="begin"/>
        </w:r>
        <w:r w:rsidR="004616EA" w:rsidRPr="007B21FB">
          <w:rPr>
            <w:rFonts w:ascii="Times New Roman" w:hAnsi="Times New Roman"/>
            <w:webHidden/>
            <w:color w:val="auto"/>
          </w:rPr>
          <w:instrText xml:space="preserve"> PAGEREF _Toc405805572 \h </w:instrText>
        </w:r>
        <w:r w:rsidR="004616EA" w:rsidRPr="007B21FB">
          <w:rPr>
            <w:rFonts w:ascii="Times New Roman" w:hAnsi="Times New Roman"/>
            <w:webHidden/>
            <w:color w:val="auto"/>
          </w:rPr>
        </w:r>
        <w:r w:rsidR="004616EA" w:rsidRPr="007B21FB">
          <w:rPr>
            <w:rFonts w:ascii="Times New Roman" w:hAnsi="Times New Roman"/>
            <w:webHidden/>
            <w:color w:val="auto"/>
          </w:rPr>
          <w:fldChar w:fldCharType="separate"/>
        </w:r>
        <w:r w:rsidR="001977F4">
          <w:rPr>
            <w:rFonts w:ascii="Times New Roman" w:hAnsi="Times New Roman"/>
            <w:webHidden/>
            <w:color w:val="auto"/>
          </w:rPr>
          <w:t>243</w:t>
        </w:r>
        <w:r w:rsidR="004616EA" w:rsidRPr="007B21FB">
          <w:rPr>
            <w:rFonts w:ascii="Times New Roman" w:hAnsi="Times New Roman"/>
            <w:webHidden/>
            <w:color w:val="auto"/>
          </w:rPr>
          <w:fldChar w:fldCharType="end"/>
        </w:r>
      </w:hyperlink>
    </w:p>
    <w:p w:rsidR="004616EA" w:rsidRPr="007B21FB" w:rsidRDefault="004616EA" w:rsidP="007927E1">
      <w:pPr>
        <w:rPr>
          <w:rFonts w:ascii="Times New Roman" w:hAnsi="Times New Roman"/>
          <w:b/>
          <w:bCs/>
          <w:sz w:val="24"/>
          <w:szCs w:val="24"/>
        </w:rPr>
        <w:sectPr w:rsidR="004616EA" w:rsidRPr="007B21FB" w:rsidSect="002D1208">
          <w:pgSz w:w="11906" w:h="16838"/>
          <w:pgMar w:top="1134" w:right="567" w:bottom="1134" w:left="2552" w:header="709" w:footer="709" w:gutter="0"/>
          <w:pgNumType w:start="4"/>
          <w:cols w:space="708"/>
          <w:docGrid w:linePitch="360"/>
        </w:sectPr>
      </w:pPr>
      <w:r w:rsidRPr="007B21FB">
        <w:rPr>
          <w:rFonts w:ascii="Times New Roman" w:hAnsi="Times New Roman"/>
        </w:rPr>
        <w:fldChar w:fldCharType="end"/>
      </w:r>
    </w:p>
    <w:p w:rsidR="004616EA" w:rsidRDefault="004616EA" w:rsidP="00DB70C4">
      <w:pPr>
        <w:pStyle w:val="1"/>
        <w:spacing w:before="0" w:after="0"/>
        <w:ind w:firstLine="709"/>
        <w:rPr>
          <w:b w:val="0"/>
          <w:sz w:val="26"/>
          <w:szCs w:val="26"/>
        </w:rPr>
      </w:pPr>
      <w:bookmarkStart w:id="1" w:name="_Toc387238986"/>
      <w:bookmarkStart w:id="2" w:name="_Toc405805481"/>
      <w:r w:rsidRPr="00DB70C4">
        <w:rPr>
          <w:b w:val="0"/>
          <w:sz w:val="26"/>
          <w:szCs w:val="26"/>
        </w:rPr>
        <w:lastRenderedPageBreak/>
        <w:t xml:space="preserve">1 основы разработки Стратегии социально-экономического развития </w:t>
      </w:r>
      <w:bookmarkEnd w:id="1"/>
      <w:r w:rsidRPr="00DB70C4">
        <w:rPr>
          <w:b w:val="0"/>
          <w:sz w:val="26"/>
          <w:szCs w:val="26"/>
        </w:rPr>
        <w:t>городского округа город когалым</w:t>
      </w:r>
      <w:bookmarkEnd w:id="2"/>
    </w:p>
    <w:p w:rsidR="004616EA" w:rsidRPr="00DB70C4" w:rsidRDefault="004616EA" w:rsidP="00DB70C4">
      <w:pPr>
        <w:spacing w:after="0" w:line="240" w:lineRule="auto"/>
      </w:pPr>
    </w:p>
    <w:p w:rsidR="004616EA" w:rsidRPr="00DB70C4" w:rsidRDefault="004616EA" w:rsidP="00DB70C4">
      <w:pPr>
        <w:tabs>
          <w:tab w:val="left" w:pos="0"/>
        </w:tabs>
        <w:spacing w:after="0" w:line="240" w:lineRule="auto"/>
        <w:ind w:firstLine="709"/>
        <w:jc w:val="both"/>
        <w:rPr>
          <w:rFonts w:ascii="Times New Roman" w:hAnsi="Times New Roman"/>
          <w:sz w:val="26"/>
          <w:szCs w:val="26"/>
        </w:rPr>
      </w:pPr>
      <w:r w:rsidRPr="00DB70C4">
        <w:rPr>
          <w:rFonts w:ascii="Times New Roman" w:hAnsi="Times New Roman"/>
          <w:sz w:val="26"/>
          <w:szCs w:val="26"/>
        </w:rPr>
        <w:t xml:space="preserve">Успех социально-экономического развития города Когалыма (далее </w:t>
      </w:r>
      <w:r w:rsidRPr="00DB70C4">
        <w:rPr>
          <w:rFonts w:ascii="Times New Roman" w:hAnsi="Times New Roman"/>
          <w:sz w:val="26"/>
          <w:szCs w:val="26"/>
        </w:rPr>
        <w:lastRenderedPageBreak/>
        <w:t xml:space="preserve">также – городской округ город Когалым, муниципальное образование, городской округ) во многом зависит от качества стратегического управления, которое представляет собой систематический процесс, с помощью которого органы местного самоуправления определяют свое будущее и пути его </w:t>
      </w:r>
      <w:r w:rsidRPr="00DB70C4">
        <w:rPr>
          <w:rFonts w:ascii="Times New Roman" w:hAnsi="Times New Roman"/>
          <w:sz w:val="26"/>
          <w:szCs w:val="26"/>
        </w:rPr>
        <w:lastRenderedPageBreak/>
        <w:t>развития, исходя из ограниченных ресурсов территории.</w:t>
      </w:r>
    </w:p>
    <w:p w:rsidR="004616EA" w:rsidRPr="00DB70C4" w:rsidRDefault="004616EA" w:rsidP="00DB70C4">
      <w:pPr>
        <w:tabs>
          <w:tab w:val="left" w:pos="303"/>
          <w:tab w:val="left" w:pos="993"/>
        </w:tabs>
        <w:spacing w:after="0" w:line="240" w:lineRule="auto"/>
        <w:ind w:firstLine="709"/>
        <w:jc w:val="both"/>
        <w:rPr>
          <w:rFonts w:ascii="Times New Roman" w:hAnsi="Times New Roman"/>
          <w:sz w:val="26"/>
          <w:szCs w:val="26"/>
        </w:rPr>
      </w:pPr>
      <w:r w:rsidRPr="00DB70C4">
        <w:rPr>
          <w:rFonts w:ascii="Times New Roman" w:hAnsi="Times New Roman"/>
          <w:sz w:val="26"/>
          <w:szCs w:val="26"/>
        </w:rPr>
        <w:t>Стратегическое управление включает в себя:</w:t>
      </w:r>
    </w:p>
    <w:p w:rsidR="004616EA" w:rsidRPr="00DB70C4" w:rsidRDefault="004616EA" w:rsidP="00DB70C4">
      <w:pPr>
        <w:numPr>
          <w:ilvl w:val="0"/>
          <w:numId w:val="21"/>
        </w:numPr>
        <w:tabs>
          <w:tab w:val="left" w:pos="303"/>
          <w:tab w:val="left" w:pos="993"/>
        </w:tabs>
        <w:spacing w:after="0" w:line="240" w:lineRule="auto"/>
        <w:ind w:left="0" w:firstLine="709"/>
        <w:jc w:val="both"/>
        <w:rPr>
          <w:rFonts w:ascii="Times New Roman" w:hAnsi="Times New Roman"/>
          <w:sz w:val="26"/>
          <w:szCs w:val="26"/>
        </w:rPr>
      </w:pPr>
      <w:r w:rsidRPr="00DB70C4">
        <w:rPr>
          <w:rFonts w:ascii="Times New Roman" w:hAnsi="Times New Roman"/>
          <w:sz w:val="26"/>
          <w:szCs w:val="26"/>
        </w:rPr>
        <w:t>оценку имеющихся ресурсов, анализ ограничений, оценку потенциала и благоприятных факторов;</w:t>
      </w:r>
    </w:p>
    <w:p w:rsidR="004616EA" w:rsidRPr="00DB70C4" w:rsidRDefault="004616EA" w:rsidP="00DB70C4">
      <w:pPr>
        <w:numPr>
          <w:ilvl w:val="0"/>
          <w:numId w:val="21"/>
        </w:numPr>
        <w:tabs>
          <w:tab w:val="left" w:pos="303"/>
          <w:tab w:val="left" w:pos="993"/>
        </w:tabs>
        <w:spacing w:after="0" w:line="240" w:lineRule="auto"/>
        <w:ind w:left="0" w:firstLine="709"/>
        <w:jc w:val="both"/>
        <w:rPr>
          <w:rFonts w:ascii="Times New Roman" w:hAnsi="Times New Roman"/>
          <w:sz w:val="26"/>
          <w:szCs w:val="26"/>
        </w:rPr>
      </w:pPr>
      <w:r w:rsidRPr="00DB70C4">
        <w:rPr>
          <w:rFonts w:ascii="Times New Roman" w:hAnsi="Times New Roman"/>
          <w:sz w:val="26"/>
          <w:szCs w:val="26"/>
        </w:rPr>
        <w:lastRenderedPageBreak/>
        <w:t>определение целей, задач и основных сценариев развития в различных сферах жизнедеятельности;</w:t>
      </w:r>
    </w:p>
    <w:p w:rsidR="004616EA" w:rsidRPr="00DB70C4" w:rsidRDefault="004616EA" w:rsidP="00DB70C4">
      <w:pPr>
        <w:numPr>
          <w:ilvl w:val="0"/>
          <w:numId w:val="21"/>
        </w:numPr>
        <w:tabs>
          <w:tab w:val="left" w:pos="303"/>
          <w:tab w:val="left" w:pos="993"/>
        </w:tabs>
        <w:spacing w:after="0" w:line="240" w:lineRule="auto"/>
        <w:ind w:left="0" w:firstLine="709"/>
        <w:jc w:val="both"/>
        <w:rPr>
          <w:rFonts w:ascii="Times New Roman" w:hAnsi="Times New Roman"/>
          <w:sz w:val="26"/>
          <w:szCs w:val="26"/>
        </w:rPr>
      </w:pPr>
      <w:r w:rsidRPr="00DB70C4">
        <w:rPr>
          <w:rFonts w:ascii="Times New Roman" w:hAnsi="Times New Roman"/>
          <w:sz w:val="26"/>
          <w:szCs w:val="26"/>
        </w:rPr>
        <w:t>разработку рекомендаций и мероприятий реализации стратегии (способов) достижения поставленных целей.</w:t>
      </w:r>
    </w:p>
    <w:p w:rsidR="004616EA" w:rsidRPr="00DB70C4" w:rsidRDefault="004616EA" w:rsidP="00DB70C4">
      <w:pPr>
        <w:tabs>
          <w:tab w:val="left" w:pos="303"/>
          <w:tab w:val="left" w:pos="993"/>
        </w:tabs>
        <w:spacing w:after="0" w:line="240" w:lineRule="auto"/>
        <w:ind w:firstLine="709"/>
        <w:jc w:val="both"/>
        <w:rPr>
          <w:rFonts w:ascii="Times New Roman" w:hAnsi="Times New Roman"/>
          <w:sz w:val="26"/>
          <w:szCs w:val="26"/>
        </w:rPr>
      </w:pPr>
      <w:r w:rsidRPr="00DB70C4">
        <w:rPr>
          <w:rFonts w:ascii="Times New Roman" w:hAnsi="Times New Roman"/>
          <w:sz w:val="26"/>
          <w:szCs w:val="26"/>
        </w:rPr>
        <w:t xml:space="preserve">Стратегия социально-экономического развития городского округа предполагает цикл стратегического </w:t>
      </w:r>
      <w:r w:rsidRPr="00DB70C4">
        <w:rPr>
          <w:rFonts w:ascii="Times New Roman" w:hAnsi="Times New Roman"/>
          <w:sz w:val="26"/>
          <w:szCs w:val="26"/>
        </w:rPr>
        <w:lastRenderedPageBreak/>
        <w:t>управления, в ходе которого идет уточнение и корректировка действий, под влиянием изменения факторов внутренней и внешней среды.</w:t>
      </w:r>
    </w:p>
    <w:p w:rsidR="004616EA" w:rsidRPr="00DB70C4" w:rsidRDefault="004616EA" w:rsidP="00DB70C4">
      <w:pPr>
        <w:tabs>
          <w:tab w:val="left" w:pos="303"/>
          <w:tab w:val="left" w:pos="993"/>
        </w:tabs>
        <w:spacing w:after="0" w:line="240" w:lineRule="auto"/>
        <w:ind w:firstLine="709"/>
        <w:jc w:val="both"/>
        <w:rPr>
          <w:rFonts w:ascii="Times New Roman" w:hAnsi="Times New Roman"/>
          <w:sz w:val="26"/>
          <w:szCs w:val="26"/>
        </w:rPr>
      </w:pPr>
      <w:r w:rsidRPr="00DB70C4">
        <w:rPr>
          <w:rFonts w:ascii="Times New Roman" w:hAnsi="Times New Roman"/>
          <w:sz w:val="26"/>
          <w:szCs w:val="26"/>
        </w:rPr>
        <w:t xml:space="preserve">Стратегия социально-экономического развития городского округа город Когалым до 2020 года и на период до 2030 года (далее – также Стратегия) </w:t>
      </w:r>
      <w:r w:rsidRPr="00DB70C4">
        <w:rPr>
          <w:rFonts w:ascii="Times New Roman" w:hAnsi="Times New Roman"/>
          <w:sz w:val="26"/>
          <w:szCs w:val="26"/>
        </w:rPr>
        <w:lastRenderedPageBreak/>
        <w:t>представляет собой комплексный документ стратегического планирования, содержащий обоснование целевого сценария развития, систему приоритетов, целей и задач долгосрочного социально-экономического развития городского округа, а также обоснова</w:t>
      </w:r>
      <w:r w:rsidRPr="00DB70C4">
        <w:rPr>
          <w:rFonts w:ascii="Times New Roman" w:hAnsi="Times New Roman"/>
          <w:sz w:val="26"/>
          <w:szCs w:val="26"/>
        </w:rPr>
        <w:lastRenderedPageBreak/>
        <w:t xml:space="preserve">ние основных механизмов их достижения и мониторинга реализации стратегических ориентиров. </w:t>
      </w:r>
    </w:p>
    <w:p w:rsidR="004616EA" w:rsidRPr="00DB70C4" w:rsidRDefault="004616EA" w:rsidP="00DB70C4">
      <w:pPr>
        <w:tabs>
          <w:tab w:val="left" w:pos="303"/>
          <w:tab w:val="left" w:pos="993"/>
        </w:tabs>
        <w:spacing w:after="0" w:line="240" w:lineRule="auto"/>
        <w:ind w:firstLine="709"/>
        <w:jc w:val="both"/>
        <w:rPr>
          <w:rFonts w:ascii="Times New Roman" w:hAnsi="Times New Roman"/>
          <w:sz w:val="26"/>
          <w:szCs w:val="26"/>
        </w:rPr>
      </w:pPr>
      <w:r w:rsidRPr="00DB70C4">
        <w:rPr>
          <w:rFonts w:ascii="Times New Roman" w:hAnsi="Times New Roman"/>
          <w:sz w:val="26"/>
          <w:szCs w:val="26"/>
        </w:rPr>
        <w:t xml:space="preserve">Во вступившем в силу 11 июля 2014 г. Федеральном законе от 28 июня 2014 г. №172-ФЗ «О стратегическом планировании в Российской Федерации» (далее – Закон) отмечено, что </w:t>
      </w:r>
      <w:r w:rsidRPr="00DB70C4">
        <w:rPr>
          <w:rFonts w:ascii="Times New Roman" w:hAnsi="Times New Roman"/>
          <w:sz w:val="26"/>
          <w:szCs w:val="26"/>
        </w:rPr>
        <w:lastRenderedPageBreak/>
        <w:t xml:space="preserve">стратегическое планирование в Российской Федерации осуществляется на федеральном уровне, уровне субъектов Российской Федерации и уровне муниципальных образований. В соответствии с указанным Законом, одним из главных документов стратегического планирования, разрабатываемых </w:t>
      </w:r>
      <w:r w:rsidRPr="00DB70C4">
        <w:rPr>
          <w:rFonts w:ascii="Times New Roman" w:hAnsi="Times New Roman"/>
          <w:sz w:val="26"/>
          <w:szCs w:val="26"/>
        </w:rPr>
        <w:lastRenderedPageBreak/>
        <w:t>на уровне муниципального образования, является стратегия социально-экономического развития муниципального образования.</w:t>
      </w:r>
    </w:p>
    <w:p w:rsidR="004616EA" w:rsidRPr="00DB70C4" w:rsidRDefault="004616EA" w:rsidP="00DB70C4">
      <w:pPr>
        <w:tabs>
          <w:tab w:val="left" w:pos="303"/>
          <w:tab w:val="left" w:pos="993"/>
        </w:tabs>
        <w:spacing w:after="0" w:line="240" w:lineRule="auto"/>
        <w:ind w:firstLine="709"/>
        <w:jc w:val="both"/>
        <w:rPr>
          <w:rFonts w:ascii="Times New Roman" w:hAnsi="Times New Roman"/>
          <w:sz w:val="26"/>
          <w:szCs w:val="26"/>
        </w:rPr>
      </w:pPr>
      <w:r w:rsidRPr="00DB70C4">
        <w:rPr>
          <w:rFonts w:ascii="Times New Roman" w:hAnsi="Times New Roman"/>
          <w:sz w:val="26"/>
          <w:szCs w:val="26"/>
        </w:rPr>
        <w:t xml:space="preserve">Основанием для разработки Стратегии, в том числе является необходимость базирования решений документов территориального планирования </w:t>
      </w:r>
      <w:r w:rsidRPr="00DB70C4">
        <w:rPr>
          <w:rFonts w:ascii="Times New Roman" w:hAnsi="Times New Roman"/>
          <w:sz w:val="26"/>
          <w:szCs w:val="26"/>
        </w:rPr>
        <w:lastRenderedPageBreak/>
        <w:t xml:space="preserve">на стратегических документах социально-экономического планирования. </w:t>
      </w:r>
    </w:p>
    <w:p w:rsidR="004616EA" w:rsidRPr="00DB70C4" w:rsidRDefault="004616EA" w:rsidP="00DB70C4">
      <w:pPr>
        <w:tabs>
          <w:tab w:val="left" w:pos="303"/>
          <w:tab w:val="left" w:pos="993"/>
        </w:tabs>
        <w:spacing w:after="0" w:line="240" w:lineRule="auto"/>
        <w:ind w:firstLine="709"/>
        <w:jc w:val="both"/>
        <w:rPr>
          <w:rFonts w:ascii="Times New Roman" w:hAnsi="Times New Roman"/>
          <w:sz w:val="26"/>
          <w:szCs w:val="26"/>
        </w:rPr>
      </w:pPr>
      <w:r w:rsidRPr="00DB70C4">
        <w:rPr>
          <w:rFonts w:ascii="Times New Roman" w:hAnsi="Times New Roman"/>
          <w:sz w:val="26"/>
          <w:szCs w:val="26"/>
        </w:rPr>
        <w:t>Разработка Стратегии вызвана также необходимостью формулирования основных целей, направлений и приоритетов социально-экономического развития городского округа, в соответствии с происходящими изме</w:t>
      </w:r>
      <w:r w:rsidRPr="00DB70C4">
        <w:rPr>
          <w:rFonts w:ascii="Times New Roman" w:hAnsi="Times New Roman"/>
          <w:sz w:val="26"/>
          <w:szCs w:val="26"/>
        </w:rPr>
        <w:lastRenderedPageBreak/>
        <w:t xml:space="preserve">нениями внешней среды стратегического планирования, региональными и мировыми тенденциями социально-экономического развития, изменениями в региональной социально-экономической политике, переоценкой приоритетов социально-экономического </w:t>
      </w:r>
      <w:r w:rsidRPr="00DB70C4">
        <w:rPr>
          <w:rFonts w:ascii="Times New Roman" w:hAnsi="Times New Roman"/>
          <w:sz w:val="26"/>
          <w:szCs w:val="26"/>
        </w:rPr>
        <w:lastRenderedPageBreak/>
        <w:t>развития, направлений и целей развития, путей и подходов к их достижению.</w:t>
      </w:r>
    </w:p>
    <w:p w:rsidR="004616EA" w:rsidRPr="00DB70C4" w:rsidRDefault="004616EA" w:rsidP="00DB70C4">
      <w:pPr>
        <w:tabs>
          <w:tab w:val="left" w:pos="303"/>
          <w:tab w:val="left" w:pos="993"/>
        </w:tabs>
        <w:spacing w:after="0" w:line="240" w:lineRule="auto"/>
        <w:ind w:firstLine="709"/>
        <w:jc w:val="both"/>
        <w:rPr>
          <w:rFonts w:ascii="Times New Roman" w:hAnsi="Times New Roman"/>
          <w:sz w:val="26"/>
          <w:szCs w:val="26"/>
        </w:rPr>
      </w:pPr>
      <w:r w:rsidRPr="00DB70C4">
        <w:rPr>
          <w:rFonts w:ascii="Times New Roman" w:hAnsi="Times New Roman"/>
          <w:sz w:val="26"/>
          <w:szCs w:val="26"/>
        </w:rPr>
        <w:t>Разработка Стратегии социально-экономического развития городского округа город Когалым до 2020 года и на период до 2030 года осуществляется в целях:</w:t>
      </w:r>
    </w:p>
    <w:p w:rsidR="004616EA" w:rsidRPr="00DB70C4" w:rsidRDefault="004616EA" w:rsidP="00DB70C4">
      <w:pPr>
        <w:numPr>
          <w:ilvl w:val="0"/>
          <w:numId w:val="19"/>
        </w:numPr>
        <w:tabs>
          <w:tab w:val="left" w:pos="993"/>
        </w:tabs>
        <w:spacing w:after="0" w:line="240" w:lineRule="auto"/>
        <w:ind w:left="0" w:firstLine="709"/>
        <w:jc w:val="both"/>
        <w:rPr>
          <w:rFonts w:ascii="Times New Roman" w:hAnsi="Times New Roman"/>
          <w:sz w:val="26"/>
          <w:szCs w:val="26"/>
        </w:rPr>
      </w:pPr>
      <w:r w:rsidRPr="00DB70C4">
        <w:rPr>
          <w:rFonts w:ascii="Times New Roman" w:hAnsi="Times New Roman"/>
          <w:sz w:val="26"/>
          <w:szCs w:val="26"/>
        </w:rPr>
        <w:lastRenderedPageBreak/>
        <w:t>выработки единого вектора развития городского округа на долгосрочную перспективу;</w:t>
      </w:r>
    </w:p>
    <w:p w:rsidR="004616EA" w:rsidRPr="00DB70C4" w:rsidRDefault="004616EA" w:rsidP="00DB70C4">
      <w:pPr>
        <w:numPr>
          <w:ilvl w:val="0"/>
          <w:numId w:val="19"/>
        </w:numPr>
        <w:tabs>
          <w:tab w:val="left" w:pos="993"/>
        </w:tabs>
        <w:spacing w:after="0" w:line="240" w:lineRule="auto"/>
        <w:ind w:left="0" w:firstLine="709"/>
        <w:jc w:val="both"/>
        <w:rPr>
          <w:rFonts w:ascii="Times New Roman" w:hAnsi="Times New Roman"/>
          <w:sz w:val="26"/>
          <w:szCs w:val="26"/>
        </w:rPr>
      </w:pPr>
      <w:r w:rsidRPr="00DB70C4">
        <w:rPr>
          <w:rFonts w:ascii="Times New Roman" w:hAnsi="Times New Roman"/>
          <w:sz w:val="26"/>
          <w:szCs w:val="26"/>
        </w:rPr>
        <w:t xml:space="preserve">получения основы для разработки документов территориального планирования (ч. 5 ст. 9 Градостроительного кодекса РФ), которые, согласно ч. 10 и ч. 11 ст. 9 Градостроительного кодекса РФ, должны утверждаться на срок не </w:t>
      </w:r>
      <w:r w:rsidRPr="00DB70C4">
        <w:rPr>
          <w:rFonts w:ascii="Times New Roman" w:hAnsi="Times New Roman"/>
          <w:sz w:val="26"/>
          <w:szCs w:val="26"/>
        </w:rPr>
        <w:lastRenderedPageBreak/>
        <w:t>менее чем 20 лет, если документом территориального планирования муниципального образования предусмотрено размещение объектов местного значения;</w:t>
      </w:r>
    </w:p>
    <w:p w:rsidR="004616EA" w:rsidRPr="00DB70C4" w:rsidRDefault="004616EA" w:rsidP="00DB70C4">
      <w:pPr>
        <w:numPr>
          <w:ilvl w:val="0"/>
          <w:numId w:val="19"/>
        </w:numPr>
        <w:tabs>
          <w:tab w:val="left" w:pos="993"/>
        </w:tabs>
        <w:spacing w:after="0" w:line="240" w:lineRule="auto"/>
        <w:ind w:left="0" w:firstLine="709"/>
        <w:jc w:val="both"/>
        <w:rPr>
          <w:rFonts w:ascii="Times New Roman" w:hAnsi="Times New Roman"/>
          <w:sz w:val="26"/>
          <w:szCs w:val="26"/>
        </w:rPr>
      </w:pPr>
      <w:r w:rsidRPr="00DB70C4">
        <w:rPr>
          <w:rFonts w:ascii="Times New Roman" w:hAnsi="Times New Roman"/>
          <w:sz w:val="26"/>
          <w:szCs w:val="26"/>
        </w:rPr>
        <w:t xml:space="preserve">обеспечения гармонизации стратегических приоритетов и целевых показателей социально-экономического </w:t>
      </w:r>
      <w:r w:rsidRPr="00DB70C4">
        <w:rPr>
          <w:rFonts w:ascii="Times New Roman" w:hAnsi="Times New Roman"/>
          <w:sz w:val="26"/>
          <w:szCs w:val="26"/>
        </w:rPr>
        <w:lastRenderedPageBreak/>
        <w:t>развития городского округа с решениями генерального плана.</w:t>
      </w:r>
    </w:p>
    <w:p w:rsidR="004616EA" w:rsidRPr="00DB70C4" w:rsidRDefault="004616EA" w:rsidP="00DB70C4">
      <w:pPr>
        <w:tabs>
          <w:tab w:val="left" w:pos="303"/>
          <w:tab w:val="left" w:pos="993"/>
        </w:tabs>
        <w:spacing w:after="0" w:line="240" w:lineRule="auto"/>
        <w:ind w:firstLine="709"/>
        <w:jc w:val="both"/>
        <w:rPr>
          <w:rFonts w:ascii="Times New Roman" w:hAnsi="Times New Roman"/>
          <w:sz w:val="26"/>
          <w:szCs w:val="26"/>
        </w:rPr>
      </w:pPr>
      <w:r w:rsidRPr="00DB70C4">
        <w:rPr>
          <w:rFonts w:ascii="Times New Roman" w:hAnsi="Times New Roman"/>
          <w:sz w:val="26"/>
          <w:szCs w:val="26"/>
        </w:rPr>
        <w:t xml:space="preserve">Разработка Стратегии осуществлялась с учетом соблюдения целей последовательного, поэтапного улучшения ситуации в экономике и социальной сфере на основе рационального использования природно-ресурсного и </w:t>
      </w:r>
      <w:r w:rsidRPr="00DB70C4">
        <w:rPr>
          <w:rFonts w:ascii="Times New Roman" w:hAnsi="Times New Roman"/>
          <w:sz w:val="26"/>
          <w:szCs w:val="26"/>
        </w:rPr>
        <w:lastRenderedPageBreak/>
        <w:t>социально-экономического потенциала городского округа, в увязке с перспективами развития региона и страны в целом.</w:t>
      </w:r>
    </w:p>
    <w:p w:rsidR="004616EA" w:rsidRPr="00DB70C4" w:rsidRDefault="004616EA" w:rsidP="00DB70C4">
      <w:pPr>
        <w:tabs>
          <w:tab w:val="left" w:pos="303"/>
          <w:tab w:val="left" w:pos="993"/>
        </w:tabs>
        <w:spacing w:after="0" w:line="240" w:lineRule="auto"/>
        <w:ind w:firstLine="709"/>
        <w:jc w:val="both"/>
        <w:rPr>
          <w:rFonts w:ascii="Times New Roman" w:hAnsi="Times New Roman"/>
          <w:sz w:val="26"/>
          <w:szCs w:val="26"/>
        </w:rPr>
      </w:pPr>
      <w:r w:rsidRPr="00DB70C4">
        <w:rPr>
          <w:rFonts w:ascii="Times New Roman" w:hAnsi="Times New Roman"/>
          <w:sz w:val="26"/>
          <w:szCs w:val="26"/>
        </w:rPr>
        <w:t>Сформулированные в рамках Стратегии цели и задачи развития учитывали также приоритетные направления долгосрочного развития Ханты-Мансийского автономного округа – Югры:</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lastRenderedPageBreak/>
        <w:t>сохранение макроэкономической стабильности и переход к устойчивому развитию;</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t>повышение качества жизни населения, снижение уровня социального неравенства;</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t>обеспечение безопасности граждан;</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lastRenderedPageBreak/>
        <w:t>обеспечение эффективности системы государственного управления;</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t>экологическое развитие.</w:t>
      </w:r>
    </w:p>
    <w:p w:rsidR="004616EA" w:rsidRPr="00DB70C4" w:rsidRDefault="004616EA" w:rsidP="00DB70C4">
      <w:pPr>
        <w:tabs>
          <w:tab w:val="left" w:pos="303"/>
          <w:tab w:val="left" w:pos="993"/>
        </w:tabs>
        <w:spacing w:after="0" w:line="240" w:lineRule="auto"/>
        <w:ind w:firstLine="709"/>
        <w:jc w:val="both"/>
        <w:rPr>
          <w:rFonts w:ascii="Times New Roman" w:hAnsi="Times New Roman"/>
          <w:sz w:val="26"/>
          <w:szCs w:val="26"/>
        </w:rPr>
      </w:pPr>
      <w:r w:rsidRPr="00DB70C4">
        <w:rPr>
          <w:rFonts w:ascii="Times New Roman" w:hAnsi="Times New Roman"/>
          <w:sz w:val="26"/>
          <w:szCs w:val="26"/>
        </w:rPr>
        <w:t>Задачами разработки Стратегии являлись:</w:t>
      </w:r>
    </w:p>
    <w:p w:rsidR="004616EA" w:rsidRPr="00DB70C4" w:rsidRDefault="004616EA" w:rsidP="00DB70C4">
      <w:pPr>
        <w:numPr>
          <w:ilvl w:val="0"/>
          <w:numId w:val="19"/>
        </w:numPr>
        <w:tabs>
          <w:tab w:val="left" w:pos="993"/>
        </w:tabs>
        <w:spacing w:after="0" w:line="240" w:lineRule="auto"/>
        <w:ind w:left="0" w:firstLine="709"/>
        <w:jc w:val="both"/>
        <w:rPr>
          <w:rFonts w:ascii="Times New Roman" w:hAnsi="Times New Roman"/>
          <w:sz w:val="26"/>
          <w:szCs w:val="26"/>
        </w:rPr>
      </w:pPr>
      <w:r w:rsidRPr="00DB70C4">
        <w:rPr>
          <w:rFonts w:ascii="Times New Roman" w:hAnsi="Times New Roman"/>
          <w:sz w:val="26"/>
          <w:szCs w:val="26"/>
        </w:rPr>
        <w:t xml:space="preserve">оценка текущего состояния экономики и социальной сферы городского округа, выявление проблем и </w:t>
      </w:r>
      <w:r w:rsidRPr="00DB70C4">
        <w:rPr>
          <w:rFonts w:ascii="Times New Roman" w:hAnsi="Times New Roman"/>
          <w:sz w:val="26"/>
          <w:szCs w:val="26"/>
        </w:rPr>
        <w:lastRenderedPageBreak/>
        <w:t xml:space="preserve">приоритетов развития отраслей непроизводственной и производственных сфер; </w:t>
      </w:r>
    </w:p>
    <w:p w:rsidR="004616EA" w:rsidRPr="00DB70C4" w:rsidRDefault="004616EA" w:rsidP="00DB70C4">
      <w:pPr>
        <w:numPr>
          <w:ilvl w:val="0"/>
          <w:numId w:val="19"/>
        </w:numPr>
        <w:tabs>
          <w:tab w:val="left" w:pos="993"/>
        </w:tabs>
        <w:spacing w:after="0" w:line="240" w:lineRule="auto"/>
        <w:ind w:left="0" w:firstLine="709"/>
        <w:jc w:val="both"/>
        <w:rPr>
          <w:rFonts w:ascii="Times New Roman" w:hAnsi="Times New Roman"/>
          <w:sz w:val="26"/>
          <w:szCs w:val="26"/>
        </w:rPr>
      </w:pPr>
      <w:r w:rsidRPr="00DB70C4">
        <w:rPr>
          <w:rFonts w:ascii="Times New Roman" w:hAnsi="Times New Roman"/>
          <w:sz w:val="26"/>
          <w:szCs w:val="26"/>
        </w:rPr>
        <w:t>оценка возможных направлений развития городского округа в увязке со стратегиями Ханты-Мансийского автономного округа-Югры и Российской Федерации;</w:t>
      </w:r>
    </w:p>
    <w:p w:rsidR="004616EA" w:rsidRPr="00DB70C4" w:rsidRDefault="004616EA" w:rsidP="00DB70C4">
      <w:pPr>
        <w:numPr>
          <w:ilvl w:val="0"/>
          <w:numId w:val="19"/>
        </w:numPr>
        <w:tabs>
          <w:tab w:val="left" w:pos="993"/>
        </w:tabs>
        <w:spacing w:after="0" w:line="240" w:lineRule="auto"/>
        <w:ind w:left="0" w:firstLine="709"/>
        <w:jc w:val="both"/>
        <w:rPr>
          <w:rFonts w:ascii="Times New Roman" w:hAnsi="Times New Roman"/>
          <w:sz w:val="26"/>
          <w:szCs w:val="26"/>
        </w:rPr>
      </w:pPr>
      <w:r w:rsidRPr="00DB70C4">
        <w:rPr>
          <w:rFonts w:ascii="Times New Roman" w:hAnsi="Times New Roman"/>
          <w:sz w:val="26"/>
          <w:szCs w:val="26"/>
        </w:rPr>
        <w:lastRenderedPageBreak/>
        <w:t>определение механизма реализации выбранной Стратегии городского округа;</w:t>
      </w:r>
    </w:p>
    <w:p w:rsidR="004616EA" w:rsidRPr="00DB70C4" w:rsidRDefault="004616EA" w:rsidP="00DB70C4">
      <w:pPr>
        <w:numPr>
          <w:ilvl w:val="0"/>
          <w:numId w:val="19"/>
        </w:numPr>
        <w:tabs>
          <w:tab w:val="left" w:pos="993"/>
        </w:tabs>
        <w:spacing w:after="0" w:line="240" w:lineRule="auto"/>
        <w:ind w:left="0" w:firstLine="709"/>
        <w:jc w:val="both"/>
        <w:rPr>
          <w:rFonts w:ascii="Times New Roman" w:hAnsi="Times New Roman"/>
          <w:sz w:val="26"/>
          <w:szCs w:val="26"/>
        </w:rPr>
      </w:pPr>
      <w:r w:rsidRPr="00DB70C4">
        <w:rPr>
          <w:rFonts w:ascii="Times New Roman" w:hAnsi="Times New Roman"/>
          <w:sz w:val="26"/>
          <w:szCs w:val="26"/>
        </w:rPr>
        <w:t>оценка социально-экономических последствий реализации Стратегии городского округа;</w:t>
      </w:r>
    </w:p>
    <w:p w:rsidR="004616EA" w:rsidRPr="00DB70C4" w:rsidRDefault="004616EA" w:rsidP="00DB70C4">
      <w:pPr>
        <w:numPr>
          <w:ilvl w:val="0"/>
          <w:numId w:val="19"/>
        </w:numPr>
        <w:tabs>
          <w:tab w:val="left" w:pos="993"/>
        </w:tabs>
        <w:spacing w:after="0" w:line="240" w:lineRule="auto"/>
        <w:ind w:left="0" w:firstLine="709"/>
        <w:jc w:val="both"/>
        <w:rPr>
          <w:rFonts w:ascii="Times New Roman" w:hAnsi="Times New Roman"/>
          <w:sz w:val="26"/>
          <w:szCs w:val="26"/>
        </w:rPr>
      </w:pPr>
      <w:r w:rsidRPr="00DB70C4">
        <w:rPr>
          <w:rFonts w:ascii="Times New Roman" w:hAnsi="Times New Roman"/>
          <w:sz w:val="26"/>
          <w:szCs w:val="26"/>
        </w:rPr>
        <w:t>разработка предложений по оптимизации деятельности Администрации городского округа.</w:t>
      </w:r>
    </w:p>
    <w:p w:rsidR="004616EA" w:rsidRPr="00DB70C4" w:rsidRDefault="004616EA" w:rsidP="00DB70C4">
      <w:pPr>
        <w:tabs>
          <w:tab w:val="left" w:pos="303"/>
          <w:tab w:val="left" w:pos="993"/>
        </w:tabs>
        <w:spacing w:after="0" w:line="240" w:lineRule="auto"/>
        <w:ind w:firstLine="709"/>
        <w:jc w:val="both"/>
        <w:rPr>
          <w:rFonts w:ascii="Times New Roman" w:hAnsi="Times New Roman"/>
          <w:sz w:val="26"/>
          <w:szCs w:val="26"/>
        </w:rPr>
      </w:pPr>
      <w:r w:rsidRPr="00DB70C4">
        <w:rPr>
          <w:rFonts w:ascii="Times New Roman" w:hAnsi="Times New Roman"/>
          <w:sz w:val="26"/>
          <w:szCs w:val="26"/>
        </w:rPr>
        <w:lastRenderedPageBreak/>
        <w:t xml:space="preserve">Нормативно-правовой основой разработки Стратегии послужил комплекс документов, регламентирующих процессы стратегического планирования и задающих общие направления развития на федеральном, региональном и муниципальном уровнях. В частности, при подготовке документа </w:t>
      </w:r>
      <w:r w:rsidRPr="00DB70C4">
        <w:rPr>
          <w:rFonts w:ascii="Times New Roman" w:hAnsi="Times New Roman"/>
          <w:sz w:val="26"/>
          <w:szCs w:val="26"/>
        </w:rPr>
        <w:lastRenderedPageBreak/>
        <w:t xml:space="preserve">учитывались положения следующих документов: </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t>Федеральный закон от 28 июня 2014 г. №172-ФЗ</w:t>
      </w:r>
      <w:r>
        <w:rPr>
          <w:rFonts w:ascii="Times New Roman" w:hAnsi="Times New Roman"/>
          <w:sz w:val="26"/>
          <w:szCs w:val="26"/>
        </w:rPr>
        <w:t xml:space="preserve">                           </w:t>
      </w:r>
      <w:r w:rsidRPr="00DB70C4">
        <w:rPr>
          <w:rFonts w:ascii="Times New Roman" w:hAnsi="Times New Roman"/>
          <w:sz w:val="26"/>
          <w:szCs w:val="26"/>
        </w:rPr>
        <w:t xml:space="preserve"> «О стратегическом планировании в Российской Федерации»;</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t xml:space="preserve">Концепция долгосрочного социально-экономического развития Российской Федерации на период до 2020 </w:t>
      </w:r>
      <w:r w:rsidRPr="00DB70C4">
        <w:rPr>
          <w:rFonts w:ascii="Times New Roman" w:hAnsi="Times New Roman"/>
          <w:sz w:val="26"/>
          <w:szCs w:val="26"/>
        </w:rPr>
        <w:lastRenderedPageBreak/>
        <w:t xml:space="preserve">года, утвержденная Распоряжением Правительства Российской Федерации от 17.11.2008 №1662-р; </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t>Прогноз долгосрочного социально-экономического развития Российской Федерации на период до 2030 года, разработанный Министерством экономического развития Российской Федерации;</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lastRenderedPageBreak/>
        <w:t>Прогноз социально-экономического развития Российской Федерации на 2014 год и на плановый период 2015 и 2016 годов, разработанный Министерством экономического развития Российской Федерации;</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t xml:space="preserve">Распоряжение Правительства Ханты-Мансийского автономного округа – Югры от 22.03.2013 №101-рп </w:t>
      </w:r>
      <w:r w:rsidRPr="00DB70C4">
        <w:rPr>
          <w:rFonts w:ascii="Times New Roman" w:hAnsi="Times New Roman"/>
          <w:sz w:val="26"/>
          <w:szCs w:val="26"/>
        </w:rPr>
        <w:lastRenderedPageBreak/>
        <w:t>«О стратегии социально-экономического развития Ханты-Мансийского автономного округа – Югры до 2020 года и на период до 2030 года»;</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t>Прогноз социально-экономического развития Ханты-Мансийского автономного округа – Югры на период до 2030 года, утвержденный Распоря</w:t>
      </w:r>
      <w:r w:rsidRPr="00DB70C4">
        <w:rPr>
          <w:rFonts w:ascii="Times New Roman" w:hAnsi="Times New Roman"/>
          <w:sz w:val="26"/>
          <w:szCs w:val="26"/>
        </w:rPr>
        <w:lastRenderedPageBreak/>
        <w:t>жением Правительства Ханты – Мансийского автономного округа – Югры от 26.07.2013 №383-рп;</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t>Прогноз социально-экономического развития города Когалыма на 2014 год и на плановый период 2015 и 2016 годов, утвержденный Постановлением Администрации города Кога</w:t>
      </w:r>
      <w:r w:rsidRPr="00DB70C4">
        <w:rPr>
          <w:rFonts w:ascii="Times New Roman" w:hAnsi="Times New Roman"/>
          <w:sz w:val="26"/>
          <w:szCs w:val="26"/>
        </w:rPr>
        <w:lastRenderedPageBreak/>
        <w:t>лыма Ханты-Мансийского автономног</w:t>
      </w:r>
      <w:r>
        <w:rPr>
          <w:rFonts w:ascii="Times New Roman" w:hAnsi="Times New Roman"/>
          <w:sz w:val="26"/>
          <w:szCs w:val="26"/>
        </w:rPr>
        <w:t>о округа – Югры от 07.11.2013 №</w:t>
      </w:r>
      <w:r w:rsidRPr="00DB70C4">
        <w:rPr>
          <w:rFonts w:ascii="Times New Roman" w:hAnsi="Times New Roman"/>
          <w:sz w:val="26"/>
          <w:szCs w:val="26"/>
        </w:rPr>
        <w:t>3166;</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t>Муниципальные программы города Когалыма;</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t>другие документы.</w:t>
      </w:r>
    </w:p>
    <w:p w:rsidR="004616EA" w:rsidRPr="00475E67" w:rsidRDefault="004616EA" w:rsidP="007927E1">
      <w:pPr>
        <w:autoSpaceDE w:val="0"/>
        <w:autoSpaceDN w:val="0"/>
        <w:adjustRightInd w:val="0"/>
        <w:spacing w:after="0"/>
        <w:ind w:left="993"/>
        <w:jc w:val="both"/>
        <w:rPr>
          <w:rFonts w:ascii="Times New Roman" w:hAnsi="Times New Roman"/>
          <w:sz w:val="24"/>
          <w:szCs w:val="24"/>
        </w:rPr>
      </w:pPr>
    </w:p>
    <w:p w:rsidR="004616EA" w:rsidRPr="00475E67" w:rsidRDefault="004616EA" w:rsidP="007927E1">
      <w:pPr>
        <w:autoSpaceDE w:val="0"/>
        <w:autoSpaceDN w:val="0"/>
        <w:adjustRightInd w:val="0"/>
        <w:spacing w:after="0"/>
        <w:ind w:left="993"/>
        <w:jc w:val="both"/>
        <w:rPr>
          <w:rFonts w:ascii="Times New Roman" w:hAnsi="Times New Roman"/>
          <w:sz w:val="24"/>
          <w:szCs w:val="24"/>
        </w:rPr>
        <w:sectPr w:rsidR="004616EA" w:rsidRPr="00475E67" w:rsidSect="00EC2DBF">
          <w:pgSz w:w="11906" w:h="16838"/>
          <w:pgMar w:top="1134" w:right="567" w:bottom="1134" w:left="2552" w:header="709" w:footer="709" w:gutter="0"/>
          <w:cols w:space="708"/>
          <w:docGrid w:linePitch="360"/>
        </w:sectPr>
      </w:pPr>
    </w:p>
    <w:p w:rsidR="004616EA" w:rsidRDefault="004616EA" w:rsidP="00DB70C4">
      <w:pPr>
        <w:pStyle w:val="1"/>
        <w:tabs>
          <w:tab w:val="clear" w:pos="851"/>
          <w:tab w:val="left" w:pos="0"/>
        </w:tabs>
        <w:spacing w:before="0" w:after="0"/>
        <w:ind w:firstLine="709"/>
        <w:rPr>
          <w:b w:val="0"/>
          <w:sz w:val="26"/>
          <w:szCs w:val="26"/>
        </w:rPr>
      </w:pPr>
      <w:bookmarkStart w:id="3" w:name="_Toc387238987"/>
      <w:bookmarkStart w:id="4" w:name="_Toc405805482"/>
      <w:r w:rsidRPr="00DB70C4">
        <w:rPr>
          <w:b w:val="0"/>
          <w:sz w:val="26"/>
          <w:szCs w:val="26"/>
        </w:rPr>
        <w:lastRenderedPageBreak/>
        <w:t xml:space="preserve">2 Комплексный анализ социально-экономического положения </w:t>
      </w:r>
      <w:bookmarkEnd w:id="3"/>
      <w:r w:rsidRPr="00DB70C4">
        <w:rPr>
          <w:b w:val="0"/>
          <w:sz w:val="26"/>
          <w:szCs w:val="26"/>
        </w:rPr>
        <w:t>городского округа город когалым</w:t>
      </w:r>
      <w:bookmarkEnd w:id="4"/>
    </w:p>
    <w:p w:rsidR="004616EA" w:rsidRPr="00DB70C4" w:rsidRDefault="004616EA" w:rsidP="00DB70C4">
      <w:pPr>
        <w:spacing w:after="0" w:line="240" w:lineRule="auto"/>
      </w:pPr>
    </w:p>
    <w:p w:rsidR="004616EA" w:rsidRPr="002D1208" w:rsidRDefault="004616EA" w:rsidP="00DB70C4">
      <w:pPr>
        <w:pStyle w:val="3"/>
        <w:spacing w:line="240" w:lineRule="auto"/>
        <w:ind w:firstLine="709"/>
        <w:rPr>
          <w:sz w:val="26"/>
        </w:rPr>
      </w:pPr>
      <w:bookmarkStart w:id="5" w:name="_Toc405805483"/>
      <w:bookmarkStart w:id="6" w:name="_Toc387238988"/>
      <w:r w:rsidRPr="002D1208">
        <w:rPr>
          <w:sz w:val="26"/>
        </w:rPr>
        <w:lastRenderedPageBreak/>
        <w:t>2.1 Природно-ресурсный потенциал и экологическое состояние территории</w:t>
      </w:r>
      <w:bookmarkEnd w:id="5"/>
    </w:p>
    <w:p w:rsidR="004616EA" w:rsidRPr="00DB70C4" w:rsidRDefault="004616EA" w:rsidP="00DB70C4">
      <w:pPr>
        <w:pStyle w:val="ab"/>
        <w:spacing w:before="0" w:after="0"/>
        <w:ind w:firstLine="709"/>
        <w:rPr>
          <w:rStyle w:val="a4"/>
          <w:color w:val="auto"/>
          <w:sz w:val="26"/>
          <w:szCs w:val="26"/>
        </w:rPr>
      </w:pPr>
      <w:r w:rsidRPr="00DB70C4">
        <w:rPr>
          <w:sz w:val="26"/>
          <w:szCs w:val="26"/>
        </w:rPr>
        <w:t xml:space="preserve">В результате анализа природно-ресурсного потенциала городского округа город Когалым можно выделить следующие ключевые сильные и слабые стороны развития территории, </w:t>
      </w:r>
      <w:r w:rsidRPr="00DB70C4">
        <w:rPr>
          <w:sz w:val="26"/>
          <w:szCs w:val="26"/>
        </w:rPr>
        <w:lastRenderedPageBreak/>
        <w:t>а также ряд потенциальных возможностей и угроз.</w:t>
      </w:r>
    </w:p>
    <w:p w:rsidR="004616EA" w:rsidRPr="00DB70C4" w:rsidRDefault="004616EA" w:rsidP="00DB70C4">
      <w:pPr>
        <w:spacing w:after="0" w:line="240" w:lineRule="auto"/>
        <w:ind w:firstLine="709"/>
        <w:jc w:val="both"/>
        <w:rPr>
          <w:rFonts w:ascii="Times New Roman" w:hAnsi="Times New Roman"/>
          <w:sz w:val="26"/>
          <w:szCs w:val="26"/>
        </w:rPr>
      </w:pPr>
      <w:r w:rsidRPr="00DB70C4">
        <w:rPr>
          <w:rFonts w:ascii="Times New Roman" w:hAnsi="Times New Roman"/>
          <w:sz w:val="26"/>
          <w:szCs w:val="26"/>
        </w:rPr>
        <w:t>Сильные стороны</w:t>
      </w:r>
    </w:p>
    <w:p w:rsidR="004616EA" w:rsidRPr="00DB70C4" w:rsidRDefault="004616EA" w:rsidP="00DB70C4">
      <w:pPr>
        <w:pStyle w:val="a9"/>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значительный запас водных и лесных ресурсов;</w:t>
      </w:r>
    </w:p>
    <w:p w:rsidR="004616EA" w:rsidRPr="00DB70C4" w:rsidRDefault="004616EA" w:rsidP="00DB70C4">
      <w:pPr>
        <w:pStyle w:val="a9"/>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развитая гидрографическая сеть;</w:t>
      </w:r>
    </w:p>
    <w:p w:rsidR="004616EA" w:rsidRPr="00DB70C4" w:rsidRDefault="004616EA" w:rsidP="00DB70C4">
      <w:pPr>
        <w:pStyle w:val="a9"/>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lastRenderedPageBreak/>
        <w:t>наличие запасов общераспространенных (песок) и топливно-энергетических полезных ископаемых (нефть, газ, торф);</w:t>
      </w:r>
    </w:p>
    <w:p w:rsidR="004616EA" w:rsidRPr="00DB70C4" w:rsidRDefault="004616EA" w:rsidP="00DB70C4">
      <w:pPr>
        <w:pStyle w:val="a9"/>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высокая обеспеченность пресными подземными водами, используемыми для хозяйственно-питьевого и технического водоснабжения;</w:t>
      </w:r>
    </w:p>
    <w:p w:rsidR="004616EA" w:rsidRPr="00DB70C4" w:rsidRDefault="004616EA" w:rsidP="00DB70C4">
      <w:pPr>
        <w:pStyle w:val="a9"/>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lastRenderedPageBreak/>
        <w:t>наличие программных мероприятий, принятых на региональном и муниципальном уровне и направленных на сохранение благоприятной окружающей среды;</w:t>
      </w:r>
    </w:p>
    <w:p w:rsidR="004616EA" w:rsidRPr="00DB70C4" w:rsidRDefault="004616EA" w:rsidP="00DB70C4">
      <w:pPr>
        <w:pStyle w:val="a9"/>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проведение работ по мониторингу экологической ситуации в городском округе город Когалым.</w:t>
      </w:r>
    </w:p>
    <w:p w:rsidR="004616EA" w:rsidRPr="00DB70C4" w:rsidRDefault="004616EA" w:rsidP="00DB70C4">
      <w:pPr>
        <w:spacing w:after="0" w:line="240" w:lineRule="auto"/>
        <w:ind w:firstLine="709"/>
        <w:jc w:val="both"/>
        <w:rPr>
          <w:rFonts w:ascii="Times New Roman" w:hAnsi="Times New Roman"/>
          <w:sz w:val="26"/>
          <w:szCs w:val="26"/>
        </w:rPr>
      </w:pPr>
      <w:r w:rsidRPr="00DB70C4">
        <w:rPr>
          <w:rFonts w:ascii="Times New Roman" w:hAnsi="Times New Roman"/>
          <w:sz w:val="26"/>
          <w:szCs w:val="26"/>
        </w:rPr>
        <w:t>Слабые стороны</w:t>
      </w:r>
    </w:p>
    <w:p w:rsidR="004616EA" w:rsidRPr="00DB70C4" w:rsidRDefault="004616EA" w:rsidP="00DB70C4">
      <w:pPr>
        <w:pStyle w:val="a9"/>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lastRenderedPageBreak/>
        <w:t>суровые природно-климатические условия, усложняющие ведение строительства объектов (низкий температурный режим, заболоченность) и развитие агропромышленного комплекса;</w:t>
      </w:r>
    </w:p>
    <w:p w:rsidR="004616EA" w:rsidRPr="00DB70C4" w:rsidRDefault="004616EA" w:rsidP="00DB70C4">
      <w:pPr>
        <w:pStyle w:val="a9"/>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 xml:space="preserve">распространение низкоплодородных почв, малопригодных для ведения сельского хозяйства; </w:t>
      </w:r>
    </w:p>
    <w:p w:rsidR="004616EA" w:rsidRPr="00DB70C4" w:rsidRDefault="004616EA" w:rsidP="00DB70C4">
      <w:pPr>
        <w:pStyle w:val="a9"/>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lastRenderedPageBreak/>
        <w:t>разрушение берегов водных объектов в результате русловых процессов и волновой переработки;</w:t>
      </w:r>
    </w:p>
    <w:p w:rsidR="004616EA" w:rsidRPr="00DB70C4" w:rsidRDefault="004616EA" w:rsidP="00DB70C4">
      <w:pPr>
        <w:pStyle w:val="a9"/>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вырубка лесных насаждений и разрушение почвенного покрова в результате обустройства и эксплуатации нефтепромыслов;</w:t>
      </w:r>
    </w:p>
    <w:p w:rsidR="004616EA" w:rsidRPr="00DB70C4" w:rsidRDefault="004616EA" w:rsidP="00DB70C4">
      <w:pPr>
        <w:pStyle w:val="a9"/>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lastRenderedPageBreak/>
        <w:t>отсутствие особо охраняемых природных территорий и объектов;</w:t>
      </w:r>
    </w:p>
    <w:p w:rsidR="004616EA" w:rsidRPr="00DB70C4" w:rsidRDefault="004616EA" w:rsidP="00DB70C4">
      <w:pPr>
        <w:pStyle w:val="a9"/>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загрязнение почв, поверхностных и подземных вод нефтепродуктами, тяжелыми металлами и фенолами в основном вследствие производственных и аварийных разливов нефти при ее добыче и транспортировке, сжигания попутного нефтяного газа;</w:t>
      </w:r>
    </w:p>
    <w:p w:rsidR="004616EA" w:rsidRPr="00DB70C4" w:rsidRDefault="004616EA" w:rsidP="00DB70C4">
      <w:pPr>
        <w:pStyle w:val="a9"/>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lastRenderedPageBreak/>
        <w:t>наличие химически опасных и пожаро-взрывоопасных объектов, аварии на которых могут привести к серьёзным экологическим последствиям;</w:t>
      </w:r>
    </w:p>
    <w:p w:rsidR="004616EA" w:rsidRPr="00DB70C4" w:rsidRDefault="004616EA" w:rsidP="00DB70C4">
      <w:pPr>
        <w:pStyle w:val="a9"/>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отсутствие санкционированных мест размещения отходов производства и потребления;</w:t>
      </w:r>
    </w:p>
    <w:p w:rsidR="004616EA" w:rsidRPr="00DB70C4" w:rsidRDefault="004616EA" w:rsidP="00DB70C4">
      <w:pPr>
        <w:pStyle w:val="a9"/>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lastRenderedPageBreak/>
        <w:t>загрязнение водных объектов недостаточно очищенными сточными водами;</w:t>
      </w:r>
    </w:p>
    <w:p w:rsidR="004616EA" w:rsidRPr="00DB70C4" w:rsidRDefault="004616EA" w:rsidP="00DB70C4">
      <w:pPr>
        <w:pStyle w:val="a9"/>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загрязнение городских лесов отходами производства и потребления;</w:t>
      </w:r>
    </w:p>
    <w:p w:rsidR="004616EA" w:rsidRPr="00DB70C4" w:rsidRDefault="004616EA" w:rsidP="00DB70C4">
      <w:pPr>
        <w:pStyle w:val="a9"/>
        <w:numPr>
          <w:ilvl w:val="0"/>
          <w:numId w:val="99"/>
        </w:numPr>
        <w:tabs>
          <w:tab w:val="left" w:pos="284"/>
          <w:tab w:val="left" w:pos="426"/>
          <w:tab w:val="left" w:pos="851"/>
          <w:tab w:val="left" w:pos="1134"/>
        </w:tabs>
        <w:snapToGrid w:val="0"/>
        <w:spacing w:after="0"/>
        <w:ind w:left="0" w:firstLine="709"/>
        <w:rPr>
          <w:sz w:val="26"/>
          <w:szCs w:val="26"/>
          <w:u w:val="single"/>
        </w:rPr>
      </w:pPr>
      <w:r w:rsidRPr="00DB70C4">
        <w:rPr>
          <w:sz w:val="26"/>
          <w:szCs w:val="26"/>
        </w:rPr>
        <w:t>недостаточное экологическое воспитание населения.</w:t>
      </w:r>
    </w:p>
    <w:p w:rsidR="004616EA" w:rsidRPr="00DB70C4" w:rsidRDefault="004616EA" w:rsidP="00DB70C4">
      <w:pPr>
        <w:spacing w:after="0" w:line="240" w:lineRule="auto"/>
        <w:ind w:firstLine="709"/>
        <w:jc w:val="both"/>
        <w:rPr>
          <w:rFonts w:ascii="Times New Roman" w:hAnsi="Times New Roman"/>
          <w:sz w:val="26"/>
          <w:szCs w:val="26"/>
        </w:rPr>
      </w:pPr>
      <w:r w:rsidRPr="00DB70C4">
        <w:rPr>
          <w:rFonts w:ascii="Times New Roman" w:hAnsi="Times New Roman"/>
          <w:sz w:val="26"/>
          <w:szCs w:val="26"/>
        </w:rPr>
        <w:t>Возможности</w:t>
      </w:r>
    </w:p>
    <w:p w:rsidR="004616EA" w:rsidRPr="00DB70C4" w:rsidRDefault="004616EA" w:rsidP="00DB70C4">
      <w:pPr>
        <w:pStyle w:val="a9"/>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lastRenderedPageBreak/>
        <w:t>создание и реализация программных мероприятий на муниципальном уровне по уменьшению негативного воздействия на окружающую среду, направленные как на снижение последствий текущей деятельности, так и ликвидацию накопленных экологических проблем;</w:t>
      </w:r>
    </w:p>
    <w:p w:rsidR="004616EA" w:rsidRPr="00DB70C4" w:rsidRDefault="004616EA" w:rsidP="00DB70C4">
      <w:pPr>
        <w:pStyle w:val="a9"/>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lastRenderedPageBreak/>
        <w:t>реализация мероприятий на муниципальном уровне в сфере комплексного управления отходами производства и потребления;</w:t>
      </w:r>
    </w:p>
    <w:p w:rsidR="004616EA" w:rsidRPr="00DB70C4" w:rsidRDefault="004616EA" w:rsidP="00DB70C4">
      <w:pPr>
        <w:pStyle w:val="a9"/>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 xml:space="preserve">ведение экологического мониторинга в границах лицензионных участков недр; </w:t>
      </w:r>
    </w:p>
    <w:p w:rsidR="004616EA" w:rsidRPr="00DB70C4" w:rsidRDefault="004616EA" w:rsidP="00DB70C4">
      <w:pPr>
        <w:pStyle w:val="a9"/>
        <w:numPr>
          <w:ilvl w:val="0"/>
          <w:numId w:val="99"/>
        </w:numPr>
        <w:tabs>
          <w:tab w:val="left" w:pos="284"/>
          <w:tab w:val="left" w:pos="426"/>
          <w:tab w:val="left" w:pos="851"/>
          <w:tab w:val="left" w:pos="1134"/>
        </w:tabs>
        <w:snapToGrid w:val="0"/>
        <w:spacing w:after="0"/>
        <w:ind w:left="0" w:firstLine="709"/>
        <w:rPr>
          <w:rStyle w:val="a4"/>
          <w:color w:val="auto"/>
          <w:sz w:val="26"/>
          <w:szCs w:val="26"/>
        </w:rPr>
      </w:pPr>
      <w:r w:rsidRPr="00DB70C4">
        <w:rPr>
          <w:sz w:val="26"/>
          <w:szCs w:val="26"/>
        </w:rPr>
        <w:lastRenderedPageBreak/>
        <w:t>распространение среди всех групп населения экологических знаний и формирование экологически мотивированных культурных навыков;</w:t>
      </w:r>
    </w:p>
    <w:p w:rsidR="004616EA" w:rsidRPr="00DB70C4" w:rsidRDefault="004616EA" w:rsidP="00DB70C4">
      <w:pPr>
        <w:pStyle w:val="a9"/>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развитие объектов туризма и рекреации на территории городского округа.</w:t>
      </w:r>
    </w:p>
    <w:p w:rsidR="004616EA" w:rsidRPr="00DB70C4" w:rsidRDefault="004616EA" w:rsidP="00DB70C4">
      <w:pPr>
        <w:spacing w:after="0" w:line="240" w:lineRule="auto"/>
        <w:ind w:firstLine="709"/>
        <w:jc w:val="both"/>
        <w:rPr>
          <w:rFonts w:ascii="Times New Roman" w:hAnsi="Times New Roman"/>
          <w:sz w:val="26"/>
          <w:szCs w:val="26"/>
        </w:rPr>
      </w:pPr>
      <w:r w:rsidRPr="00DB70C4">
        <w:rPr>
          <w:rFonts w:ascii="Times New Roman" w:hAnsi="Times New Roman"/>
          <w:sz w:val="26"/>
          <w:szCs w:val="26"/>
        </w:rPr>
        <w:t>Угрозы</w:t>
      </w:r>
    </w:p>
    <w:p w:rsidR="004616EA" w:rsidRPr="00DB70C4" w:rsidRDefault="004616EA" w:rsidP="00DB70C4">
      <w:pPr>
        <w:pStyle w:val="a9"/>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lastRenderedPageBreak/>
        <w:t>сокращение площади городских лесов;</w:t>
      </w:r>
    </w:p>
    <w:p w:rsidR="004616EA" w:rsidRPr="00DB70C4" w:rsidRDefault="004616EA" w:rsidP="00DB70C4">
      <w:pPr>
        <w:pStyle w:val="a9"/>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 xml:space="preserve">ухудшение санитарно-эпидемиологического и экологического состояния территории города Когалыма;  </w:t>
      </w:r>
    </w:p>
    <w:p w:rsidR="004616EA" w:rsidRPr="00DB70C4" w:rsidRDefault="004616EA" w:rsidP="00DB70C4">
      <w:pPr>
        <w:pStyle w:val="a9"/>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увеличение экологической нагрузки в результате роста объемов добычи нефти;</w:t>
      </w:r>
    </w:p>
    <w:p w:rsidR="004616EA" w:rsidRPr="00DB70C4" w:rsidRDefault="004616EA" w:rsidP="00DB70C4">
      <w:pPr>
        <w:pStyle w:val="3"/>
        <w:spacing w:line="240" w:lineRule="auto"/>
        <w:ind w:firstLine="709"/>
        <w:rPr>
          <w:b w:val="0"/>
          <w:sz w:val="26"/>
        </w:rPr>
      </w:pPr>
      <w:bookmarkStart w:id="7" w:name="_Toc403463435"/>
      <w:bookmarkStart w:id="8" w:name="_Toc405805484"/>
      <w:r w:rsidRPr="00DB70C4">
        <w:rPr>
          <w:b w:val="0"/>
          <w:sz w:val="26"/>
        </w:rPr>
        <w:lastRenderedPageBreak/>
        <w:t xml:space="preserve">снижение объема финансирования мероприятий, направленных на </w:t>
      </w:r>
      <w:r w:rsidRPr="00DB70C4">
        <w:rPr>
          <w:b w:val="0"/>
          <w:sz w:val="26"/>
        </w:rPr>
        <w:lastRenderedPageBreak/>
        <w:t>улучшение экологического состояния территории.</w:t>
      </w:r>
      <w:bookmarkEnd w:id="7"/>
      <w:bookmarkEnd w:id="8"/>
    </w:p>
    <w:p w:rsidR="004616EA" w:rsidRPr="00DB70C4" w:rsidRDefault="004616EA" w:rsidP="00DB70C4">
      <w:pPr>
        <w:pStyle w:val="3"/>
        <w:spacing w:line="240" w:lineRule="auto"/>
        <w:ind w:firstLine="709"/>
        <w:rPr>
          <w:b w:val="0"/>
          <w:sz w:val="26"/>
        </w:rPr>
      </w:pPr>
    </w:p>
    <w:p w:rsidR="004616EA" w:rsidRPr="002D1208" w:rsidRDefault="004616EA" w:rsidP="00DB70C4">
      <w:pPr>
        <w:pStyle w:val="3"/>
        <w:spacing w:line="240" w:lineRule="auto"/>
        <w:ind w:firstLine="709"/>
        <w:rPr>
          <w:sz w:val="26"/>
        </w:rPr>
      </w:pPr>
      <w:bookmarkStart w:id="9" w:name="_Toc405805485"/>
      <w:r w:rsidRPr="002D1208">
        <w:rPr>
          <w:sz w:val="26"/>
        </w:rPr>
        <w:t>2.2 Демографическое положение, рынок труда и уровень жизни населения</w:t>
      </w:r>
      <w:bookmarkEnd w:id="6"/>
      <w:bookmarkEnd w:id="9"/>
    </w:p>
    <w:p w:rsidR="004616EA" w:rsidRPr="00DB70C4" w:rsidRDefault="004616EA" w:rsidP="00DB70C4">
      <w:pPr>
        <w:spacing w:after="0" w:line="240" w:lineRule="auto"/>
        <w:ind w:firstLine="709"/>
        <w:jc w:val="both"/>
        <w:rPr>
          <w:rFonts w:ascii="Times New Roman" w:hAnsi="Times New Roman"/>
          <w:sz w:val="26"/>
          <w:szCs w:val="26"/>
        </w:rPr>
      </w:pPr>
      <w:r w:rsidRPr="00DB70C4">
        <w:rPr>
          <w:rFonts w:ascii="Times New Roman" w:hAnsi="Times New Roman"/>
          <w:sz w:val="26"/>
          <w:szCs w:val="26"/>
        </w:rPr>
        <w:t>Комплексный анализ демографической ситуации является одной из важ</w:t>
      </w:r>
      <w:r w:rsidRPr="00DB70C4">
        <w:rPr>
          <w:rFonts w:ascii="Times New Roman" w:hAnsi="Times New Roman"/>
          <w:sz w:val="26"/>
          <w:szCs w:val="26"/>
        </w:rPr>
        <w:lastRenderedPageBreak/>
        <w:t xml:space="preserve">нейших составляющих оценки тенденций экономического роста территории. Динамика численности населения, возрастной структуры населения, показателей естественного движения населения, миграционных процессов во многом определяют перспективы и </w:t>
      </w:r>
      <w:r w:rsidRPr="00DB70C4">
        <w:rPr>
          <w:rFonts w:ascii="Times New Roman" w:hAnsi="Times New Roman"/>
          <w:sz w:val="26"/>
          <w:szCs w:val="26"/>
        </w:rPr>
        <w:lastRenderedPageBreak/>
        <w:t>проблемы рынка труда, а значит и производственный потенциал территории.</w:t>
      </w:r>
    </w:p>
    <w:p w:rsidR="004616EA" w:rsidRPr="00DB70C4" w:rsidRDefault="004616EA" w:rsidP="00DB70C4">
      <w:pPr>
        <w:spacing w:after="0" w:line="240" w:lineRule="auto"/>
        <w:ind w:firstLine="709"/>
        <w:jc w:val="both"/>
        <w:rPr>
          <w:rFonts w:ascii="Times New Roman" w:hAnsi="Times New Roman"/>
          <w:sz w:val="26"/>
          <w:szCs w:val="26"/>
        </w:rPr>
      </w:pPr>
      <w:r w:rsidRPr="00DB70C4">
        <w:rPr>
          <w:rFonts w:ascii="Times New Roman" w:hAnsi="Times New Roman"/>
          <w:sz w:val="26"/>
          <w:szCs w:val="26"/>
        </w:rPr>
        <w:t xml:space="preserve">В результате анализа демографических особенностей, рынка труда и уровня жизни населения города Когалыма можно выделить следующие ключевые сильные и слабые стороны </w:t>
      </w:r>
      <w:r w:rsidRPr="00DB70C4">
        <w:rPr>
          <w:rFonts w:ascii="Times New Roman" w:hAnsi="Times New Roman"/>
          <w:sz w:val="26"/>
          <w:szCs w:val="26"/>
        </w:rPr>
        <w:lastRenderedPageBreak/>
        <w:t>развития территории, а также ряд потенциальных возможностей и угроз.</w:t>
      </w:r>
    </w:p>
    <w:p w:rsidR="004616EA" w:rsidRPr="00DB70C4" w:rsidRDefault="004616EA" w:rsidP="00DB70C4">
      <w:pPr>
        <w:spacing w:after="0" w:line="240" w:lineRule="auto"/>
        <w:ind w:firstLine="709"/>
        <w:jc w:val="both"/>
        <w:rPr>
          <w:rFonts w:ascii="Times New Roman" w:hAnsi="Times New Roman"/>
          <w:sz w:val="26"/>
          <w:szCs w:val="26"/>
        </w:rPr>
      </w:pPr>
      <w:r w:rsidRPr="00DB70C4">
        <w:rPr>
          <w:rFonts w:ascii="Times New Roman" w:hAnsi="Times New Roman"/>
          <w:sz w:val="26"/>
          <w:szCs w:val="26"/>
        </w:rPr>
        <w:t>Сильные стороны</w:t>
      </w:r>
    </w:p>
    <w:p w:rsidR="004616EA" w:rsidRPr="00DB70C4" w:rsidRDefault="004616EA" w:rsidP="00DB70C4">
      <w:pPr>
        <w:spacing w:after="0" w:line="240" w:lineRule="auto"/>
        <w:ind w:firstLine="709"/>
        <w:jc w:val="both"/>
        <w:rPr>
          <w:rFonts w:ascii="Times New Roman" w:hAnsi="Times New Roman"/>
          <w:i/>
          <w:sz w:val="26"/>
          <w:szCs w:val="26"/>
        </w:rPr>
      </w:pPr>
      <w:r w:rsidRPr="00DB70C4">
        <w:rPr>
          <w:rFonts w:ascii="Times New Roman" w:hAnsi="Times New Roman"/>
          <w:i/>
          <w:sz w:val="26"/>
          <w:szCs w:val="26"/>
        </w:rPr>
        <w:t>1. Сохранение стабильного естественного прироста населения</w:t>
      </w:r>
    </w:p>
    <w:p w:rsidR="004616EA" w:rsidRPr="00DB70C4" w:rsidRDefault="004616EA" w:rsidP="00DB70C4">
      <w:pPr>
        <w:spacing w:after="0" w:line="240" w:lineRule="auto"/>
        <w:ind w:firstLine="709"/>
        <w:jc w:val="both"/>
        <w:rPr>
          <w:rFonts w:ascii="Times New Roman" w:hAnsi="Times New Roman"/>
          <w:sz w:val="26"/>
          <w:szCs w:val="26"/>
        </w:rPr>
      </w:pPr>
      <w:bookmarkStart w:id="10" w:name="_Ref394929612"/>
      <w:r w:rsidRPr="00DB70C4">
        <w:rPr>
          <w:rFonts w:ascii="Times New Roman" w:hAnsi="Times New Roman"/>
          <w:sz w:val="26"/>
          <w:szCs w:val="26"/>
        </w:rPr>
        <w:t xml:space="preserve">В процессах естественного движения населения городского округа город Когалым в период с 2002 по 2013 годы наблюдалось превышение </w:t>
      </w:r>
      <w:r w:rsidRPr="00DB70C4">
        <w:rPr>
          <w:rFonts w:ascii="Times New Roman" w:hAnsi="Times New Roman"/>
          <w:sz w:val="26"/>
          <w:szCs w:val="26"/>
        </w:rPr>
        <w:lastRenderedPageBreak/>
        <w:t>уровня рождаемости над уровнем смертности. За анализируемый период число родившихся выросло на 25% и к 2013 году составило 985 человек. Уровень смертности на протяжении аналогичного периода относительно стабильный. В итоге, к 2013 году естественный прирост населения достиг 771 человека (</w:t>
      </w:r>
      <w:r w:rsidR="001977F4">
        <w:fldChar w:fldCharType="begin"/>
      </w:r>
      <w:r w:rsidR="001977F4">
        <w:instrText xml:space="preserve"> REF _Ref400700251 \h  \* MERGEFORMAT </w:instrText>
      </w:r>
      <w:r w:rsidR="001977F4">
        <w:fldChar w:fldCharType="separate"/>
      </w:r>
      <w:r w:rsidR="001977F4" w:rsidRPr="001977F4">
        <w:rPr>
          <w:rFonts w:ascii="Times New Roman" w:hAnsi="Times New Roman"/>
          <w:sz w:val="26"/>
          <w:szCs w:val="26"/>
        </w:rPr>
        <w:t>Рисунок 1</w:t>
      </w:r>
      <w:r w:rsidR="001977F4">
        <w:fldChar w:fldCharType="end"/>
      </w:r>
      <w:r w:rsidRPr="00DB70C4">
        <w:rPr>
          <w:rFonts w:ascii="Times New Roman" w:hAnsi="Times New Roman"/>
          <w:sz w:val="26"/>
          <w:szCs w:val="26"/>
        </w:rPr>
        <w:t>).</w:t>
      </w:r>
    </w:p>
    <w:p w:rsidR="004616EA" w:rsidRPr="00475E67" w:rsidRDefault="004616EA" w:rsidP="004A3893">
      <w:pPr>
        <w:keepNext/>
        <w:spacing w:after="0"/>
        <w:jc w:val="center"/>
      </w:pPr>
      <w:r w:rsidRPr="00475E67">
        <w:rPr>
          <w:rFonts w:ascii="Times New Roman" w:eastAsia="Times New Roman" w:hAnsi="Times New Roman"/>
          <w:sz w:val="24"/>
          <w:szCs w:val="24"/>
          <w:lang w:val="en-US"/>
        </w:rPr>
        <w:object w:dxaOrig="9655" w:dyaOrig="52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8pt;height:230.4pt" o:ole="">
            <v:imagedata r:id="rId9" o:title=""/>
          </v:shape>
          <o:OLEObject Type="Embed" ProgID="Excel.Sheet.12" ShapeID="_x0000_i1025" DrawAspect="Content" ObjectID="_1509436635" r:id="rId10"/>
        </w:object>
      </w:r>
    </w:p>
    <w:p w:rsidR="004616EA" w:rsidRPr="00EC2DBF" w:rsidRDefault="004616EA" w:rsidP="00EC2DBF">
      <w:pPr>
        <w:pStyle w:val="af1"/>
        <w:spacing w:after="0"/>
        <w:ind w:firstLine="709"/>
        <w:jc w:val="center"/>
        <w:rPr>
          <w:rFonts w:ascii="Times New Roman" w:hAnsi="Times New Roman"/>
          <w:b w:val="0"/>
          <w:color w:val="auto"/>
          <w:sz w:val="24"/>
          <w:szCs w:val="24"/>
        </w:rPr>
      </w:pPr>
      <w:bookmarkStart w:id="11" w:name="_Ref400700251"/>
      <w:bookmarkStart w:id="12" w:name="_Ref397017734"/>
      <w:r w:rsidRPr="00EC2DBF">
        <w:rPr>
          <w:rFonts w:ascii="Times New Roman" w:hAnsi="Times New Roman"/>
          <w:b w:val="0"/>
          <w:color w:val="auto"/>
          <w:sz w:val="24"/>
          <w:szCs w:val="24"/>
        </w:rPr>
        <w:t xml:space="preserve">Рисунок </w:t>
      </w:r>
      <w:r w:rsidRPr="00EC2DBF">
        <w:rPr>
          <w:rFonts w:ascii="Times New Roman" w:hAnsi="Times New Roman"/>
          <w:b w:val="0"/>
          <w:color w:val="auto"/>
          <w:sz w:val="24"/>
          <w:szCs w:val="24"/>
        </w:rPr>
        <w:fldChar w:fldCharType="begin"/>
      </w:r>
      <w:r w:rsidRPr="00EC2DBF">
        <w:rPr>
          <w:rFonts w:ascii="Times New Roman" w:hAnsi="Times New Roman"/>
          <w:b w:val="0"/>
          <w:color w:val="auto"/>
          <w:sz w:val="24"/>
          <w:szCs w:val="24"/>
        </w:rPr>
        <w:instrText xml:space="preserve"> SEQ Рисунок \* ARABIC </w:instrText>
      </w:r>
      <w:r w:rsidRPr="00EC2DBF">
        <w:rPr>
          <w:rFonts w:ascii="Times New Roman" w:hAnsi="Times New Roman"/>
          <w:b w:val="0"/>
          <w:color w:val="auto"/>
          <w:sz w:val="24"/>
          <w:szCs w:val="24"/>
        </w:rPr>
        <w:fldChar w:fldCharType="separate"/>
      </w:r>
      <w:r w:rsidR="001977F4">
        <w:rPr>
          <w:rFonts w:ascii="Times New Roman" w:hAnsi="Times New Roman"/>
          <w:b w:val="0"/>
          <w:noProof/>
          <w:color w:val="auto"/>
          <w:sz w:val="24"/>
          <w:szCs w:val="24"/>
        </w:rPr>
        <w:t>1</w:t>
      </w:r>
      <w:r w:rsidRPr="00EC2DBF">
        <w:rPr>
          <w:rFonts w:ascii="Times New Roman" w:hAnsi="Times New Roman"/>
          <w:b w:val="0"/>
          <w:color w:val="auto"/>
          <w:sz w:val="24"/>
          <w:szCs w:val="24"/>
        </w:rPr>
        <w:fldChar w:fldCharType="end"/>
      </w:r>
      <w:bookmarkEnd w:id="11"/>
      <w:r w:rsidRPr="00EC2DBF">
        <w:rPr>
          <w:rFonts w:ascii="Times New Roman" w:hAnsi="Times New Roman"/>
          <w:b w:val="0"/>
          <w:color w:val="auto"/>
          <w:sz w:val="24"/>
          <w:szCs w:val="24"/>
        </w:rPr>
        <w:t xml:space="preserve"> - Динамика показателей естественного движения населения в городском округе город Когалым, человек</w:t>
      </w:r>
      <w:bookmarkEnd w:id="12"/>
    </w:p>
    <w:p w:rsidR="004616EA" w:rsidRPr="00EC2DBF" w:rsidRDefault="004616EA" w:rsidP="00EC2DBF">
      <w:pPr>
        <w:spacing w:after="0"/>
        <w:rPr>
          <w:lang w:eastAsia="ru-RU"/>
        </w:rPr>
      </w:pPr>
    </w:p>
    <w:bookmarkEnd w:id="10"/>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По коэффициенту рождаемости городской округ город Когалым по сравнению с другими муниципальными образованиями Ханты-Мансийского автономного округа – Югры занимает лишь 7 место (на первом месте г. Сургут). По коэффициенту смертности го</w:t>
      </w:r>
      <w:r w:rsidRPr="00EC2DBF">
        <w:rPr>
          <w:rFonts w:ascii="Times New Roman" w:hAnsi="Times New Roman"/>
          <w:sz w:val="26"/>
          <w:szCs w:val="26"/>
        </w:rPr>
        <w:lastRenderedPageBreak/>
        <w:t xml:space="preserve">родской округ расположен на 2-м месте и составляет 3,5 промилле, </w:t>
      </w:r>
      <w:r w:rsidRPr="00EC2DBF">
        <w:rPr>
          <w:rFonts w:ascii="Times New Roman" w:hAnsi="Times New Roman"/>
          <w:bCs/>
          <w:sz w:val="26"/>
          <w:szCs w:val="26"/>
        </w:rPr>
        <w:t>самая высокая смертность в регионе в Кондинском районе (12,4), самая низкая – в г. Покачи (3,1)</w:t>
      </w:r>
      <w:r w:rsidRPr="00EC2DBF">
        <w:rPr>
          <w:rFonts w:ascii="Times New Roman" w:hAnsi="Times New Roman"/>
          <w:sz w:val="26"/>
          <w:szCs w:val="26"/>
        </w:rPr>
        <w:t>.</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2. Молодая возрастная структура населения городского округа с высокой долей населения трудоспособного возраста</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lastRenderedPageBreak/>
        <w:t xml:space="preserve">Возрастная структура населения играет активную роль во всех общественных процессах, в том числе и демографических. Она оказывает влияние на величину всех демографических показателей. </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Возрастная структура городского округа город Когалым характеризу</w:t>
      </w:r>
      <w:r w:rsidRPr="00EC2DBF">
        <w:rPr>
          <w:rFonts w:ascii="Times New Roman" w:hAnsi="Times New Roman"/>
          <w:sz w:val="26"/>
          <w:szCs w:val="26"/>
        </w:rPr>
        <w:lastRenderedPageBreak/>
        <w:t xml:space="preserve">ется как молодая, об этом свидетельствует относительно высокая процентная доля молодежи – 33%. </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Доля населения трудоспособного возраста на начало 2013 года составила порядка 70,3%, что на 10,2% выше среднероссийского значения и на 3,5% превышает средний показа</w:t>
      </w:r>
      <w:r w:rsidRPr="00EC2DBF">
        <w:rPr>
          <w:rFonts w:ascii="Times New Roman" w:hAnsi="Times New Roman"/>
          <w:sz w:val="26"/>
          <w:szCs w:val="26"/>
        </w:rPr>
        <w:lastRenderedPageBreak/>
        <w:t xml:space="preserve">тель по Ханты-Мансийскому автономному округу – Югре. Доля населения младше трудоспособного возраста составляет 21,9%, что превышает показатель по Российской Федерации, доля населения старше трудоспособного возраста составляет 7,8%, что меньше показателей в среднем по Ханты-Мансийскому автономному округу – Югре </w:t>
      </w:r>
      <w:r w:rsidRPr="00EC2DBF">
        <w:rPr>
          <w:rFonts w:ascii="Times New Roman" w:hAnsi="Times New Roman"/>
          <w:sz w:val="26"/>
          <w:szCs w:val="26"/>
        </w:rPr>
        <w:lastRenderedPageBreak/>
        <w:t>и по Российской Федерации (</w:t>
      </w:r>
      <w:r w:rsidR="001977F4">
        <w:fldChar w:fldCharType="begin"/>
      </w:r>
      <w:r w:rsidR="001977F4">
        <w:instrText xml:space="preserve"> REF _Ref395000518 \h  \* MERGEFORMAT </w:instrText>
      </w:r>
      <w:r w:rsidR="001977F4">
        <w:fldChar w:fldCharType="separate"/>
      </w:r>
      <w:r w:rsidR="001977F4" w:rsidRPr="001977F4">
        <w:rPr>
          <w:rFonts w:ascii="Times New Roman" w:hAnsi="Times New Roman"/>
          <w:sz w:val="26"/>
          <w:szCs w:val="26"/>
        </w:rPr>
        <w:t>Рисунок 2</w:t>
      </w:r>
      <w:r w:rsidR="001977F4">
        <w:fldChar w:fldCharType="end"/>
      </w:r>
      <w:r w:rsidRPr="00EC2DBF">
        <w:rPr>
          <w:rFonts w:ascii="Times New Roman" w:hAnsi="Times New Roman"/>
          <w:sz w:val="26"/>
          <w:szCs w:val="26"/>
        </w:rPr>
        <w:t>).</w:t>
      </w:r>
    </w:p>
    <w:p w:rsidR="004616EA" w:rsidRPr="00475E67" w:rsidRDefault="004616EA" w:rsidP="00396904">
      <w:pPr>
        <w:spacing w:after="0"/>
        <w:ind w:firstLine="709"/>
        <w:jc w:val="center"/>
        <w:rPr>
          <w:rFonts w:ascii="Times New Roman" w:hAnsi="Times New Roman"/>
          <w:sz w:val="24"/>
          <w:szCs w:val="24"/>
        </w:rPr>
      </w:pPr>
      <w:r w:rsidRPr="00475E67">
        <w:rPr>
          <w:rFonts w:ascii="Times New Roman" w:hAnsi="Times New Roman"/>
          <w:sz w:val="24"/>
          <w:szCs w:val="24"/>
        </w:rPr>
        <w:object w:dxaOrig="7218" w:dyaOrig="4074">
          <v:shape id="_x0000_i1026" type="#_x0000_t75" style="width:331.8pt;height:187.2pt" o:ole="">
            <v:imagedata r:id="rId11" o:title=""/>
          </v:shape>
          <o:OLEObject Type="Embed" ProgID="Excel.Sheet.12" ShapeID="_x0000_i1026" DrawAspect="Content" ObjectID="_1509436636" r:id="rId12"/>
        </w:object>
      </w:r>
    </w:p>
    <w:p w:rsidR="004616EA" w:rsidRPr="00475E67" w:rsidRDefault="004616EA" w:rsidP="00396904">
      <w:pPr>
        <w:pStyle w:val="af1"/>
        <w:jc w:val="center"/>
        <w:rPr>
          <w:rFonts w:ascii="Times New Roman" w:hAnsi="Times New Roman"/>
          <w:b w:val="0"/>
          <w:color w:val="auto"/>
          <w:sz w:val="24"/>
          <w:szCs w:val="24"/>
        </w:rPr>
      </w:pPr>
      <w:bookmarkStart w:id="13" w:name="_Ref395000518"/>
      <w:r w:rsidRPr="00475E67">
        <w:rPr>
          <w:rFonts w:ascii="Times New Roman" w:hAnsi="Times New Roman"/>
          <w:b w:val="0"/>
          <w:color w:val="auto"/>
          <w:sz w:val="24"/>
          <w:szCs w:val="24"/>
        </w:rPr>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sidR="001977F4">
        <w:rPr>
          <w:rFonts w:ascii="Times New Roman" w:hAnsi="Times New Roman"/>
          <w:b w:val="0"/>
          <w:noProof/>
          <w:color w:val="auto"/>
          <w:sz w:val="24"/>
          <w:szCs w:val="24"/>
        </w:rPr>
        <w:t>2</w:t>
      </w:r>
      <w:r w:rsidRPr="00475E67">
        <w:rPr>
          <w:rFonts w:ascii="Times New Roman" w:hAnsi="Times New Roman"/>
          <w:b w:val="0"/>
          <w:color w:val="auto"/>
          <w:sz w:val="24"/>
          <w:szCs w:val="24"/>
        </w:rPr>
        <w:fldChar w:fldCharType="end"/>
      </w:r>
      <w:bookmarkEnd w:id="13"/>
      <w:r w:rsidRPr="00475E67">
        <w:rPr>
          <w:rFonts w:ascii="Times New Roman" w:hAnsi="Times New Roman"/>
          <w:b w:val="0"/>
          <w:color w:val="auto"/>
          <w:sz w:val="24"/>
          <w:szCs w:val="24"/>
        </w:rPr>
        <w:t xml:space="preserve"> - Распределение населения городского округа город Когалым, </w:t>
      </w:r>
      <w:r w:rsidRPr="000220A1">
        <w:rPr>
          <w:rFonts w:ascii="Times New Roman" w:hAnsi="Times New Roman"/>
          <w:b w:val="0"/>
          <w:color w:val="auto"/>
          <w:sz w:val="24"/>
          <w:szCs w:val="24"/>
        </w:rPr>
        <w:t>Ханты-</w:t>
      </w:r>
      <w:r w:rsidRPr="000220A1">
        <w:rPr>
          <w:rFonts w:ascii="Times New Roman" w:hAnsi="Times New Roman"/>
          <w:b w:val="0"/>
          <w:color w:val="auto"/>
          <w:sz w:val="24"/>
          <w:szCs w:val="24"/>
        </w:rPr>
        <w:lastRenderedPageBreak/>
        <w:t>Мансийского автономного округа</w:t>
      </w:r>
      <w:r w:rsidRPr="00475E67">
        <w:rPr>
          <w:rFonts w:ascii="Times New Roman" w:hAnsi="Times New Roman"/>
          <w:b w:val="0"/>
          <w:color w:val="auto"/>
          <w:sz w:val="24"/>
          <w:szCs w:val="24"/>
        </w:rPr>
        <w:t xml:space="preserve"> – Югры и Российской Федерации по возрастным группам (на начало 2013 года), %</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Возрастная структура городского округа по своему процентному соотношению близка к прогрессивному типу (40/50/10). Данный тип характе</w:t>
      </w:r>
      <w:r w:rsidRPr="00EC2DBF">
        <w:rPr>
          <w:rFonts w:ascii="Times New Roman" w:hAnsi="Times New Roman"/>
          <w:sz w:val="26"/>
          <w:szCs w:val="26"/>
        </w:rPr>
        <w:lastRenderedPageBreak/>
        <w:t>ризуется наличием большой доли детей и высокий показателем естественного прироста.</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 xml:space="preserve">3. Рост ожидаемой продолжительности жизни при рождении </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 Продолжительность жизни людей – один из наиболее важных показателей уровня социального развития общества. Она зависит от многих факторов: </w:t>
      </w:r>
      <w:r w:rsidRPr="00EC2DBF">
        <w:rPr>
          <w:rFonts w:ascii="Times New Roman" w:hAnsi="Times New Roman"/>
          <w:sz w:val="26"/>
          <w:szCs w:val="26"/>
        </w:rPr>
        <w:lastRenderedPageBreak/>
        <w:t>от образа жизни, доходов граждан, наследственности, качества питания, уровня развития здравоохранения, уровня загрязнения окружающей среды, уровня преступности и т.д.</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В течение последних 5 лет в городе Когалыме наблюдался стабильный рост указанного показателя и к 2013 году он достиг значения 72,2 года, что </w:t>
      </w:r>
      <w:r w:rsidRPr="00EC2DBF">
        <w:rPr>
          <w:rFonts w:ascii="Times New Roman" w:hAnsi="Times New Roman"/>
          <w:sz w:val="26"/>
          <w:szCs w:val="26"/>
        </w:rPr>
        <w:lastRenderedPageBreak/>
        <w:t>превышает среднероссийское значение на 1,4 года (</w:t>
      </w:r>
      <w:r w:rsidR="001977F4">
        <w:fldChar w:fldCharType="begin"/>
      </w:r>
      <w:r w:rsidR="001977F4">
        <w:instrText xml:space="preserve"> REF _Ref395018134 \h  \* MERGEFORMAT </w:instrText>
      </w:r>
      <w:r w:rsidR="001977F4">
        <w:fldChar w:fldCharType="separate"/>
      </w:r>
      <w:r w:rsidR="001977F4" w:rsidRPr="001977F4">
        <w:rPr>
          <w:rFonts w:ascii="Times New Roman" w:hAnsi="Times New Roman"/>
          <w:sz w:val="26"/>
          <w:szCs w:val="26"/>
        </w:rPr>
        <w:t>Рисунок 3</w:t>
      </w:r>
      <w:r w:rsidR="001977F4">
        <w:fldChar w:fldCharType="end"/>
      </w:r>
      <w:r w:rsidRPr="00EC2DBF">
        <w:rPr>
          <w:rFonts w:ascii="Times New Roman" w:hAnsi="Times New Roman"/>
          <w:sz w:val="26"/>
          <w:szCs w:val="26"/>
        </w:rPr>
        <w:t xml:space="preserve">). </w:t>
      </w:r>
    </w:p>
    <w:p w:rsidR="004616EA" w:rsidRPr="00475E67" w:rsidRDefault="004616EA" w:rsidP="00396904">
      <w:pPr>
        <w:spacing w:after="0"/>
        <w:ind w:firstLine="709"/>
        <w:jc w:val="center"/>
        <w:rPr>
          <w:rFonts w:ascii="Times New Roman" w:hAnsi="Times New Roman"/>
          <w:i/>
          <w:sz w:val="24"/>
          <w:szCs w:val="24"/>
        </w:rPr>
      </w:pPr>
      <w:r w:rsidRPr="00475E67">
        <w:rPr>
          <w:rFonts w:ascii="Times New Roman" w:hAnsi="Times New Roman"/>
          <w:i/>
          <w:sz w:val="24"/>
          <w:szCs w:val="24"/>
        </w:rPr>
        <w:object w:dxaOrig="7201" w:dyaOrig="4021">
          <v:shape id="_x0000_i1027" type="#_x0000_t75" style="width:306.6pt;height:171pt" o:ole="">
            <v:imagedata r:id="rId13" o:title=""/>
          </v:shape>
          <o:OLEObject Type="Embed" ProgID="Excel.Sheet.12" ShapeID="_x0000_i1027" DrawAspect="Content" ObjectID="_1509436637" r:id="rId14"/>
        </w:object>
      </w:r>
    </w:p>
    <w:p w:rsidR="004616EA" w:rsidRPr="00475E67" w:rsidRDefault="004616EA" w:rsidP="00396904">
      <w:pPr>
        <w:pStyle w:val="af1"/>
        <w:jc w:val="center"/>
        <w:rPr>
          <w:rFonts w:ascii="Times New Roman" w:hAnsi="Times New Roman"/>
          <w:b w:val="0"/>
          <w:color w:val="auto"/>
          <w:sz w:val="24"/>
          <w:szCs w:val="24"/>
        </w:rPr>
      </w:pPr>
      <w:bookmarkStart w:id="14" w:name="_Ref395018134"/>
      <w:r w:rsidRPr="00475E67">
        <w:rPr>
          <w:rFonts w:ascii="Times New Roman" w:hAnsi="Times New Roman"/>
          <w:b w:val="0"/>
          <w:color w:val="auto"/>
          <w:sz w:val="24"/>
          <w:szCs w:val="24"/>
        </w:rPr>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sidR="001977F4">
        <w:rPr>
          <w:rFonts w:ascii="Times New Roman" w:hAnsi="Times New Roman"/>
          <w:b w:val="0"/>
          <w:noProof/>
          <w:color w:val="auto"/>
          <w:sz w:val="24"/>
          <w:szCs w:val="24"/>
        </w:rPr>
        <w:t>3</w:t>
      </w:r>
      <w:r w:rsidRPr="00475E67">
        <w:rPr>
          <w:rFonts w:ascii="Times New Roman" w:hAnsi="Times New Roman"/>
          <w:b w:val="0"/>
          <w:color w:val="auto"/>
          <w:sz w:val="24"/>
          <w:szCs w:val="24"/>
        </w:rPr>
        <w:fldChar w:fldCharType="end"/>
      </w:r>
      <w:bookmarkEnd w:id="14"/>
      <w:r w:rsidRPr="00475E67">
        <w:rPr>
          <w:rFonts w:ascii="Times New Roman" w:hAnsi="Times New Roman"/>
          <w:b w:val="0"/>
          <w:color w:val="auto"/>
          <w:sz w:val="24"/>
          <w:szCs w:val="24"/>
        </w:rPr>
        <w:t xml:space="preserve"> - Динамика средней продолжительности жизни населения городского </w:t>
      </w:r>
      <w:r w:rsidRPr="00475E67">
        <w:rPr>
          <w:rFonts w:ascii="Times New Roman" w:hAnsi="Times New Roman"/>
          <w:b w:val="0"/>
          <w:color w:val="auto"/>
          <w:sz w:val="24"/>
          <w:szCs w:val="24"/>
        </w:rPr>
        <w:lastRenderedPageBreak/>
        <w:t>округа город Когалым и Российской Федерации, лет</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Рост данного показателя объясняется благоприятной ситуацией, сложившейся на территории муниципального образования в последние годы. О чем свидетельствует улучшение качества обслуживания сферы здравоохра</w:t>
      </w:r>
      <w:r w:rsidRPr="00EC2DBF">
        <w:rPr>
          <w:rFonts w:ascii="Times New Roman" w:hAnsi="Times New Roman"/>
          <w:sz w:val="26"/>
          <w:szCs w:val="26"/>
        </w:rPr>
        <w:lastRenderedPageBreak/>
        <w:t xml:space="preserve">нения, рост денежных доходов населения городского округа, улучшение криминогенной обстановки, а именно сокращение уровня преступности. </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4. Снижение уровня зарегистрированной безработицы</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На территории городского округа наблюдается устойчивая тенденция снижения уровня зарегистрированной </w:t>
      </w:r>
      <w:r w:rsidRPr="00EC2DBF">
        <w:rPr>
          <w:rFonts w:ascii="Times New Roman" w:hAnsi="Times New Roman"/>
          <w:sz w:val="26"/>
          <w:szCs w:val="26"/>
        </w:rPr>
        <w:lastRenderedPageBreak/>
        <w:t>безработицы – с 0,85% в 2009 году до 0,37% в 2013 году (</w:t>
      </w:r>
      <w:r w:rsidR="001977F4">
        <w:fldChar w:fldCharType="begin"/>
      </w:r>
      <w:r w:rsidR="001977F4">
        <w:instrText xml:space="preserve"> REF _Ref395021232 \h  \* MERGEFORMAT </w:instrText>
      </w:r>
      <w:r w:rsidR="001977F4">
        <w:fldChar w:fldCharType="separate"/>
      </w:r>
      <w:r w:rsidR="001977F4" w:rsidRPr="001977F4">
        <w:rPr>
          <w:rFonts w:ascii="Times New Roman" w:hAnsi="Times New Roman"/>
          <w:sz w:val="26"/>
          <w:szCs w:val="26"/>
        </w:rPr>
        <w:t>Рисунок 4</w:t>
      </w:r>
      <w:r w:rsidR="001977F4">
        <w:fldChar w:fldCharType="end"/>
      </w:r>
      <w:r w:rsidRPr="00EC2DBF">
        <w:rPr>
          <w:rFonts w:ascii="Times New Roman" w:hAnsi="Times New Roman"/>
          <w:sz w:val="26"/>
          <w:szCs w:val="26"/>
        </w:rPr>
        <w:t>). Численность официально зарегистрированных безработных по состоянию на 01.01.2013 года составляла 137 человек. По сравнению с данными предыдущего года численность безработных уменьшилась на 30%.</w:t>
      </w:r>
    </w:p>
    <w:p w:rsidR="004616EA" w:rsidRPr="00475E67" w:rsidRDefault="004616EA" w:rsidP="00396904">
      <w:pPr>
        <w:spacing w:after="0"/>
        <w:ind w:firstLine="709"/>
        <w:jc w:val="center"/>
        <w:rPr>
          <w:rFonts w:ascii="Times New Roman" w:hAnsi="Times New Roman"/>
          <w:sz w:val="24"/>
          <w:szCs w:val="24"/>
        </w:rPr>
      </w:pPr>
      <w:r w:rsidRPr="00475E67">
        <w:rPr>
          <w:rFonts w:ascii="Times New Roman" w:hAnsi="Times New Roman"/>
          <w:sz w:val="24"/>
          <w:szCs w:val="24"/>
        </w:rPr>
        <w:object w:dxaOrig="7189" w:dyaOrig="4402">
          <v:shape id="_x0000_i1028" type="#_x0000_t75" style="width:320.4pt;height:202.2pt" o:ole="">
            <v:imagedata r:id="rId15" o:title=""/>
          </v:shape>
          <o:OLEObject Type="Embed" ProgID="Excel.Sheet.12" ShapeID="_x0000_i1028" DrawAspect="Content" ObjectID="_1509436638" r:id="rId16"/>
        </w:object>
      </w:r>
    </w:p>
    <w:p w:rsidR="004616EA" w:rsidRPr="00475E67" w:rsidRDefault="004616EA" w:rsidP="00396904">
      <w:pPr>
        <w:pStyle w:val="af1"/>
        <w:jc w:val="center"/>
        <w:rPr>
          <w:rFonts w:ascii="Times New Roman" w:hAnsi="Times New Roman"/>
          <w:b w:val="0"/>
          <w:color w:val="auto"/>
          <w:sz w:val="24"/>
          <w:szCs w:val="24"/>
        </w:rPr>
      </w:pPr>
      <w:bookmarkStart w:id="15" w:name="_Ref395021232"/>
      <w:r w:rsidRPr="00475E67">
        <w:rPr>
          <w:rFonts w:ascii="Times New Roman" w:hAnsi="Times New Roman"/>
          <w:b w:val="0"/>
          <w:color w:val="auto"/>
          <w:sz w:val="24"/>
          <w:szCs w:val="24"/>
        </w:rPr>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sidR="001977F4">
        <w:rPr>
          <w:rFonts w:ascii="Times New Roman" w:hAnsi="Times New Roman"/>
          <w:b w:val="0"/>
          <w:noProof/>
          <w:color w:val="auto"/>
          <w:sz w:val="24"/>
          <w:szCs w:val="24"/>
        </w:rPr>
        <w:t>4</w:t>
      </w:r>
      <w:r w:rsidRPr="00475E67">
        <w:rPr>
          <w:rFonts w:ascii="Times New Roman" w:hAnsi="Times New Roman"/>
          <w:b w:val="0"/>
          <w:color w:val="auto"/>
          <w:sz w:val="24"/>
          <w:szCs w:val="24"/>
        </w:rPr>
        <w:fldChar w:fldCharType="end"/>
      </w:r>
      <w:bookmarkEnd w:id="15"/>
      <w:r w:rsidRPr="00475E67">
        <w:rPr>
          <w:rFonts w:ascii="Times New Roman" w:hAnsi="Times New Roman"/>
          <w:b w:val="0"/>
          <w:color w:val="auto"/>
          <w:sz w:val="24"/>
          <w:szCs w:val="24"/>
        </w:rPr>
        <w:t xml:space="preserve"> - Уровень зарегистрированной безработицы в городском округе город Когалым, </w:t>
      </w:r>
      <w:r w:rsidRPr="000220A1">
        <w:rPr>
          <w:rFonts w:ascii="Times New Roman" w:hAnsi="Times New Roman"/>
          <w:b w:val="0"/>
          <w:color w:val="auto"/>
          <w:sz w:val="24"/>
          <w:szCs w:val="24"/>
        </w:rPr>
        <w:t>Ханты-Мансийско</w:t>
      </w:r>
      <w:r>
        <w:rPr>
          <w:rFonts w:ascii="Times New Roman" w:hAnsi="Times New Roman"/>
          <w:b w:val="0"/>
          <w:color w:val="auto"/>
          <w:sz w:val="24"/>
          <w:szCs w:val="24"/>
        </w:rPr>
        <w:t>м</w:t>
      </w:r>
      <w:r w:rsidRPr="000220A1">
        <w:rPr>
          <w:rFonts w:ascii="Times New Roman" w:hAnsi="Times New Roman"/>
          <w:b w:val="0"/>
          <w:color w:val="auto"/>
          <w:sz w:val="24"/>
          <w:szCs w:val="24"/>
        </w:rPr>
        <w:t xml:space="preserve"> автономно</w:t>
      </w:r>
      <w:r>
        <w:rPr>
          <w:rFonts w:ascii="Times New Roman" w:hAnsi="Times New Roman"/>
          <w:b w:val="0"/>
          <w:color w:val="auto"/>
          <w:sz w:val="24"/>
          <w:szCs w:val="24"/>
        </w:rPr>
        <w:t>м</w:t>
      </w:r>
      <w:r w:rsidRPr="000220A1">
        <w:rPr>
          <w:rFonts w:ascii="Times New Roman" w:hAnsi="Times New Roman"/>
          <w:b w:val="0"/>
          <w:color w:val="auto"/>
          <w:sz w:val="24"/>
          <w:szCs w:val="24"/>
        </w:rPr>
        <w:t xml:space="preserve"> округ</w:t>
      </w:r>
      <w:r>
        <w:rPr>
          <w:rFonts w:ascii="Times New Roman" w:hAnsi="Times New Roman"/>
          <w:b w:val="0"/>
          <w:color w:val="auto"/>
          <w:sz w:val="24"/>
          <w:szCs w:val="24"/>
        </w:rPr>
        <w:t>е</w:t>
      </w:r>
      <w:r w:rsidRPr="00475E67">
        <w:rPr>
          <w:rFonts w:ascii="Times New Roman" w:hAnsi="Times New Roman"/>
          <w:b w:val="0"/>
          <w:color w:val="auto"/>
          <w:sz w:val="24"/>
          <w:szCs w:val="24"/>
        </w:rPr>
        <w:t xml:space="preserve"> – Югре и РФ, %</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lastRenderedPageBreak/>
        <w:t xml:space="preserve">В настоящее время уровень зарегистрированной безработицы городского округа практически ниже среднего российского показателя и показателя Ханты-Мансийского автономного округа – Югры, зафиксированных на 01.01.2013 г., но выше аналогичных показателей в ГО г. Сургут и Сургутском районе. </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lastRenderedPageBreak/>
        <w:t>5. Рост уровня жизни населения</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Основными показателями уровня жизни населения являются денежные доходы населения. За последние шесть лет в муниципальном образовании наблюдается рост этих показателей (</w:t>
      </w:r>
      <w:r w:rsidR="001977F4">
        <w:fldChar w:fldCharType="begin"/>
      </w:r>
      <w:r w:rsidR="001977F4">
        <w:instrText xml:space="preserve"> REF _Ref396377521 \h  \* MERGEFORMAT </w:instrText>
      </w:r>
      <w:r w:rsidR="001977F4">
        <w:fldChar w:fldCharType="separate"/>
      </w:r>
      <w:r w:rsidR="001977F4" w:rsidRPr="001977F4">
        <w:rPr>
          <w:rFonts w:ascii="Times New Roman" w:hAnsi="Times New Roman"/>
          <w:sz w:val="26"/>
          <w:szCs w:val="26"/>
        </w:rPr>
        <w:t>Рисунок 5</w:t>
      </w:r>
      <w:r w:rsidR="001977F4">
        <w:fldChar w:fldCharType="end"/>
      </w:r>
      <w:r w:rsidRPr="00EC2DBF">
        <w:rPr>
          <w:rFonts w:ascii="Times New Roman" w:hAnsi="Times New Roman"/>
          <w:sz w:val="26"/>
          <w:szCs w:val="26"/>
        </w:rPr>
        <w:t>).</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В общей структуре доходов доминирующее место занимает заработная </w:t>
      </w:r>
      <w:r w:rsidRPr="00EC2DBF">
        <w:rPr>
          <w:rFonts w:ascii="Times New Roman" w:hAnsi="Times New Roman"/>
          <w:sz w:val="26"/>
          <w:szCs w:val="26"/>
        </w:rPr>
        <w:lastRenderedPageBreak/>
        <w:t>плата. В 2013 году уровень среднемесячной заработной платы увеличился на 9% по отношению к 2012 году. В результате данных изменений за последний год в городе Когалыме величина прожиточного минимума изменилась на 14% в благоприятную сторону.</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lastRenderedPageBreak/>
        <w:t>В настоящее время в городском округе лишь у 1,3% численности населения доходы меньше величины прожиточного минимума.</w:t>
      </w:r>
    </w:p>
    <w:p w:rsidR="004616EA" w:rsidRPr="00475E67" w:rsidRDefault="004616EA" w:rsidP="00396904">
      <w:pPr>
        <w:spacing w:after="0"/>
        <w:ind w:firstLine="709"/>
        <w:jc w:val="center"/>
        <w:rPr>
          <w:rFonts w:ascii="Times New Roman" w:hAnsi="Times New Roman"/>
          <w:sz w:val="24"/>
          <w:szCs w:val="24"/>
        </w:rPr>
      </w:pPr>
      <w:r w:rsidRPr="00475E67">
        <w:rPr>
          <w:rFonts w:ascii="Times New Roman" w:hAnsi="Times New Roman"/>
          <w:sz w:val="24"/>
          <w:szCs w:val="24"/>
        </w:rPr>
        <w:object w:dxaOrig="8243" w:dyaOrig="6331">
          <v:shape id="_x0000_i1029" type="#_x0000_t75" style="width:363.6pt;height:274.8pt" o:ole="">
            <v:imagedata r:id="rId17" o:title=""/>
          </v:shape>
          <o:OLEObject Type="Embed" ProgID="Excel.Sheet.12" ShapeID="_x0000_i1029" DrawAspect="Content" ObjectID="_1509436639" r:id="rId18"/>
        </w:object>
      </w:r>
    </w:p>
    <w:p w:rsidR="004616EA" w:rsidRPr="00475E67" w:rsidRDefault="004616EA" w:rsidP="00396904">
      <w:pPr>
        <w:pStyle w:val="af1"/>
        <w:jc w:val="center"/>
        <w:rPr>
          <w:rFonts w:ascii="Times New Roman" w:hAnsi="Times New Roman"/>
          <w:b w:val="0"/>
          <w:color w:val="auto"/>
          <w:sz w:val="24"/>
          <w:szCs w:val="24"/>
        </w:rPr>
      </w:pPr>
      <w:bookmarkStart w:id="16" w:name="_Ref396377521"/>
      <w:r w:rsidRPr="00475E67">
        <w:rPr>
          <w:rFonts w:ascii="Times New Roman" w:hAnsi="Times New Roman"/>
          <w:b w:val="0"/>
          <w:color w:val="auto"/>
          <w:sz w:val="24"/>
          <w:szCs w:val="24"/>
        </w:rPr>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sidR="001977F4">
        <w:rPr>
          <w:rFonts w:ascii="Times New Roman" w:hAnsi="Times New Roman"/>
          <w:b w:val="0"/>
          <w:noProof/>
          <w:color w:val="auto"/>
          <w:sz w:val="24"/>
          <w:szCs w:val="24"/>
        </w:rPr>
        <w:t>5</w:t>
      </w:r>
      <w:r w:rsidRPr="00475E67">
        <w:rPr>
          <w:rFonts w:ascii="Times New Roman" w:hAnsi="Times New Roman"/>
          <w:b w:val="0"/>
          <w:color w:val="auto"/>
          <w:sz w:val="24"/>
          <w:szCs w:val="24"/>
        </w:rPr>
        <w:fldChar w:fldCharType="end"/>
      </w:r>
      <w:bookmarkEnd w:id="16"/>
      <w:r w:rsidRPr="00475E67">
        <w:rPr>
          <w:rFonts w:ascii="Times New Roman" w:hAnsi="Times New Roman"/>
          <w:b w:val="0"/>
          <w:color w:val="auto"/>
          <w:sz w:val="24"/>
          <w:szCs w:val="24"/>
        </w:rPr>
        <w:t xml:space="preserve"> - Динамика денежных доходов и величина прожиточного минимума </w:t>
      </w:r>
      <w:r w:rsidRPr="00475E67">
        <w:rPr>
          <w:rFonts w:ascii="Times New Roman" w:hAnsi="Times New Roman"/>
          <w:b w:val="0"/>
          <w:color w:val="auto"/>
          <w:sz w:val="24"/>
          <w:szCs w:val="24"/>
        </w:rPr>
        <w:lastRenderedPageBreak/>
        <w:t>населения городского округа город Когалым, тыс. руб.</w:t>
      </w:r>
    </w:p>
    <w:p w:rsidR="004616EA" w:rsidRPr="00EC2DBF" w:rsidRDefault="004616EA" w:rsidP="00EC2DBF">
      <w:pPr>
        <w:spacing w:after="0" w:line="240" w:lineRule="auto"/>
        <w:ind w:firstLine="709"/>
        <w:jc w:val="both"/>
        <w:rPr>
          <w:rFonts w:ascii="Times New Roman" w:hAnsi="Times New Roman"/>
          <w:b/>
          <w:sz w:val="26"/>
          <w:szCs w:val="26"/>
        </w:rPr>
      </w:pPr>
      <w:r w:rsidRPr="00EC2DBF">
        <w:rPr>
          <w:rFonts w:ascii="Times New Roman" w:hAnsi="Times New Roman"/>
          <w:b/>
          <w:sz w:val="26"/>
          <w:szCs w:val="26"/>
        </w:rPr>
        <w:t>Слабые стороны</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1. Интенсивные миграционные процессы</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Миграционное движение населения на территории городского округа за последние 5 лет носило неустойчивый </w:t>
      </w:r>
      <w:r w:rsidRPr="00EC2DBF">
        <w:rPr>
          <w:rFonts w:ascii="Times New Roman" w:hAnsi="Times New Roman"/>
          <w:sz w:val="26"/>
          <w:szCs w:val="26"/>
        </w:rPr>
        <w:lastRenderedPageBreak/>
        <w:t>характер: коэффициенты миграционного прироста имели как положительные, так и отрицательные значения.</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Миграционные потоки характеризуются ежегодным ростом числа выбывших, число прибывших тоже увеличивается, но общая картина говорит о том, что сальдо миграции нестабильно </w:t>
      </w:r>
      <w:r w:rsidRPr="00EC2DBF">
        <w:rPr>
          <w:rFonts w:ascii="Times New Roman" w:hAnsi="Times New Roman"/>
          <w:sz w:val="26"/>
          <w:szCs w:val="26"/>
        </w:rPr>
        <w:lastRenderedPageBreak/>
        <w:t>и в муниципальном образовании присутствует угроза оттока населения. За анализируемый период времени из городского округа уехало 14,6 тыс. человек, тогда как приехало - 14,5 тыс. чел. (</w:t>
      </w:r>
      <w:r w:rsidR="001977F4">
        <w:fldChar w:fldCharType="begin"/>
      </w:r>
      <w:r w:rsidR="001977F4">
        <w:instrText xml:space="preserve"> REF _Ref396377549 \h  \* MERGEFORMAT </w:instrText>
      </w:r>
      <w:r w:rsidR="001977F4">
        <w:fldChar w:fldCharType="separate"/>
      </w:r>
      <w:r w:rsidR="001977F4" w:rsidRPr="001977F4">
        <w:rPr>
          <w:rFonts w:ascii="Times New Roman" w:hAnsi="Times New Roman"/>
          <w:sz w:val="26"/>
          <w:szCs w:val="26"/>
        </w:rPr>
        <w:t>Рисунок 6</w:t>
      </w:r>
      <w:r w:rsidR="001977F4">
        <w:fldChar w:fldCharType="end"/>
      </w:r>
      <w:r w:rsidRPr="00EC2DBF">
        <w:rPr>
          <w:rFonts w:ascii="Times New Roman" w:hAnsi="Times New Roman"/>
          <w:sz w:val="26"/>
          <w:szCs w:val="26"/>
        </w:rPr>
        <w:t>).</w:t>
      </w:r>
    </w:p>
    <w:p w:rsidR="004616EA" w:rsidRPr="00475E67" w:rsidRDefault="004616EA" w:rsidP="00B47505">
      <w:pPr>
        <w:spacing w:after="0"/>
        <w:jc w:val="center"/>
        <w:rPr>
          <w:rFonts w:ascii="Times New Roman" w:hAnsi="Times New Roman"/>
          <w:sz w:val="24"/>
          <w:szCs w:val="24"/>
        </w:rPr>
      </w:pPr>
      <w:r w:rsidRPr="00475E67">
        <w:object w:dxaOrig="7201" w:dyaOrig="4021">
          <v:shape id="_x0000_i1030" type="#_x0000_t75" style="width:5in;height:201pt" o:ole="">
            <v:imagedata r:id="rId19" o:title=""/>
          </v:shape>
          <o:OLEObject Type="Embed" ProgID="Excel.Sheet.12" ShapeID="_x0000_i1030" DrawAspect="Content" ObjectID="_1509436640" r:id="rId20"/>
        </w:object>
      </w:r>
    </w:p>
    <w:p w:rsidR="004616EA" w:rsidRPr="00475E67" w:rsidRDefault="004616EA" w:rsidP="00396904">
      <w:pPr>
        <w:pStyle w:val="af1"/>
        <w:jc w:val="center"/>
        <w:rPr>
          <w:rFonts w:ascii="Times New Roman" w:hAnsi="Times New Roman"/>
          <w:b w:val="0"/>
          <w:color w:val="auto"/>
          <w:sz w:val="24"/>
          <w:szCs w:val="24"/>
        </w:rPr>
      </w:pPr>
      <w:bookmarkStart w:id="17" w:name="_Ref396377549"/>
      <w:r w:rsidRPr="00475E67">
        <w:rPr>
          <w:rFonts w:ascii="Times New Roman" w:hAnsi="Times New Roman"/>
          <w:b w:val="0"/>
          <w:color w:val="auto"/>
          <w:sz w:val="24"/>
          <w:szCs w:val="24"/>
        </w:rPr>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sidR="001977F4">
        <w:rPr>
          <w:rFonts w:ascii="Times New Roman" w:hAnsi="Times New Roman"/>
          <w:b w:val="0"/>
          <w:noProof/>
          <w:color w:val="auto"/>
          <w:sz w:val="24"/>
          <w:szCs w:val="24"/>
        </w:rPr>
        <w:t>6</w:t>
      </w:r>
      <w:r w:rsidRPr="00475E67">
        <w:rPr>
          <w:rFonts w:ascii="Times New Roman" w:hAnsi="Times New Roman"/>
          <w:b w:val="0"/>
          <w:color w:val="auto"/>
          <w:sz w:val="24"/>
          <w:szCs w:val="24"/>
        </w:rPr>
        <w:fldChar w:fldCharType="end"/>
      </w:r>
      <w:bookmarkEnd w:id="17"/>
      <w:r w:rsidRPr="00475E67">
        <w:rPr>
          <w:rFonts w:ascii="Times New Roman" w:hAnsi="Times New Roman"/>
          <w:b w:val="0"/>
          <w:color w:val="auto"/>
          <w:sz w:val="24"/>
          <w:szCs w:val="24"/>
        </w:rPr>
        <w:t xml:space="preserve"> - Миграционное движение населения в городе Когалыме в 2009 – 2013 гг., человек</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lastRenderedPageBreak/>
        <w:t xml:space="preserve">Неустойчивость миграционных процессов обусловлена спецификой, характерной для северных территорий. Территория городского округа привлекательна для населения, прежде всего в трудоспособном возрасте. Основными факторами привлекательности являются: высокий уровень заработной платы и широкий спектр мер </w:t>
      </w:r>
      <w:r w:rsidRPr="00EC2DBF">
        <w:rPr>
          <w:rFonts w:ascii="Times New Roman" w:hAnsi="Times New Roman"/>
          <w:sz w:val="26"/>
          <w:szCs w:val="26"/>
        </w:rPr>
        <w:lastRenderedPageBreak/>
        <w:t>социальной поддержки. Одними из основных причин оттока населения являет суровый климат, а также низкий уровень обеспеченности учреждениями культуры и искусства.</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2. Наметившаяся тенденция демографического старения населения</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Демографическое старение – это увеличение доли населения старше </w:t>
      </w:r>
      <w:r w:rsidRPr="00EC2DBF">
        <w:rPr>
          <w:rFonts w:ascii="Times New Roman" w:hAnsi="Times New Roman"/>
          <w:sz w:val="26"/>
          <w:szCs w:val="26"/>
        </w:rPr>
        <w:lastRenderedPageBreak/>
        <w:t>трудоспособного возраста. Если она меньше 8%, население считается молодым, больше 12% - старым.</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 городском округе в 2013 году доля населения старше трудоспособного возраста составляла 8,3%, что ниже значений показателя по РФ и Ханты-Мансийскому автономному округу – Югре (23,1% и 11,7% соответственно).</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bCs/>
          <w:sz w:val="26"/>
          <w:szCs w:val="26"/>
        </w:rPr>
        <w:lastRenderedPageBreak/>
        <w:t xml:space="preserve">В прогнозируемом периоде возрастная структура населения будет определяться фактором замещения поколений. В трудоспособный возраст будут вступать малочисленные поколения людей, рожденных в период демографического кризиса (1990-е годы), характеризовавшегося снижением рождаемости и увеличением смертности. </w:t>
      </w:r>
      <w:r w:rsidRPr="00EC2DBF">
        <w:rPr>
          <w:rFonts w:ascii="Times New Roman" w:hAnsi="Times New Roman"/>
          <w:bCs/>
          <w:sz w:val="26"/>
          <w:szCs w:val="26"/>
        </w:rPr>
        <w:lastRenderedPageBreak/>
        <w:t xml:space="preserve">Выбывать при этом будут многочисленные поколения людей, рожденных в период всплеска естественного прироста населения (после 1945-го года). С учетом миграционного оттока граждан трудоспособного возраста численность населения данной возрастной группы сократится, а численность </w:t>
      </w:r>
      <w:r w:rsidRPr="00EC2DBF">
        <w:rPr>
          <w:rFonts w:ascii="Times New Roman" w:hAnsi="Times New Roman"/>
          <w:bCs/>
          <w:sz w:val="26"/>
          <w:szCs w:val="26"/>
        </w:rPr>
        <w:lastRenderedPageBreak/>
        <w:t>населения старше трудоспособного возраста увеличится.</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3. Высокий уровень расторжения браков</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На демографическую ситуацию, в том числе уровень рождаемости, оказывают влияние не только экономические и медицинские, но также и социальные, психологические, культурные </w:t>
      </w:r>
      <w:r w:rsidRPr="00EC2DBF">
        <w:rPr>
          <w:rFonts w:ascii="Times New Roman" w:hAnsi="Times New Roman"/>
          <w:sz w:val="26"/>
          <w:szCs w:val="26"/>
        </w:rPr>
        <w:lastRenderedPageBreak/>
        <w:t>аспекты. В связи с этим одной из составляющих современной демографической ситуации в городском округе, как и в стране в целом, является высокая частота расторжения браков.</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В муниципальном образовании за 2013 год на 100 браков пришлось 64 развода (за 2012 год – 88 разводов на </w:t>
      </w:r>
      <w:r w:rsidRPr="00EC2DBF">
        <w:rPr>
          <w:rFonts w:ascii="Times New Roman" w:hAnsi="Times New Roman"/>
          <w:sz w:val="26"/>
          <w:szCs w:val="26"/>
        </w:rPr>
        <w:lastRenderedPageBreak/>
        <w:t>100 браков). Динамика по данному показателю представлена ниже (</w:t>
      </w:r>
      <w:r w:rsidR="001977F4">
        <w:fldChar w:fldCharType="begin"/>
      </w:r>
      <w:r w:rsidR="001977F4">
        <w:instrText xml:space="preserve"> REF _Ref395112144 \h  \* MERGEFORMAT </w:instrText>
      </w:r>
      <w:r w:rsidR="001977F4">
        <w:fldChar w:fldCharType="separate"/>
      </w:r>
      <w:r w:rsidR="001977F4" w:rsidRPr="001977F4">
        <w:rPr>
          <w:rFonts w:ascii="Times New Roman" w:hAnsi="Times New Roman"/>
          <w:sz w:val="26"/>
          <w:szCs w:val="26"/>
        </w:rPr>
        <w:t>Рисунок 7</w:t>
      </w:r>
      <w:r w:rsidR="001977F4">
        <w:fldChar w:fldCharType="end"/>
      </w:r>
      <w:r w:rsidRPr="00EC2DBF">
        <w:rPr>
          <w:rFonts w:ascii="Times New Roman" w:hAnsi="Times New Roman"/>
          <w:sz w:val="26"/>
          <w:szCs w:val="26"/>
        </w:rPr>
        <w:t>).</w:t>
      </w:r>
    </w:p>
    <w:p w:rsidR="004616EA" w:rsidRPr="00475E67" w:rsidRDefault="004616EA" w:rsidP="00396904">
      <w:pPr>
        <w:spacing w:after="0"/>
        <w:ind w:firstLine="709"/>
        <w:jc w:val="center"/>
        <w:rPr>
          <w:rFonts w:ascii="Times New Roman" w:hAnsi="Times New Roman"/>
          <w:sz w:val="24"/>
          <w:szCs w:val="24"/>
        </w:rPr>
      </w:pPr>
      <w:r w:rsidRPr="00475E67">
        <w:rPr>
          <w:rFonts w:ascii="Times New Roman" w:hAnsi="Times New Roman"/>
          <w:sz w:val="24"/>
          <w:szCs w:val="24"/>
        </w:rPr>
        <w:object w:dxaOrig="7201" w:dyaOrig="4021">
          <v:shape id="_x0000_i1031" type="#_x0000_t75" style="width:342.6pt;height:190.8pt" o:ole="">
            <v:imagedata r:id="rId21" o:title=""/>
          </v:shape>
          <o:OLEObject Type="Embed" ProgID="Excel.Sheet.12" ShapeID="_x0000_i1031" DrawAspect="Content" ObjectID="_1509436641" r:id="rId22"/>
        </w:object>
      </w:r>
    </w:p>
    <w:p w:rsidR="004616EA" w:rsidRDefault="004616EA" w:rsidP="00EC2DBF">
      <w:pPr>
        <w:pStyle w:val="af1"/>
        <w:spacing w:after="0"/>
        <w:ind w:firstLine="709"/>
        <w:jc w:val="both"/>
        <w:rPr>
          <w:rFonts w:ascii="Times New Roman" w:hAnsi="Times New Roman"/>
          <w:b w:val="0"/>
          <w:color w:val="auto"/>
          <w:sz w:val="24"/>
          <w:szCs w:val="24"/>
        </w:rPr>
      </w:pPr>
      <w:bookmarkStart w:id="18" w:name="_Ref395112144"/>
      <w:r w:rsidRPr="00475E67">
        <w:rPr>
          <w:rFonts w:ascii="Times New Roman" w:hAnsi="Times New Roman"/>
          <w:b w:val="0"/>
          <w:color w:val="auto"/>
          <w:sz w:val="24"/>
          <w:szCs w:val="24"/>
        </w:rPr>
        <w:lastRenderedPageBreak/>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sidR="001977F4">
        <w:rPr>
          <w:rFonts w:ascii="Times New Roman" w:hAnsi="Times New Roman"/>
          <w:b w:val="0"/>
          <w:noProof/>
          <w:color w:val="auto"/>
          <w:sz w:val="24"/>
          <w:szCs w:val="24"/>
        </w:rPr>
        <w:t>7</w:t>
      </w:r>
      <w:r w:rsidRPr="00475E67">
        <w:rPr>
          <w:rFonts w:ascii="Times New Roman" w:hAnsi="Times New Roman"/>
          <w:b w:val="0"/>
          <w:color w:val="auto"/>
          <w:sz w:val="24"/>
          <w:szCs w:val="24"/>
        </w:rPr>
        <w:fldChar w:fldCharType="end"/>
      </w:r>
      <w:bookmarkEnd w:id="18"/>
      <w:r w:rsidRPr="00475E67">
        <w:rPr>
          <w:rFonts w:ascii="Times New Roman" w:hAnsi="Times New Roman"/>
          <w:b w:val="0"/>
          <w:color w:val="auto"/>
          <w:sz w:val="24"/>
          <w:szCs w:val="24"/>
        </w:rPr>
        <w:t xml:space="preserve"> - Динамика числа браков и разводов городского округа город Когалым, на конец года</w:t>
      </w:r>
    </w:p>
    <w:p w:rsidR="004616EA" w:rsidRPr="00EC2DBF" w:rsidRDefault="004616EA" w:rsidP="00EC2DBF">
      <w:pPr>
        <w:spacing w:after="0" w:line="240" w:lineRule="auto"/>
        <w:rPr>
          <w:lang w:eastAsia="ru-RU"/>
        </w:rPr>
      </w:pPr>
    </w:p>
    <w:p w:rsidR="004616EA" w:rsidRPr="00475E67" w:rsidRDefault="004616EA" w:rsidP="00EC2DBF">
      <w:pPr>
        <w:spacing w:after="0" w:line="240" w:lineRule="auto"/>
        <w:ind w:firstLine="709"/>
        <w:jc w:val="both"/>
        <w:rPr>
          <w:rFonts w:ascii="Times New Roman" w:hAnsi="Times New Roman"/>
          <w:sz w:val="24"/>
          <w:szCs w:val="24"/>
        </w:rPr>
      </w:pPr>
      <w:r w:rsidRPr="00475E67">
        <w:rPr>
          <w:rFonts w:ascii="Times New Roman" w:hAnsi="Times New Roman"/>
          <w:sz w:val="24"/>
          <w:szCs w:val="24"/>
        </w:rPr>
        <w:t>В соответствии с представленным рисунком можно сделать вывод, что анализируемые показатели в городском округе являются нестабильными, наблюдается как их увеличение, так и сокращение.</w:t>
      </w:r>
    </w:p>
    <w:p w:rsidR="004616EA" w:rsidRPr="00475E67" w:rsidRDefault="004616EA" w:rsidP="00EC2DBF">
      <w:pPr>
        <w:spacing w:after="0" w:line="240" w:lineRule="auto"/>
        <w:ind w:firstLine="709"/>
        <w:jc w:val="both"/>
        <w:rPr>
          <w:rFonts w:ascii="Times New Roman" w:hAnsi="Times New Roman"/>
          <w:i/>
          <w:sz w:val="24"/>
          <w:szCs w:val="24"/>
        </w:rPr>
      </w:pPr>
      <w:r w:rsidRPr="00475E67">
        <w:rPr>
          <w:rFonts w:ascii="Times New Roman" w:hAnsi="Times New Roman"/>
          <w:i/>
          <w:sz w:val="24"/>
          <w:szCs w:val="24"/>
        </w:rPr>
        <w:lastRenderedPageBreak/>
        <w:t>4. Снижение уровня экономической активности населения городского округа</w:t>
      </w:r>
    </w:p>
    <w:p w:rsidR="004616EA" w:rsidRPr="00475E67" w:rsidRDefault="004616EA" w:rsidP="00EC2DBF">
      <w:pPr>
        <w:spacing w:after="0" w:line="240" w:lineRule="auto"/>
        <w:ind w:firstLine="709"/>
        <w:jc w:val="both"/>
        <w:rPr>
          <w:rFonts w:ascii="Times New Roman" w:hAnsi="Times New Roman"/>
          <w:sz w:val="24"/>
          <w:szCs w:val="24"/>
        </w:rPr>
      </w:pPr>
      <w:r w:rsidRPr="00475E67">
        <w:rPr>
          <w:rFonts w:ascii="Times New Roman" w:hAnsi="Times New Roman"/>
          <w:sz w:val="24"/>
          <w:szCs w:val="24"/>
        </w:rPr>
        <w:t>В течение анализируемого периода (2008 - 2013 гг.) в городском округе наблюдалась динамика сокращения уровня экономической активности населения (</w:t>
      </w:r>
      <w:r w:rsidR="001977F4">
        <w:fldChar w:fldCharType="begin"/>
      </w:r>
      <w:r w:rsidR="001977F4">
        <w:instrText xml:space="preserve"> REF _Ref395893734 \h  \* MERGEFORMAT </w:instrText>
      </w:r>
      <w:r w:rsidR="001977F4">
        <w:fldChar w:fldCharType="separate"/>
      </w:r>
      <w:r w:rsidR="001977F4" w:rsidRPr="00475E67">
        <w:rPr>
          <w:rFonts w:ascii="Times New Roman" w:hAnsi="Times New Roman"/>
          <w:sz w:val="24"/>
          <w:szCs w:val="24"/>
        </w:rPr>
        <w:t xml:space="preserve">Рисунок </w:t>
      </w:r>
      <w:r w:rsidR="001977F4" w:rsidRPr="001977F4">
        <w:rPr>
          <w:rFonts w:ascii="Times New Roman" w:hAnsi="Times New Roman"/>
          <w:sz w:val="24"/>
          <w:szCs w:val="24"/>
        </w:rPr>
        <w:t>8</w:t>
      </w:r>
      <w:r w:rsidR="001977F4">
        <w:fldChar w:fldCharType="end"/>
      </w:r>
      <w:r w:rsidRPr="00475E67">
        <w:rPr>
          <w:rFonts w:ascii="Times New Roman" w:hAnsi="Times New Roman"/>
          <w:sz w:val="24"/>
          <w:szCs w:val="24"/>
        </w:rPr>
        <w:t>). К 2013 году на экономически активное население приходилось 37,4 тыс. человек, 3</w:t>
      </w:r>
      <w:r>
        <w:rPr>
          <w:rFonts w:ascii="Times New Roman" w:hAnsi="Times New Roman"/>
          <w:sz w:val="24"/>
          <w:szCs w:val="24"/>
        </w:rPr>
        <w:t>5</w:t>
      </w:r>
      <w:r w:rsidRPr="00475E67">
        <w:rPr>
          <w:rFonts w:ascii="Times New Roman" w:hAnsi="Times New Roman"/>
          <w:sz w:val="24"/>
          <w:szCs w:val="24"/>
        </w:rPr>
        <w:t>,</w:t>
      </w:r>
      <w:r>
        <w:rPr>
          <w:rFonts w:ascii="Times New Roman" w:hAnsi="Times New Roman"/>
          <w:sz w:val="24"/>
          <w:szCs w:val="24"/>
        </w:rPr>
        <w:t>68</w:t>
      </w:r>
      <w:r w:rsidRPr="00475E67">
        <w:rPr>
          <w:rFonts w:ascii="Times New Roman" w:hAnsi="Times New Roman"/>
          <w:sz w:val="24"/>
          <w:szCs w:val="24"/>
        </w:rPr>
        <w:t xml:space="preserve"> тыс. человек из них были заняты в экономике города.</w:t>
      </w:r>
    </w:p>
    <w:p w:rsidR="004616EA" w:rsidRPr="00475E67" w:rsidRDefault="004616EA" w:rsidP="00396904">
      <w:pPr>
        <w:ind w:firstLine="708"/>
        <w:jc w:val="center"/>
        <w:rPr>
          <w:rFonts w:ascii="Times New Roman" w:hAnsi="Times New Roman"/>
          <w:sz w:val="24"/>
          <w:szCs w:val="24"/>
        </w:rPr>
      </w:pPr>
      <w:r w:rsidRPr="00475E67">
        <w:rPr>
          <w:rFonts w:ascii="Times New Roman" w:hAnsi="Times New Roman"/>
          <w:sz w:val="24"/>
          <w:szCs w:val="24"/>
        </w:rPr>
        <w:object w:dxaOrig="7201" w:dyaOrig="4021">
          <v:shape id="_x0000_i1032" type="#_x0000_t75" style="width:5in;height:201pt" o:ole="">
            <v:imagedata r:id="rId23" o:title=""/>
          </v:shape>
          <o:OLEObject Type="Embed" ProgID="Excel.Sheet.12" ShapeID="_x0000_i1032" DrawAspect="Content" ObjectID="_1509436642" r:id="rId24"/>
        </w:object>
      </w:r>
    </w:p>
    <w:p w:rsidR="004616EA" w:rsidRPr="00475E67" w:rsidRDefault="004616EA" w:rsidP="00396904">
      <w:pPr>
        <w:pStyle w:val="af1"/>
        <w:spacing w:after="0"/>
        <w:jc w:val="center"/>
        <w:rPr>
          <w:rFonts w:ascii="Times New Roman" w:hAnsi="Times New Roman"/>
          <w:b w:val="0"/>
          <w:color w:val="auto"/>
          <w:sz w:val="24"/>
          <w:szCs w:val="24"/>
        </w:rPr>
      </w:pPr>
      <w:bookmarkStart w:id="19" w:name="_Ref395893734"/>
      <w:r w:rsidRPr="00475E67">
        <w:rPr>
          <w:rFonts w:ascii="Times New Roman" w:hAnsi="Times New Roman"/>
          <w:b w:val="0"/>
          <w:color w:val="auto"/>
          <w:sz w:val="24"/>
          <w:szCs w:val="24"/>
        </w:rPr>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sidR="001977F4">
        <w:rPr>
          <w:rFonts w:ascii="Times New Roman" w:hAnsi="Times New Roman"/>
          <w:b w:val="0"/>
          <w:noProof/>
          <w:color w:val="auto"/>
          <w:sz w:val="24"/>
          <w:szCs w:val="24"/>
        </w:rPr>
        <w:t>8</w:t>
      </w:r>
      <w:r w:rsidRPr="00475E67">
        <w:rPr>
          <w:rFonts w:ascii="Times New Roman" w:hAnsi="Times New Roman"/>
          <w:b w:val="0"/>
          <w:color w:val="auto"/>
          <w:sz w:val="24"/>
          <w:szCs w:val="24"/>
        </w:rPr>
        <w:fldChar w:fldCharType="end"/>
      </w:r>
      <w:bookmarkEnd w:id="19"/>
      <w:r w:rsidRPr="00475E67">
        <w:rPr>
          <w:rFonts w:ascii="Times New Roman" w:hAnsi="Times New Roman"/>
          <w:b w:val="0"/>
          <w:color w:val="auto"/>
          <w:sz w:val="24"/>
          <w:szCs w:val="24"/>
        </w:rPr>
        <w:t xml:space="preserve"> - Уровень экономической активности в городском округе город Когалым, </w:t>
      </w:r>
      <w:r w:rsidRPr="000220A1">
        <w:rPr>
          <w:rFonts w:ascii="Times New Roman" w:hAnsi="Times New Roman"/>
          <w:b w:val="0"/>
          <w:color w:val="auto"/>
          <w:sz w:val="24"/>
          <w:szCs w:val="24"/>
        </w:rPr>
        <w:t>Ханты-Мансийском автономном округе</w:t>
      </w:r>
      <w:r w:rsidRPr="00475E67">
        <w:rPr>
          <w:rFonts w:ascii="Times New Roman" w:hAnsi="Times New Roman"/>
          <w:b w:val="0"/>
          <w:color w:val="auto"/>
          <w:sz w:val="24"/>
          <w:szCs w:val="24"/>
        </w:rPr>
        <w:t xml:space="preserve"> – Югре и РФ, %</w:t>
      </w:r>
    </w:p>
    <w:p w:rsidR="004616EA" w:rsidRPr="00475E67" w:rsidRDefault="004616EA" w:rsidP="00396904">
      <w:pPr>
        <w:spacing w:after="0" w:line="240" w:lineRule="auto"/>
        <w:ind w:firstLine="709"/>
        <w:jc w:val="both"/>
        <w:rPr>
          <w:rFonts w:ascii="Times New Roman" w:hAnsi="Times New Roman"/>
          <w:sz w:val="24"/>
          <w:szCs w:val="24"/>
        </w:rPr>
      </w:pP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 2013 году на экономически активное население приходилось 62,2% от общей численности населения, что ниже как среднероссийского показателя (68,5%), так и уровня экономической активности населения Ханты-Мансийского автономного округа – Югры (73,4%).</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lastRenderedPageBreak/>
        <w:t>5. Преобладание в отраслевой структуре занятости населения, занятого в промышленной сфере</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В городском округе город Когалым ведущей отраслью экономики является промышленность, сюда входят: отрасль добычи топливно-энергетических полезных ископаемых, обрабатывающее производство, производство и </w:t>
      </w:r>
      <w:r w:rsidRPr="00EC2DBF">
        <w:rPr>
          <w:rFonts w:ascii="Times New Roman" w:hAnsi="Times New Roman"/>
          <w:sz w:val="26"/>
          <w:szCs w:val="26"/>
        </w:rPr>
        <w:lastRenderedPageBreak/>
        <w:t>распределение электроэнергии газа и воды. Основным видом деятельности является нефтедобыча, где свою деятельность осуществляют предприятия, входящие в структуру крупных нефтяных компаний: ООО «ЛУКойл – Западная Сибирь» Территориально-производственное предприятие «Кога</w:t>
      </w:r>
      <w:r w:rsidRPr="00EC2DBF">
        <w:rPr>
          <w:rFonts w:ascii="Times New Roman" w:hAnsi="Times New Roman"/>
          <w:sz w:val="26"/>
          <w:szCs w:val="26"/>
        </w:rPr>
        <w:lastRenderedPageBreak/>
        <w:t>лымнефтегаз», ООО «ЛУКойл – Западная Сибирь» Территориально-производственное предприятие «Повхнефтегаз» и другие.</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Порядка 27% экономически активного населения занято в промышленном комплексе, при этом более 60% занятых в данной отрасли экономики приходится на предприятия по добыче </w:t>
      </w:r>
      <w:r w:rsidRPr="00EC2DBF">
        <w:rPr>
          <w:rFonts w:ascii="Times New Roman" w:hAnsi="Times New Roman"/>
          <w:sz w:val="26"/>
          <w:szCs w:val="26"/>
        </w:rPr>
        <w:lastRenderedPageBreak/>
        <w:t>полезных ископаемых. Этот факт позволяет сделать вывод о моноотраслевой структуре экономики и свидетельствует о серьезной зависимости социально-экономической стабильности городского округа от работы промышленных предприятий одной отрасли и отсутствия диверсифицированной экономики.</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lastRenderedPageBreak/>
        <w:t>6. Профессионально-квалификационное несоответствие спроса и предложения рабочей силы</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Несмотря на высокую долю занятости населения в промышленном комплексе, в городском округе присутствует профессионально-квалификационное несоответствие спроса и предложения рабочей силы, что не </w:t>
      </w:r>
      <w:r w:rsidRPr="00EC2DBF">
        <w:rPr>
          <w:rFonts w:ascii="Times New Roman" w:hAnsi="Times New Roman"/>
          <w:sz w:val="26"/>
          <w:szCs w:val="26"/>
        </w:rPr>
        <w:lastRenderedPageBreak/>
        <w:t>позволяет в полной мере обеспечить потребности организаций специалистами, отвечающих требованиям современных предприятий.</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Наиболее высокая потребность работодателей в кадровом обеспечении сложилась в сфере добычи полезных ископаемых – 37%, транспорт и связь </w:t>
      </w:r>
      <w:r w:rsidRPr="00EC2DBF">
        <w:rPr>
          <w:rFonts w:ascii="Times New Roman" w:hAnsi="Times New Roman"/>
          <w:sz w:val="26"/>
          <w:szCs w:val="26"/>
        </w:rPr>
        <w:lastRenderedPageBreak/>
        <w:t>– 17%, операции с недвижимым имуществом, аренда и предоставление услуг – 13%, здравоохранение и предоставление социальных услуг – 10%.</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В целях ликвидации сложившегося дефицита организации вынуждены привлекать квалифицированных специалистов из-за пределов городского округа и использовать их трудовой и </w:t>
      </w:r>
      <w:r w:rsidRPr="00EC2DBF">
        <w:rPr>
          <w:rFonts w:ascii="Times New Roman" w:hAnsi="Times New Roman"/>
          <w:sz w:val="26"/>
          <w:szCs w:val="26"/>
        </w:rPr>
        <w:lastRenderedPageBreak/>
        <w:t>творческий потенциал для дальнейшего развития экономики г. Когалыма.</w:t>
      </w:r>
    </w:p>
    <w:p w:rsidR="004616EA" w:rsidRPr="00EC2DBF" w:rsidRDefault="004616EA" w:rsidP="00EC2DBF">
      <w:pPr>
        <w:spacing w:after="0" w:line="240" w:lineRule="auto"/>
        <w:ind w:firstLine="709"/>
        <w:jc w:val="both"/>
        <w:rPr>
          <w:rFonts w:ascii="Times New Roman" w:hAnsi="Times New Roman"/>
          <w:b/>
          <w:sz w:val="26"/>
          <w:szCs w:val="26"/>
        </w:rPr>
      </w:pPr>
      <w:r w:rsidRPr="00EC2DBF">
        <w:rPr>
          <w:rFonts w:ascii="Times New Roman" w:hAnsi="Times New Roman"/>
          <w:b/>
          <w:sz w:val="26"/>
          <w:szCs w:val="26"/>
        </w:rPr>
        <w:t>Возможности</w:t>
      </w:r>
    </w:p>
    <w:p w:rsidR="004616EA" w:rsidRPr="00EC2DBF" w:rsidRDefault="004616EA" w:rsidP="00EC2DBF">
      <w:pPr>
        <w:pStyle w:val="a7"/>
        <w:numPr>
          <w:ilvl w:val="0"/>
          <w:numId w:val="28"/>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сохранение устойчивой положительной динамики в процессах естественного движения населения;</w:t>
      </w:r>
    </w:p>
    <w:p w:rsidR="004616EA" w:rsidRPr="00EC2DBF" w:rsidRDefault="004616EA" w:rsidP="00EC2DBF">
      <w:pPr>
        <w:pStyle w:val="a7"/>
        <w:numPr>
          <w:ilvl w:val="0"/>
          <w:numId w:val="28"/>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сохранение устойчивой положительной динамики средней продолжи</w:t>
      </w:r>
      <w:r w:rsidRPr="00EC2DBF">
        <w:rPr>
          <w:rFonts w:ascii="Times New Roman" w:hAnsi="Times New Roman"/>
          <w:sz w:val="26"/>
          <w:szCs w:val="26"/>
        </w:rPr>
        <w:lastRenderedPageBreak/>
        <w:t>тельности жизни населения городского округа за счет проведения грамотной демографической политики;</w:t>
      </w:r>
    </w:p>
    <w:p w:rsidR="004616EA" w:rsidRPr="00EC2DBF" w:rsidRDefault="004616EA" w:rsidP="00EC2DBF">
      <w:pPr>
        <w:pStyle w:val="a7"/>
        <w:numPr>
          <w:ilvl w:val="0"/>
          <w:numId w:val="28"/>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 xml:space="preserve">привлечение в городской округ высококвалифицированных молодых специалистов в соответствии с потребностью в кадрах различных профессий </w:t>
      </w:r>
      <w:r w:rsidRPr="00EC2DBF">
        <w:rPr>
          <w:rFonts w:ascii="Times New Roman" w:hAnsi="Times New Roman"/>
          <w:sz w:val="26"/>
          <w:szCs w:val="26"/>
        </w:rPr>
        <w:lastRenderedPageBreak/>
        <w:t>и специальностей и с целью сохранения молодой возрастной структуры населения;</w:t>
      </w:r>
    </w:p>
    <w:p w:rsidR="004616EA" w:rsidRPr="00EC2DBF" w:rsidRDefault="004616EA" w:rsidP="00EC2DBF">
      <w:pPr>
        <w:pStyle w:val="a7"/>
        <w:numPr>
          <w:ilvl w:val="0"/>
          <w:numId w:val="28"/>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создание условий для роста занятости населения и сдерживания роста безработицы в муниципальном образовании;</w:t>
      </w:r>
    </w:p>
    <w:p w:rsidR="004616EA" w:rsidRPr="00EC2DBF" w:rsidRDefault="004616EA" w:rsidP="00EC2DBF">
      <w:pPr>
        <w:pStyle w:val="a7"/>
        <w:numPr>
          <w:ilvl w:val="0"/>
          <w:numId w:val="28"/>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lastRenderedPageBreak/>
        <w:t>уменьшение оттока населения за счет улучшения качества жизни населения и создания рабочих мест, а также повышения конкурентоспособности городского округа;</w:t>
      </w:r>
    </w:p>
    <w:p w:rsidR="004616EA" w:rsidRPr="00EC2DBF" w:rsidRDefault="004616EA" w:rsidP="00EC2DBF">
      <w:pPr>
        <w:pStyle w:val="a7"/>
        <w:numPr>
          <w:ilvl w:val="0"/>
          <w:numId w:val="28"/>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создание гарантированных условий при трудоустройстве молодого населения, содействие в получении не</w:t>
      </w:r>
      <w:r w:rsidRPr="00EC2DBF">
        <w:rPr>
          <w:rFonts w:ascii="Times New Roman" w:hAnsi="Times New Roman"/>
          <w:sz w:val="26"/>
          <w:szCs w:val="26"/>
        </w:rPr>
        <w:lastRenderedPageBreak/>
        <w:t>обходимых знаний как в специфических, так и неспецифических для городского округа отраслях.</w:t>
      </w:r>
    </w:p>
    <w:p w:rsidR="004616EA" w:rsidRPr="00EC2DBF" w:rsidRDefault="004616EA" w:rsidP="00EC2DBF">
      <w:pPr>
        <w:spacing w:after="0" w:line="240" w:lineRule="auto"/>
        <w:ind w:firstLine="709"/>
        <w:jc w:val="both"/>
        <w:rPr>
          <w:rFonts w:ascii="Times New Roman" w:hAnsi="Times New Roman"/>
          <w:b/>
          <w:sz w:val="26"/>
          <w:szCs w:val="26"/>
        </w:rPr>
      </w:pPr>
      <w:r w:rsidRPr="00EC2DBF">
        <w:rPr>
          <w:rFonts w:ascii="Times New Roman" w:hAnsi="Times New Roman"/>
          <w:b/>
          <w:sz w:val="26"/>
          <w:szCs w:val="26"/>
        </w:rPr>
        <w:t>Угрозы</w:t>
      </w:r>
    </w:p>
    <w:p w:rsidR="004616EA" w:rsidRPr="00EC2DBF" w:rsidRDefault="004616EA" w:rsidP="00EC2DBF">
      <w:pPr>
        <w:pStyle w:val="a7"/>
        <w:numPr>
          <w:ilvl w:val="0"/>
          <w:numId w:val="28"/>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старение населения ввиду роста доли населения старше трудоспособного возраста</w:t>
      </w:r>
      <w:r w:rsidRPr="00EC2DBF">
        <w:rPr>
          <w:rFonts w:ascii="Times New Roman" w:hAnsi="Times New Roman"/>
          <w:snapToGrid w:val="0"/>
          <w:sz w:val="26"/>
          <w:szCs w:val="26"/>
        </w:rPr>
        <w:t>, и как следствие увеличение нагрузки на работающих;</w:t>
      </w:r>
    </w:p>
    <w:p w:rsidR="004616EA" w:rsidRPr="00EC2DBF" w:rsidRDefault="004616EA" w:rsidP="00EC2DBF">
      <w:pPr>
        <w:pStyle w:val="a7"/>
        <w:numPr>
          <w:ilvl w:val="0"/>
          <w:numId w:val="28"/>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napToGrid w:val="0"/>
          <w:sz w:val="26"/>
          <w:szCs w:val="26"/>
        </w:rPr>
        <w:lastRenderedPageBreak/>
        <w:t>рост уровня смертности и заболеваемости населения при сохранении дефицита в трудовых ресурсах в сфере здравоохранения;</w:t>
      </w:r>
    </w:p>
    <w:p w:rsidR="004616EA" w:rsidRPr="00EC2DBF" w:rsidRDefault="004616EA" w:rsidP="00EC2DBF">
      <w:pPr>
        <w:pStyle w:val="a7"/>
        <w:numPr>
          <w:ilvl w:val="0"/>
          <w:numId w:val="28"/>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увеличение миграционного оттока;</w:t>
      </w:r>
    </w:p>
    <w:p w:rsidR="004616EA" w:rsidRPr="00EC2DBF" w:rsidRDefault="004616EA" w:rsidP="00EC2DBF">
      <w:pPr>
        <w:pStyle w:val="a7"/>
        <w:numPr>
          <w:ilvl w:val="0"/>
          <w:numId w:val="28"/>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lastRenderedPageBreak/>
        <w:t>сохранение тенденции сокращения экономически активного населения и как следствие, рост напряженности на рынке труда;</w:t>
      </w:r>
    </w:p>
    <w:p w:rsidR="004616EA" w:rsidRPr="00EC2DBF" w:rsidRDefault="004616EA" w:rsidP="00EC2DBF">
      <w:pPr>
        <w:pStyle w:val="a7"/>
        <w:numPr>
          <w:ilvl w:val="0"/>
          <w:numId w:val="28"/>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снижение показателей промышленного производства при сохранении уровня профессионально-квалификационном несоответствия спроса и предложения рабочей силы.</w:t>
      </w:r>
    </w:p>
    <w:p w:rsidR="004616EA" w:rsidRPr="00EC2DBF" w:rsidRDefault="004616EA" w:rsidP="00EC2DBF">
      <w:pPr>
        <w:pStyle w:val="3"/>
        <w:spacing w:line="240" w:lineRule="auto"/>
        <w:ind w:firstLine="709"/>
        <w:rPr>
          <w:sz w:val="26"/>
        </w:rPr>
      </w:pPr>
      <w:bookmarkStart w:id="20" w:name="_Toc387238990"/>
      <w:bookmarkStart w:id="21" w:name="_Toc405805486"/>
      <w:r w:rsidRPr="00EC2DBF">
        <w:rPr>
          <w:sz w:val="26"/>
        </w:rPr>
        <w:lastRenderedPageBreak/>
        <w:t>2.3 Реальный сектор экономики</w:t>
      </w:r>
      <w:bookmarkEnd w:id="20"/>
      <w:bookmarkEnd w:id="21"/>
    </w:p>
    <w:p w:rsidR="004616EA" w:rsidRPr="00EC2DBF" w:rsidRDefault="004616EA" w:rsidP="00EC2DBF">
      <w:pPr>
        <w:spacing w:after="0" w:line="240" w:lineRule="auto"/>
        <w:ind w:firstLine="709"/>
        <w:jc w:val="both"/>
        <w:rPr>
          <w:rFonts w:ascii="Times New Roman" w:hAnsi="Times New Roman"/>
          <w:sz w:val="26"/>
          <w:szCs w:val="26"/>
          <w:shd w:val="clear" w:color="auto" w:fill="FFFFFF"/>
        </w:rPr>
      </w:pPr>
      <w:r w:rsidRPr="00EC2DBF">
        <w:rPr>
          <w:rFonts w:ascii="Times New Roman" w:hAnsi="Times New Roman"/>
          <w:bCs/>
          <w:sz w:val="26"/>
          <w:szCs w:val="26"/>
          <w:shd w:val="clear" w:color="auto" w:fill="FFFFFF"/>
        </w:rPr>
        <w:t>Реальный сектор экономики</w:t>
      </w:r>
      <w:r w:rsidRPr="00EC2DBF">
        <w:rPr>
          <w:rStyle w:val="apple-converted-space"/>
          <w:rFonts w:ascii="Times New Roman" w:hAnsi="Times New Roman"/>
          <w:sz w:val="26"/>
          <w:szCs w:val="26"/>
          <w:shd w:val="clear" w:color="auto" w:fill="FFFFFF"/>
        </w:rPr>
        <w:t xml:space="preserve"> -</w:t>
      </w:r>
      <w:r w:rsidRPr="00EC2DBF">
        <w:rPr>
          <w:rFonts w:ascii="Times New Roman" w:hAnsi="Times New Roman"/>
          <w:sz w:val="26"/>
          <w:szCs w:val="26"/>
          <w:shd w:val="clear" w:color="auto" w:fill="FFFFFF"/>
        </w:rPr>
        <w:t xml:space="preserve"> совокупность отраслей экономики, производящих материальные и нематериальные</w:t>
      </w:r>
      <w:r w:rsidRPr="00EC2DBF">
        <w:rPr>
          <w:rStyle w:val="apple-converted-space"/>
          <w:rFonts w:ascii="Times New Roman" w:hAnsi="Times New Roman"/>
          <w:sz w:val="26"/>
          <w:szCs w:val="26"/>
          <w:shd w:val="clear" w:color="auto" w:fill="FFFFFF"/>
        </w:rPr>
        <w:t> </w:t>
      </w:r>
      <w:hyperlink r:id="rId25" w:tooltip="Товар" w:history="1">
        <w:r w:rsidRPr="00EC2DBF">
          <w:rPr>
            <w:rFonts w:ascii="Times New Roman" w:hAnsi="Times New Roman"/>
            <w:sz w:val="26"/>
            <w:szCs w:val="26"/>
          </w:rPr>
          <w:t>товары</w:t>
        </w:r>
      </w:hyperlink>
      <w:r w:rsidRPr="00EC2DBF">
        <w:rPr>
          <w:rFonts w:ascii="Times New Roman" w:hAnsi="Times New Roman"/>
          <w:sz w:val="26"/>
          <w:szCs w:val="26"/>
        </w:rPr>
        <w:t> </w:t>
      </w:r>
      <w:r w:rsidRPr="00EC2DBF">
        <w:rPr>
          <w:rFonts w:ascii="Times New Roman" w:hAnsi="Times New Roman"/>
          <w:sz w:val="26"/>
          <w:szCs w:val="26"/>
          <w:shd w:val="clear" w:color="auto" w:fill="FFFFFF"/>
        </w:rPr>
        <w:t>и услуги, за исключением финансово-кредитных и биржевых операций. Реальный сектор явля</w:t>
      </w:r>
      <w:r w:rsidRPr="00EC2DBF">
        <w:rPr>
          <w:rFonts w:ascii="Times New Roman" w:hAnsi="Times New Roman"/>
          <w:sz w:val="26"/>
          <w:szCs w:val="26"/>
          <w:shd w:val="clear" w:color="auto" w:fill="FFFFFF"/>
        </w:rPr>
        <w:lastRenderedPageBreak/>
        <w:t xml:space="preserve">ется основой экономики города Когалыма, определяет уровень развития и специализации городского округа. </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В 2013 году объём отгруженных товаров собственного производства, выполненных работ и услуг собственными силами по полному кругу предприятий города Когалыма составил </w:t>
      </w:r>
      <w:r w:rsidRPr="00EC2DBF">
        <w:rPr>
          <w:rFonts w:ascii="Times New Roman" w:hAnsi="Times New Roman"/>
          <w:sz w:val="26"/>
          <w:szCs w:val="26"/>
        </w:rPr>
        <w:lastRenderedPageBreak/>
        <w:t xml:space="preserve">более 25,4 млрд рублей. Индекс промышленного производства по отношению к 2012 году составил 42,4%. Отрицательный темп роста обусловлен тем, что нефтедобывающее предприятие ОАО «РИТЭК», основной деятельностью которого является разработка новых нефтяных месторождений, и </w:t>
      </w:r>
      <w:r w:rsidRPr="00EC2DBF">
        <w:rPr>
          <w:rFonts w:ascii="Times New Roman" w:hAnsi="Times New Roman"/>
          <w:sz w:val="26"/>
          <w:szCs w:val="26"/>
        </w:rPr>
        <w:lastRenderedPageBreak/>
        <w:t>добыча нефти с 2013 года предоставляет статистическую отчетность по месту фактической добычи полезных ископаемых. Вследствие чего, сравнение с 2012 годом не корректно.</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Промышленная сфера – ведущая отрасль экономики городского округа город Когалым, влияющая на его социально-экономическое положение. </w:t>
      </w:r>
      <w:r w:rsidRPr="00EC2DBF">
        <w:rPr>
          <w:rFonts w:ascii="Times New Roman" w:hAnsi="Times New Roman"/>
          <w:sz w:val="26"/>
          <w:szCs w:val="26"/>
        </w:rPr>
        <w:lastRenderedPageBreak/>
        <w:t>Промышленный комплекс города Когалыма представлен следующими основными отраслями промышленности: добыча полезных ископаемых, обрабатывающие производства, производство и распределение электроэнергии, газа и воды.</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По виду экономической деятельности </w:t>
      </w:r>
      <w:r w:rsidRPr="00EC2DBF">
        <w:rPr>
          <w:rFonts w:ascii="Times New Roman" w:hAnsi="Times New Roman"/>
          <w:i/>
          <w:sz w:val="26"/>
          <w:szCs w:val="26"/>
        </w:rPr>
        <w:t>«Добыча полезных ископаемых»</w:t>
      </w:r>
      <w:r w:rsidRPr="00EC2DBF">
        <w:rPr>
          <w:rFonts w:ascii="Times New Roman" w:hAnsi="Times New Roman"/>
          <w:sz w:val="26"/>
          <w:szCs w:val="26"/>
        </w:rPr>
        <w:t xml:space="preserve"> </w:t>
      </w:r>
      <w:r w:rsidRPr="00EC2DBF">
        <w:rPr>
          <w:rFonts w:ascii="Times New Roman" w:hAnsi="Times New Roman"/>
          <w:sz w:val="26"/>
          <w:szCs w:val="26"/>
        </w:rPr>
        <w:lastRenderedPageBreak/>
        <w:t xml:space="preserve">крупными и средними предприятиями города объем отгруженных товаров собственного производства, выполненных работ и услуг собственными силами составил более 11,6 млрд рублей. Доля в общем объеме промышленного производства данного вида экономической деятельности в 2013 году составляет более 40%. Данный </w:t>
      </w:r>
      <w:r w:rsidRPr="00EC2DBF">
        <w:rPr>
          <w:rFonts w:ascii="Times New Roman" w:hAnsi="Times New Roman"/>
          <w:sz w:val="26"/>
          <w:szCs w:val="26"/>
        </w:rPr>
        <w:lastRenderedPageBreak/>
        <w:t xml:space="preserve">вид экономической деятельности представлен добычей топливно-энергетических полезных ископаемых. </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По виду экономической деятельности </w:t>
      </w:r>
      <w:r w:rsidRPr="00EC2DBF">
        <w:rPr>
          <w:rFonts w:ascii="Times New Roman" w:hAnsi="Times New Roman"/>
          <w:i/>
          <w:sz w:val="26"/>
          <w:szCs w:val="26"/>
        </w:rPr>
        <w:t>«Обрабатывающие производства»</w:t>
      </w:r>
      <w:r w:rsidRPr="00EC2DBF">
        <w:rPr>
          <w:rFonts w:ascii="Times New Roman" w:hAnsi="Times New Roman"/>
          <w:sz w:val="26"/>
          <w:szCs w:val="26"/>
        </w:rPr>
        <w:t xml:space="preserve"> крупными и средними предприятиями города объем отгруженных товаров собственного производства, вы</w:t>
      </w:r>
      <w:r w:rsidRPr="00EC2DBF">
        <w:rPr>
          <w:rFonts w:ascii="Times New Roman" w:hAnsi="Times New Roman"/>
          <w:sz w:val="26"/>
          <w:szCs w:val="26"/>
        </w:rPr>
        <w:lastRenderedPageBreak/>
        <w:t xml:space="preserve">полненных работ и услуг собственными силами составил в 2013 году более 5 млрд рублей.  </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Наибольший удельный вес (в 2013 году - свыше 53,2%) в общем объеме обрабатывающего производства, приходится на предприятия, вид деятельности которых «Производство кокса и </w:t>
      </w:r>
      <w:r w:rsidRPr="00EC2DBF">
        <w:rPr>
          <w:rFonts w:ascii="Times New Roman" w:hAnsi="Times New Roman"/>
          <w:sz w:val="26"/>
          <w:szCs w:val="26"/>
        </w:rPr>
        <w:lastRenderedPageBreak/>
        <w:t>нефтепродуктов». Объем отгруженных товаров, выполненных работ и услуг данного вида деятельности в 2013 году составил 2638,2 млн рублей.</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Вторым по значимости видом деятельности в обрабатывающем производстве является «Производство электрооборудования, электронного и оптического оборудования» (в 2013 году </w:t>
      </w:r>
      <w:r w:rsidRPr="00EC2DBF">
        <w:rPr>
          <w:rFonts w:ascii="Times New Roman" w:hAnsi="Times New Roman"/>
          <w:sz w:val="26"/>
          <w:szCs w:val="26"/>
        </w:rPr>
        <w:lastRenderedPageBreak/>
        <w:t>- 24,1%). Объем отгруженных товаров, выполненных работ и услуг данного вида деятельности в 2013 году составил 1196,5 млн рублей.</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На территории города по виду деятельности «Металлургическое производство и производство готовых металлических изделий» осуществляется обработка металлических изделий с </w:t>
      </w:r>
      <w:r w:rsidRPr="00EC2DBF">
        <w:rPr>
          <w:rFonts w:ascii="Times New Roman" w:hAnsi="Times New Roman"/>
          <w:sz w:val="26"/>
          <w:szCs w:val="26"/>
        </w:rPr>
        <w:lastRenderedPageBreak/>
        <w:t xml:space="preserve">использованием основных технологических процессов машиностроения. В 2013 году объем отгруженных товаров составил 85,6 млн рублей. </w:t>
      </w:r>
    </w:p>
    <w:p w:rsidR="004616EA" w:rsidRPr="00EC2DBF" w:rsidRDefault="004616EA" w:rsidP="00EC2DBF">
      <w:pPr>
        <w:spacing w:after="0" w:line="240" w:lineRule="auto"/>
        <w:ind w:firstLine="709"/>
        <w:jc w:val="both"/>
        <w:rPr>
          <w:rFonts w:ascii="Times New Roman" w:hAnsi="Times New Roman"/>
          <w:sz w:val="26"/>
          <w:szCs w:val="26"/>
          <w:shd w:val="clear" w:color="auto" w:fill="FFFFFF"/>
        </w:rPr>
      </w:pPr>
      <w:r w:rsidRPr="00EC2DBF">
        <w:rPr>
          <w:rFonts w:ascii="Times New Roman" w:hAnsi="Times New Roman"/>
          <w:sz w:val="26"/>
          <w:szCs w:val="26"/>
          <w:shd w:val="clear" w:color="auto" w:fill="FFFFFF"/>
        </w:rPr>
        <w:t xml:space="preserve">По виду деятельности «Производство пищевых продуктов, включая напитки, и табака» на территории города производится хлеб, хлебобулочные изделия, рыбная продукция и </w:t>
      </w:r>
      <w:r w:rsidRPr="00EC2DBF">
        <w:rPr>
          <w:rFonts w:ascii="Times New Roman" w:hAnsi="Times New Roman"/>
          <w:sz w:val="26"/>
          <w:szCs w:val="26"/>
          <w:shd w:val="clear" w:color="auto" w:fill="FFFFFF"/>
        </w:rPr>
        <w:lastRenderedPageBreak/>
        <w:t>пиво. В структуре производства пищевых продуктов наибольшую долю занимают хлебобулочные и кондитерские изделия.</w:t>
      </w:r>
    </w:p>
    <w:p w:rsidR="004616EA" w:rsidRPr="00EC2DBF" w:rsidRDefault="004616EA" w:rsidP="00EC2DBF">
      <w:pPr>
        <w:pStyle w:val="12"/>
        <w:spacing w:line="240" w:lineRule="auto"/>
        <w:ind w:firstLine="709"/>
      </w:pPr>
      <w:r w:rsidRPr="00EC2DBF">
        <w:t xml:space="preserve">Предприятиями вида деятельности «Производство прочих неметаллических минеральных продуктов» на территории города производится товарный бетон и строительный раствор. </w:t>
      </w:r>
      <w:r w:rsidRPr="00EC2DBF">
        <w:lastRenderedPageBreak/>
        <w:t>Осуществляется изготовление стеклопластиков и изделий из них.</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Объем отгруженных товаров химического производства в 2013 году составил 713,3 млн рублей (более 14% от общего объема обрабатывающего производства).</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lastRenderedPageBreak/>
        <w:t>Незначительную долю в структуре обрабатывающего производства занимает «Текстильное и швейное производство». В городе преимущественно изготавливается спецодежда.</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Индекс промышленного производства по виду экономической деятельности </w:t>
      </w:r>
      <w:r w:rsidRPr="00EC2DBF">
        <w:rPr>
          <w:rFonts w:ascii="Times New Roman" w:hAnsi="Times New Roman"/>
          <w:i/>
          <w:sz w:val="26"/>
          <w:szCs w:val="26"/>
        </w:rPr>
        <w:t>«Производство и распределение электроэнергии, газа и воды»</w:t>
      </w:r>
      <w:r w:rsidRPr="00EC2DBF">
        <w:rPr>
          <w:rFonts w:ascii="Times New Roman" w:hAnsi="Times New Roman"/>
          <w:sz w:val="26"/>
          <w:szCs w:val="26"/>
        </w:rPr>
        <w:t xml:space="preserve"> за 2013 </w:t>
      </w:r>
      <w:r w:rsidRPr="00EC2DBF">
        <w:rPr>
          <w:rFonts w:ascii="Times New Roman" w:hAnsi="Times New Roman"/>
          <w:sz w:val="26"/>
          <w:szCs w:val="26"/>
        </w:rPr>
        <w:lastRenderedPageBreak/>
        <w:t>год составил 100,5% к 2012 году. Объем отгруженных товаров собственного производства, выполненных работ и услуг собственными силами по указанному виду экономической деятельности составил 8,4 млрд рублей.</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Анализ уровня экономического развития территории позволяет выделить </w:t>
      </w:r>
      <w:r w:rsidRPr="00EC2DBF">
        <w:rPr>
          <w:rFonts w:ascii="Times New Roman" w:hAnsi="Times New Roman"/>
          <w:sz w:val="26"/>
          <w:szCs w:val="26"/>
        </w:rPr>
        <w:lastRenderedPageBreak/>
        <w:t>следующие ключевые сильные и слабые стороны развития городского округа город Когалым, а также ряд потенциальных возможностей и угроз.</w:t>
      </w:r>
    </w:p>
    <w:p w:rsidR="004616EA" w:rsidRPr="00EC2DBF" w:rsidRDefault="004616EA" w:rsidP="00EC2DBF">
      <w:pPr>
        <w:spacing w:after="0" w:line="240" w:lineRule="auto"/>
        <w:ind w:firstLine="709"/>
        <w:jc w:val="both"/>
        <w:rPr>
          <w:rFonts w:ascii="Times New Roman" w:hAnsi="Times New Roman"/>
          <w:b/>
          <w:sz w:val="26"/>
          <w:szCs w:val="26"/>
        </w:rPr>
      </w:pPr>
      <w:r w:rsidRPr="00EC2DBF">
        <w:rPr>
          <w:rFonts w:ascii="Times New Roman" w:hAnsi="Times New Roman"/>
          <w:b/>
          <w:sz w:val="26"/>
          <w:szCs w:val="26"/>
        </w:rPr>
        <w:t>Сильные стороны</w:t>
      </w:r>
    </w:p>
    <w:p w:rsidR="004616EA" w:rsidRPr="00EC2DBF" w:rsidRDefault="004616EA" w:rsidP="00EC2DBF">
      <w:pPr>
        <w:pStyle w:val="a7"/>
        <w:spacing w:after="0" w:line="240" w:lineRule="auto"/>
        <w:ind w:left="0" w:firstLine="709"/>
        <w:contextualSpacing w:val="0"/>
        <w:jc w:val="both"/>
        <w:rPr>
          <w:rFonts w:ascii="Times New Roman" w:hAnsi="Times New Roman"/>
          <w:i/>
          <w:sz w:val="26"/>
          <w:szCs w:val="26"/>
        </w:rPr>
      </w:pPr>
      <w:r w:rsidRPr="00EC2DBF">
        <w:rPr>
          <w:rFonts w:ascii="Times New Roman" w:hAnsi="Times New Roman"/>
          <w:i/>
          <w:sz w:val="26"/>
          <w:szCs w:val="26"/>
        </w:rPr>
        <w:t>1. Наличие нескольких отраслей реального сектора экономики на территории городского округа</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lastRenderedPageBreak/>
        <w:t>В городе Когалыме осуществляют свою деятельность более 870 предприятий и организаций различных организационно-правовых форм и более 1400 индивидуальных предпринимателей. Реальный сектор экономики города Когалыма представлен практически всеми отраслевыми комплексами: про</w:t>
      </w:r>
      <w:r w:rsidRPr="00EC2DBF">
        <w:rPr>
          <w:rFonts w:ascii="Times New Roman" w:hAnsi="Times New Roman"/>
          <w:sz w:val="26"/>
          <w:szCs w:val="26"/>
        </w:rPr>
        <w:lastRenderedPageBreak/>
        <w:t xml:space="preserve">мышленное производство, обрабатывающее производство (химическая промышленность; производство прочих неметаллических минеральных продуктов; производство готовых металлических изделий; производство пищевых продуктов), производство и распределение электроэнергии, газа и воды, транспорт и связь, строительная </w:t>
      </w:r>
      <w:r w:rsidRPr="00EC2DBF">
        <w:rPr>
          <w:rFonts w:ascii="Times New Roman" w:hAnsi="Times New Roman"/>
          <w:sz w:val="26"/>
          <w:szCs w:val="26"/>
        </w:rPr>
        <w:lastRenderedPageBreak/>
        <w:t>отрасль, оптовая и розничная торговля (</w:t>
      </w:r>
      <w:r w:rsidR="001977F4">
        <w:fldChar w:fldCharType="begin"/>
      </w:r>
      <w:r w:rsidR="001977F4">
        <w:instrText xml:space="preserve"> REF _Ref397018104 \h  \* MERGEFORMAT </w:instrText>
      </w:r>
      <w:r w:rsidR="001977F4">
        <w:fldChar w:fldCharType="separate"/>
      </w:r>
      <w:r w:rsidR="001977F4" w:rsidRPr="001977F4">
        <w:rPr>
          <w:rFonts w:ascii="Times New Roman" w:hAnsi="Times New Roman"/>
          <w:sz w:val="26"/>
          <w:szCs w:val="26"/>
        </w:rPr>
        <w:t>Рисунок 9</w:t>
      </w:r>
      <w:r w:rsidR="001977F4">
        <w:fldChar w:fldCharType="end"/>
      </w:r>
      <w:r w:rsidRPr="00EC2DBF">
        <w:rPr>
          <w:rFonts w:ascii="Times New Roman" w:hAnsi="Times New Roman"/>
          <w:sz w:val="26"/>
          <w:szCs w:val="26"/>
        </w:rPr>
        <w:t xml:space="preserve">). </w:t>
      </w:r>
    </w:p>
    <w:p w:rsidR="004616EA" w:rsidRPr="00475E67" w:rsidRDefault="00E70A58" w:rsidP="0069618F">
      <w:pPr>
        <w:keepNext/>
        <w:spacing w:after="0"/>
        <w:ind w:firstLine="284"/>
        <w:jc w:val="both"/>
      </w:pPr>
      <w:r w:rsidRPr="00857607">
        <w:rPr>
          <w:rFonts w:ascii="Times New Roman" w:hAnsi="Times New Roman"/>
          <w:noProof/>
          <w:sz w:val="24"/>
          <w:szCs w:val="24"/>
          <w:lang w:eastAsia="ru-RU"/>
        </w:rPr>
        <w:drawing>
          <wp:inline distT="0" distB="0" distL="0" distR="0">
            <wp:extent cx="5737860" cy="2080260"/>
            <wp:effectExtent l="0" t="0" r="0" b="0"/>
            <wp:docPr id="9"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4616EA" w:rsidRPr="00EC2DBF" w:rsidRDefault="004616EA" w:rsidP="00EC2DBF">
      <w:pPr>
        <w:pStyle w:val="af1"/>
        <w:spacing w:after="0"/>
        <w:ind w:firstLine="709"/>
        <w:jc w:val="both"/>
        <w:rPr>
          <w:rFonts w:ascii="Times New Roman" w:hAnsi="Times New Roman"/>
          <w:b w:val="0"/>
          <w:color w:val="auto"/>
          <w:sz w:val="26"/>
          <w:szCs w:val="26"/>
        </w:rPr>
      </w:pPr>
      <w:bookmarkStart w:id="22" w:name="_Ref397018104"/>
      <w:bookmarkStart w:id="23" w:name="_Ref397018094"/>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9</w:t>
      </w:r>
      <w:r w:rsidRPr="00475E67">
        <w:rPr>
          <w:rFonts w:ascii="Times New Roman" w:hAnsi="Times New Roman"/>
          <w:b w:val="0"/>
          <w:color w:val="auto"/>
          <w:sz w:val="24"/>
        </w:rPr>
        <w:fldChar w:fldCharType="end"/>
      </w:r>
      <w:bookmarkEnd w:id="22"/>
      <w:r w:rsidRPr="00475E67">
        <w:rPr>
          <w:rFonts w:ascii="Times New Roman" w:hAnsi="Times New Roman"/>
          <w:b w:val="0"/>
          <w:color w:val="auto"/>
          <w:sz w:val="24"/>
        </w:rPr>
        <w:t xml:space="preserve"> - Основные виды экономической деятельности в городе Когалыме, 2013 год</w:t>
      </w:r>
      <w:bookmarkEnd w:id="23"/>
    </w:p>
    <w:p w:rsidR="004616EA" w:rsidRPr="00EC2DBF" w:rsidRDefault="004616EA" w:rsidP="00EC2DBF">
      <w:pPr>
        <w:pStyle w:val="Default"/>
        <w:ind w:firstLine="709"/>
        <w:jc w:val="both"/>
        <w:rPr>
          <w:color w:val="auto"/>
          <w:sz w:val="26"/>
          <w:szCs w:val="26"/>
        </w:rPr>
      </w:pP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2. Увеличение доли обрабатывающих производств в структуре промышленного производства</w:t>
      </w:r>
    </w:p>
    <w:p w:rsidR="004616EA" w:rsidRPr="00EC2DBF" w:rsidRDefault="004616EA" w:rsidP="00EC2DBF">
      <w:pPr>
        <w:pStyle w:val="a7"/>
        <w:keepNext/>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В перспективе ожидается снижение доли добычи полезных ископаемых в структуре промышленного производства до 30% (2013 – 39,3%) и сохране</w:t>
      </w:r>
      <w:r w:rsidRPr="00EC2DBF">
        <w:rPr>
          <w:rFonts w:ascii="Times New Roman" w:hAnsi="Times New Roman"/>
          <w:sz w:val="26"/>
          <w:szCs w:val="26"/>
        </w:rPr>
        <w:lastRenderedPageBreak/>
        <w:t>ние доли обрабатывающих производств на уровне 2013 года (около 21%) (</w:t>
      </w:r>
      <w:r w:rsidR="001977F4">
        <w:fldChar w:fldCharType="begin"/>
      </w:r>
      <w:r w:rsidR="001977F4">
        <w:instrText xml:space="preserve"> REF _Ref397018196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10</w:t>
      </w:r>
      <w:r w:rsidR="001977F4">
        <w:fldChar w:fldCharType="end"/>
      </w:r>
      <w:r w:rsidRPr="00EC2DBF">
        <w:rPr>
          <w:rFonts w:ascii="Times New Roman" w:hAnsi="Times New Roman"/>
          <w:sz w:val="26"/>
          <w:szCs w:val="26"/>
        </w:rPr>
        <w:t>).</w:t>
      </w:r>
    </w:p>
    <w:p w:rsidR="004616EA" w:rsidRPr="00475E67" w:rsidRDefault="00E70A58" w:rsidP="00861521">
      <w:pPr>
        <w:pStyle w:val="a7"/>
        <w:keepNext/>
        <w:ind w:left="0"/>
        <w:jc w:val="center"/>
      </w:pPr>
      <w:r w:rsidRPr="00857607">
        <w:rPr>
          <w:rFonts w:ascii="Times New Roman" w:hAnsi="Times New Roman"/>
          <w:noProof/>
        </w:rPr>
        <w:drawing>
          <wp:inline distT="0" distB="0" distL="0" distR="0">
            <wp:extent cx="5532120" cy="2941320"/>
            <wp:effectExtent l="0" t="0" r="0" b="0"/>
            <wp:docPr id="10" name="Диаграмма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4616EA" w:rsidRPr="00475E67" w:rsidRDefault="004616EA" w:rsidP="00FC385A">
      <w:pPr>
        <w:pStyle w:val="af1"/>
        <w:jc w:val="center"/>
        <w:rPr>
          <w:rFonts w:ascii="Times New Roman" w:hAnsi="Times New Roman"/>
          <w:b w:val="0"/>
          <w:color w:val="auto"/>
          <w:sz w:val="36"/>
          <w:szCs w:val="24"/>
        </w:rPr>
      </w:pPr>
      <w:bookmarkStart w:id="24" w:name="_Ref397018196"/>
      <w:r w:rsidRPr="00475E67">
        <w:rPr>
          <w:rFonts w:ascii="Times New Roman" w:hAnsi="Times New Roman"/>
          <w:b w:val="0"/>
          <w:color w:val="auto"/>
          <w:sz w:val="24"/>
        </w:rPr>
        <w:lastRenderedPageBreak/>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10</w:t>
      </w:r>
      <w:r w:rsidRPr="00475E67">
        <w:rPr>
          <w:rFonts w:ascii="Times New Roman" w:hAnsi="Times New Roman"/>
          <w:b w:val="0"/>
          <w:color w:val="auto"/>
          <w:sz w:val="24"/>
        </w:rPr>
        <w:fldChar w:fldCharType="end"/>
      </w:r>
      <w:bookmarkEnd w:id="24"/>
      <w:r w:rsidRPr="00475E67">
        <w:rPr>
          <w:rFonts w:ascii="Times New Roman" w:hAnsi="Times New Roman"/>
          <w:b w:val="0"/>
          <w:color w:val="auto"/>
          <w:sz w:val="24"/>
        </w:rPr>
        <w:t xml:space="preserve"> - Структура промышленного производства города Когалыма, 2009 – 2017 гг.</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3. Наличие богатой сырьевой базы</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Городской округ обладает запасами нефти и природного газа, а также другими полезными ископаемыми, такими как песок, торф. Торф может быть использован для производства </w:t>
      </w:r>
      <w:r w:rsidRPr="00EC2DBF">
        <w:rPr>
          <w:rFonts w:ascii="Times New Roman" w:hAnsi="Times New Roman"/>
          <w:sz w:val="26"/>
          <w:szCs w:val="26"/>
        </w:rPr>
        <w:lastRenderedPageBreak/>
        <w:t xml:space="preserve">удобрения, биотоплива, теплоизоляционных строительных материалов, применяться как абсорбирующий материал при ликвидации экологических аварий различного типа. Смесь торфа и активированного угля может использоваться для очистки воздуха. Обработанный торф применяется для поглощения нефти с водной поверхности, </w:t>
      </w:r>
      <w:r w:rsidRPr="00EC2DBF">
        <w:rPr>
          <w:rFonts w:ascii="Times New Roman" w:hAnsi="Times New Roman"/>
          <w:sz w:val="26"/>
          <w:szCs w:val="26"/>
        </w:rPr>
        <w:lastRenderedPageBreak/>
        <w:t>для очистки сточных вод от ряда красителей, фенола, нитратов, фосфатов, ионов тяжелых металлов, жиров, протеинов.</w:t>
      </w:r>
    </w:p>
    <w:p w:rsidR="004616EA" w:rsidRPr="00EC2DBF" w:rsidRDefault="004616EA" w:rsidP="00EC2DBF">
      <w:pPr>
        <w:spacing w:after="0" w:line="240" w:lineRule="auto"/>
        <w:ind w:firstLine="709"/>
        <w:jc w:val="both"/>
        <w:rPr>
          <w:rFonts w:ascii="Times New Roman" w:hAnsi="Times New Roman"/>
          <w:b/>
          <w:sz w:val="26"/>
          <w:szCs w:val="26"/>
        </w:rPr>
      </w:pPr>
      <w:r w:rsidRPr="00EC2DBF">
        <w:rPr>
          <w:rFonts w:ascii="Times New Roman" w:hAnsi="Times New Roman"/>
          <w:b/>
          <w:sz w:val="26"/>
          <w:szCs w:val="26"/>
        </w:rPr>
        <w:t>Слабые стороны</w:t>
      </w:r>
    </w:p>
    <w:p w:rsidR="004616EA" w:rsidRPr="00EC2DBF" w:rsidRDefault="004616EA" w:rsidP="00EC2DBF">
      <w:pPr>
        <w:pStyle w:val="a9"/>
        <w:tabs>
          <w:tab w:val="left" w:pos="0"/>
        </w:tabs>
        <w:spacing w:after="0"/>
        <w:ind w:firstLine="709"/>
        <w:rPr>
          <w:i/>
          <w:sz w:val="26"/>
          <w:szCs w:val="26"/>
        </w:rPr>
      </w:pPr>
      <w:r w:rsidRPr="00EC2DBF">
        <w:rPr>
          <w:i/>
          <w:sz w:val="26"/>
          <w:szCs w:val="26"/>
        </w:rPr>
        <w:t xml:space="preserve">1. Неравномерное развитие экономики города, низкий уровень диверсификации и ограниченность имеющихся ресурсов. </w:t>
      </w:r>
    </w:p>
    <w:p w:rsidR="004616EA" w:rsidRPr="00EC2DBF" w:rsidRDefault="004616EA" w:rsidP="00EC2DBF">
      <w:pPr>
        <w:pStyle w:val="a9"/>
        <w:tabs>
          <w:tab w:val="left" w:pos="0"/>
        </w:tabs>
        <w:spacing w:after="0"/>
        <w:ind w:firstLine="709"/>
        <w:rPr>
          <w:i/>
          <w:sz w:val="26"/>
          <w:szCs w:val="26"/>
        </w:rPr>
      </w:pPr>
      <w:r w:rsidRPr="00EC2DBF">
        <w:rPr>
          <w:i/>
          <w:iCs/>
          <w:sz w:val="26"/>
          <w:szCs w:val="26"/>
        </w:rPr>
        <w:lastRenderedPageBreak/>
        <w:t>2. Высокая зависимость экономики города от крупных нефтедобывающих компаний.</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shd w:val="clear" w:color="auto" w:fill="FFFFFF"/>
        </w:rPr>
        <w:t xml:space="preserve">В виду географического расположения города Когалыма и специфики становления промышленного сектора, основу промышленности и экономики города составляют нефтегазодобывающие предприятия. </w:t>
      </w:r>
      <w:r w:rsidRPr="00EC2DBF">
        <w:rPr>
          <w:rFonts w:ascii="Times New Roman" w:hAnsi="Times New Roman"/>
          <w:sz w:val="26"/>
          <w:szCs w:val="26"/>
        </w:rPr>
        <w:t xml:space="preserve">Производство </w:t>
      </w:r>
      <w:r w:rsidRPr="00EC2DBF">
        <w:rPr>
          <w:rFonts w:ascii="Times New Roman" w:hAnsi="Times New Roman"/>
          <w:sz w:val="26"/>
          <w:szCs w:val="26"/>
        </w:rPr>
        <w:lastRenderedPageBreak/>
        <w:t xml:space="preserve">продукции, не связанной с добычей нефти и газа (производство продуктов питания, сельскохозяйственной продукции, текстильное и швейное производство) имеет незначительное влияние на показатели социально-экономического развития городского округа. </w:t>
      </w:r>
    </w:p>
    <w:p w:rsidR="004616EA" w:rsidRPr="00EC2DBF" w:rsidRDefault="004616EA" w:rsidP="00EC2DBF">
      <w:pPr>
        <w:spacing w:after="0" w:line="240" w:lineRule="auto"/>
        <w:ind w:firstLine="709"/>
        <w:jc w:val="both"/>
        <w:rPr>
          <w:rFonts w:ascii="Times New Roman" w:hAnsi="Times New Roman"/>
          <w:b/>
          <w:sz w:val="26"/>
          <w:szCs w:val="26"/>
        </w:rPr>
      </w:pPr>
      <w:r w:rsidRPr="00EC2DBF">
        <w:rPr>
          <w:rFonts w:ascii="Times New Roman" w:hAnsi="Times New Roman"/>
          <w:b/>
          <w:sz w:val="26"/>
          <w:szCs w:val="26"/>
        </w:rPr>
        <w:t>Возможности</w:t>
      </w:r>
    </w:p>
    <w:p w:rsidR="004616EA" w:rsidRPr="00EC2DBF" w:rsidRDefault="004616EA" w:rsidP="00EC2DBF">
      <w:pPr>
        <w:pStyle w:val="a9"/>
        <w:tabs>
          <w:tab w:val="left" w:pos="0"/>
        </w:tabs>
        <w:spacing w:after="0"/>
        <w:ind w:firstLine="709"/>
        <w:rPr>
          <w:sz w:val="26"/>
          <w:szCs w:val="26"/>
        </w:rPr>
      </w:pPr>
      <w:r w:rsidRPr="00EC2DBF">
        <w:rPr>
          <w:i/>
          <w:sz w:val="26"/>
          <w:szCs w:val="26"/>
        </w:rPr>
        <w:lastRenderedPageBreak/>
        <w:t>1. Модернизация и развитие предприятий обрабатывающей промышленности.</w:t>
      </w:r>
      <w:r w:rsidRPr="00EC2DBF">
        <w:rPr>
          <w:sz w:val="26"/>
          <w:szCs w:val="26"/>
        </w:rPr>
        <w:t xml:space="preserve"> </w:t>
      </w:r>
    </w:p>
    <w:p w:rsidR="004616EA" w:rsidRPr="00EC2DBF" w:rsidRDefault="004616EA" w:rsidP="00EC2DBF">
      <w:pPr>
        <w:pStyle w:val="a9"/>
        <w:tabs>
          <w:tab w:val="left" w:pos="0"/>
        </w:tabs>
        <w:spacing w:after="0"/>
        <w:ind w:firstLine="709"/>
        <w:rPr>
          <w:sz w:val="26"/>
          <w:szCs w:val="26"/>
        </w:rPr>
      </w:pPr>
      <w:r w:rsidRPr="00EC2DBF">
        <w:rPr>
          <w:sz w:val="26"/>
          <w:szCs w:val="26"/>
        </w:rPr>
        <w:t>А именно развитие нефтехимической промышленности (создание предприятий по глубокой переработке углеводородного сырья), промышленности строительных материалов, пи</w:t>
      </w:r>
      <w:r w:rsidRPr="00EC2DBF">
        <w:rPr>
          <w:sz w:val="26"/>
          <w:szCs w:val="26"/>
        </w:rPr>
        <w:lastRenderedPageBreak/>
        <w:t>щевой промышленности (главным образом за счет развития животноводства и птицеводства).</w:t>
      </w:r>
    </w:p>
    <w:p w:rsidR="004616EA" w:rsidRPr="00EC2DBF" w:rsidRDefault="004616EA" w:rsidP="00EC2DBF">
      <w:pPr>
        <w:pStyle w:val="a9"/>
        <w:tabs>
          <w:tab w:val="left" w:pos="0"/>
        </w:tabs>
        <w:spacing w:after="0"/>
        <w:ind w:firstLine="709"/>
        <w:rPr>
          <w:i/>
          <w:sz w:val="26"/>
          <w:szCs w:val="26"/>
        </w:rPr>
      </w:pPr>
      <w:r w:rsidRPr="00EC2DBF">
        <w:rPr>
          <w:i/>
          <w:sz w:val="26"/>
          <w:szCs w:val="26"/>
        </w:rPr>
        <w:t xml:space="preserve">2. Вхождение городского округа город Когалым в формирующиеся кластеры на территории автономного округа. </w:t>
      </w:r>
    </w:p>
    <w:p w:rsidR="004616EA" w:rsidRPr="00EC2DBF" w:rsidRDefault="004616EA" w:rsidP="00EC2DBF">
      <w:pPr>
        <w:pStyle w:val="a9"/>
        <w:tabs>
          <w:tab w:val="left" w:pos="284"/>
          <w:tab w:val="left" w:pos="426"/>
          <w:tab w:val="left" w:pos="851"/>
          <w:tab w:val="left" w:pos="1134"/>
        </w:tabs>
        <w:spacing w:after="0"/>
        <w:ind w:firstLine="709"/>
        <w:rPr>
          <w:sz w:val="26"/>
          <w:szCs w:val="26"/>
        </w:rPr>
      </w:pPr>
      <w:r w:rsidRPr="00EC2DBF">
        <w:rPr>
          <w:sz w:val="26"/>
          <w:szCs w:val="26"/>
        </w:rPr>
        <w:lastRenderedPageBreak/>
        <w:t xml:space="preserve">С учетом географического положения, сложившейся структуры промышленного производства целесообразно вхождение городского округа в нефтегазовый, строительный, агропромышленный и медицинский кластеры Ханты-Мансийского автономного округа - Югры. Это позволит в </w:t>
      </w:r>
      <w:r w:rsidRPr="00EC2DBF">
        <w:rPr>
          <w:sz w:val="26"/>
          <w:szCs w:val="26"/>
        </w:rPr>
        <w:lastRenderedPageBreak/>
        <w:t>дальнейшем снизить издержки производства за счет развития кооперационных связей, а также расширить рынки сбыта готовой продукции.</w:t>
      </w:r>
    </w:p>
    <w:p w:rsidR="004616EA" w:rsidRPr="00EC2DBF" w:rsidRDefault="004616EA" w:rsidP="00EC2DBF">
      <w:pPr>
        <w:spacing w:after="0" w:line="240" w:lineRule="auto"/>
        <w:ind w:firstLine="709"/>
        <w:jc w:val="both"/>
        <w:rPr>
          <w:rFonts w:ascii="Times New Roman" w:hAnsi="Times New Roman"/>
          <w:b/>
          <w:sz w:val="26"/>
          <w:szCs w:val="26"/>
        </w:rPr>
      </w:pPr>
      <w:r w:rsidRPr="00EC2DBF">
        <w:rPr>
          <w:rFonts w:ascii="Times New Roman" w:hAnsi="Times New Roman"/>
          <w:b/>
          <w:sz w:val="26"/>
          <w:szCs w:val="26"/>
        </w:rPr>
        <w:t>Угрозы</w:t>
      </w:r>
    </w:p>
    <w:p w:rsidR="004616EA" w:rsidRPr="00EC2DBF" w:rsidRDefault="004616EA" w:rsidP="00EC2DBF">
      <w:pPr>
        <w:pStyle w:val="a7"/>
        <w:spacing w:after="0" w:line="240" w:lineRule="auto"/>
        <w:ind w:left="0" w:firstLine="709"/>
        <w:contextualSpacing w:val="0"/>
        <w:jc w:val="both"/>
        <w:rPr>
          <w:rFonts w:ascii="Times New Roman" w:hAnsi="Times New Roman"/>
          <w:i/>
          <w:sz w:val="26"/>
          <w:szCs w:val="26"/>
        </w:rPr>
      </w:pPr>
      <w:r w:rsidRPr="00EC2DBF">
        <w:rPr>
          <w:rFonts w:ascii="Times New Roman" w:hAnsi="Times New Roman"/>
          <w:i/>
          <w:sz w:val="26"/>
          <w:szCs w:val="26"/>
        </w:rPr>
        <w:t>1. Снижение спроса на продукцию предприятий обрабатывающего производства.</w:t>
      </w:r>
    </w:p>
    <w:p w:rsidR="004616EA" w:rsidRPr="00EC2DBF" w:rsidRDefault="004616EA" w:rsidP="00EC2DBF">
      <w:pPr>
        <w:pStyle w:val="a7"/>
        <w:spacing w:after="0" w:line="240" w:lineRule="auto"/>
        <w:ind w:left="0" w:firstLine="709"/>
        <w:contextualSpacing w:val="0"/>
        <w:jc w:val="both"/>
        <w:rPr>
          <w:rFonts w:ascii="Times New Roman" w:hAnsi="Times New Roman"/>
          <w:b/>
          <w:i/>
          <w:sz w:val="26"/>
          <w:szCs w:val="26"/>
        </w:rPr>
      </w:pPr>
      <w:r w:rsidRPr="00EC2DBF">
        <w:rPr>
          <w:rFonts w:ascii="Times New Roman" w:hAnsi="Times New Roman"/>
          <w:i/>
          <w:sz w:val="26"/>
          <w:szCs w:val="26"/>
        </w:rPr>
        <w:lastRenderedPageBreak/>
        <w:t>2. Снижение объема инвестиций в экономику городского округа.</w:t>
      </w:r>
    </w:p>
    <w:p w:rsidR="004616EA" w:rsidRPr="00EC2DBF" w:rsidRDefault="004616EA" w:rsidP="00EC2DBF">
      <w:pPr>
        <w:pStyle w:val="a7"/>
        <w:spacing w:after="0" w:line="240" w:lineRule="auto"/>
        <w:ind w:left="0" w:firstLine="709"/>
        <w:contextualSpacing w:val="0"/>
        <w:jc w:val="both"/>
        <w:rPr>
          <w:rFonts w:ascii="Times New Roman" w:hAnsi="Times New Roman"/>
          <w:i/>
          <w:sz w:val="26"/>
          <w:szCs w:val="26"/>
        </w:rPr>
      </w:pPr>
      <w:r w:rsidRPr="00EC2DBF">
        <w:rPr>
          <w:rFonts w:ascii="Times New Roman" w:hAnsi="Times New Roman"/>
          <w:i/>
          <w:sz w:val="26"/>
          <w:szCs w:val="26"/>
        </w:rPr>
        <w:t>3. Снижение объемов промышленного производства на территории городского округа.</w:t>
      </w:r>
    </w:p>
    <w:p w:rsidR="004616EA" w:rsidRPr="00EC2DBF" w:rsidRDefault="004616EA" w:rsidP="00EC2DBF">
      <w:pPr>
        <w:pStyle w:val="12"/>
        <w:spacing w:line="240" w:lineRule="auto"/>
        <w:ind w:firstLine="709"/>
      </w:pPr>
      <w:r w:rsidRPr="00EC2DBF">
        <w:t xml:space="preserve">Структура промышленного производства города Когалыма за последние пять лет, начиная с 2009 года, представлена в </w:t>
      </w:r>
      <w:r w:rsidR="001977F4">
        <w:fldChar w:fldCharType="begin"/>
      </w:r>
      <w:r w:rsidR="001977F4">
        <w:instrText xml:space="preserve"> REF _Ref397018431 \h  \* MERGEFORMAT </w:instrText>
      </w:r>
      <w:r w:rsidR="001977F4">
        <w:fldChar w:fldCharType="separate"/>
      </w:r>
      <w:r w:rsidR="001977F4" w:rsidRPr="001977F4">
        <w:t>Таблица 1</w:t>
      </w:r>
      <w:r w:rsidR="001977F4">
        <w:fldChar w:fldCharType="end"/>
      </w:r>
      <w:r w:rsidRPr="00EC2DBF">
        <w:t>.</w:t>
      </w:r>
    </w:p>
    <w:p w:rsidR="004616EA" w:rsidRPr="00475E67" w:rsidRDefault="004616EA" w:rsidP="000D0FC5">
      <w:pPr>
        <w:pStyle w:val="12"/>
        <w:spacing w:line="360" w:lineRule="auto"/>
        <w:rPr>
          <w:sz w:val="24"/>
          <w:szCs w:val="24"/>
        </w:rPr>
      </w:pPr>
    </w:p>
    <w:p w:rsidR="004616EA" w:rsidRPr="00475E67" w:rsidRDefault="004616EA" w:rsidP="008F646D">
      <w:pPr>
        <w:pStyle w:val="af1"/>
        <w:keepNext/>
        <w:rPr>
          <w:rFonts w:ascii="Times New Roman" w:hAnsi="Times New Roman"/>
          <w:b w:val="0"/>
          <w:color w:val="auto"/>
          <w:sz w:val="24"/>
        </w:rPr>
      </w:pPr>
      <w:bookmarkStart w:id="25" w:name="_Ref397018431"/>
      <w:r w:rsidRPr="00475E67">
        <w:rPr>
          <w:rFonts w:ascii="Times New Roman" w:hAnsi="Times New Roman"/>
          <w:b w:val="0"/>
          <w:color w:val="auto"/>
          <w:sz w:val="24"/>
        </w:rPr>
        <w:t xml:space="preserve">Таблица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Таблица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1</w:t>
      </w:r>
      <w:r w:rsidRPr="00475E67">
        <w:rPr>
          <w:rFonts w:ascii="Times New Roman" w:hAnsi="Times New Roman"/>
          <w:b w:val="0"/>
          <w:color w:val="auto"/>
          <w:sz w:val="24"/>
        </w:rPr>
        <w:fldChar w:fldCharType="end"/>
      </w:r>
      <w:bookmarkEnd w:id="25"/>
      <w:r w:rsidRPr="00475E67">
        <w:rPr>
          <w:rFonts w:ascii="Times New Roman" w:hAnsi="Times New Roman"/>
          <w:b w:val="0"/>
          <w:color w:val="auto"/>
          <w:sz w:val="24"/>
        </w:rPr>
        <w:t xml:space="preserve"> - Динамика промышленного производства города Когалыма</w:t>
      </w:r>
    </w:p>
    <w:tbl>
      <w:tblPr>
        <w:tblW w:w="878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89"/>
        <w:gridCol w:w="993"/>
        <w:gridCol w:w="1126"/>
        <w:gridCol w:w="992"/>
        <w:gridCol w:w="992"/>
        <w:gridCol w:w="1096"/>
      </w:tblGrid>
      <w:tr w:rsidR="004616EA" w:rsidRPr="00475E67" w:rsidTr="0084791B">
        <w:tc>
          <w:tcPr>
            <w:tcW w:w="3685" w:type="dxa"/>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Промышленное производство*</w:t>
            </w:r>
          </w:p>
        </w:tc>
        <w:tc>
          <w:tcPr>
            <w:tcW w:w="993" w:type="dxa"/>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2009</w:t>
            </w:r>
          </w:p>
        </w:tc>
        <w:tc>
          <w:tcPr>
            <w:tcW w:w="1134" w:type="dxa"/>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2010</w:t>
            </w:r>
          </w:p>
        </w:tc>
        <w:tc>
          <w:tcPr>
            <w:tcW w:w="992" w:type="dxa"/>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2011</w:t>
            </w:r>
          </w:p>
        </w:tc>
        <w:tc>
          <w:tcPr>
            <w:tcW w:w="992" w:type="dxa"/>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2012</w:t>
            </w:r>
          </w:p>
        </w:tc>
        <w:tc>
          <w:tcPr>
            <w:tcW w:w="992" w:type="dxa"/>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2013</w:t>
            </w:r>
          </w:p>
        </w:tc>
      </w:tr>
      <w:tr w:rsidR="004616EA" w:rsidRPr="00475E67" w:rsidTr="0084791B">
        <w:tc>
          <w:tcPr>
            <w:tcW w:w="3685" w:type="dxa"/>
          </w:tcPr>
          <w:p w:rsidR="004616EA" w:rsidRPr="00475E67" w:rsidRDefault="004616EA" w:rsidP="0084791B">
            <w:pPr>
              <w:spacing w:after="0" w:line="240" w:lineRule="auto"/>
              <w:jc w:val="both"/>
              <w:rPr>
                <w:rFonts w:ascii="Times New Roman" w:hAnsi="Times New Roman"/>
              </w:rPr>
            </w:pPr>
            <w:r w:rsidRPr="00475E67">
              <w:rPr>
                <w:rFonts w:ascii="Times New Roman" w:hAnsi="Times New Roman"/>
              </w:rPr>
              <w:t>Всего, млн руб., (в действующих ценах каждого года), в т.ч.</w:t>
            </w:r>
          </w:p>
        </w:tc>
        <w:tc>
          <w:tcPr>
            <w:tcW w:w="993"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45 683,0</w:t>
            </w:r>
          </w:p>
        </w:tc>
        <w:tc>
          <w:tcPr>
            <w:tcW w:w="1134"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39 396,9</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50 183,4</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56 139,2</w:t>
            </w:r>
          </w:p>
        </w:tc>
        <w:tc>
          <w:tcPr>
            <w:tcW w:w="992" w:type="dxa"/>
            <w:vAlign w:val="bottom"/>
          </w:tcPr>
          <w:p w:rsidR="004616EA" w:rsidRPr="00475E67" w:rsidRDefault="004616EA" w:rsidP="00F17B09">
            <w:pPr>
              <w:spacing w:after="0" w:line="240" w:lineRule="auto"/>
              <w:jc w:val="center"/>
              <w:rPr>
                <w:rFonts w:ascii="Times New Roman" w:hAnsi="Times New Roman"/>
              </w:rPr>
            </w:pPr>
            <w:r w:rsidRPr="00475E67">
              <w:rPr>
                <w:rFonts w:ascii="Times New Roman" w:hAnsi="Times New Roman"/>
              </w:rPr>
              <w:t>2</w:t>
            </w:r>
            <w:r>
              <w:rPr>
                <w:rFonts w:ascii="Times New Roman" w:hAnsi="Times New Roman"/>
              </w:rPr>
              <w:t>5</w:t>
            </w:r>
            <w:r w:rsidRPr="00475E67">
              <w:rPr>
                <w:rFonts w:ascii="Times New Roman" w:hAnsi="Times New Roman"/>
              </w:rPr>
              <w:t> </w:t>
            </w:r>
            <w:r>
              <w:rPr>
                <w:rFonts w:ascii="Times New Roman" w:hAnsi="Times New Roman"/>
              </w:rPr>
              <w:t>425</w:t>
            </w:r>
            <w:r w:rsidRPr="00475E67">
              <w:rPr>
                <w:rFonts w:ascii="Times New Roman" w:hAnsi="Times New Roman"/>
              </w:rPr>
              <w:t>,</w:t>
            </w:r>
            <w:r>
              <w:rPr>
                <w:rFonts w:ascii="Times New Roman" w:hAnsi="Times New Roman"/>
              </w:rPr>
              <w:t>13</w:t>
            </w:r>
          </w:p>
        </w:tc>
      </w:tr>
      <w:tr w:rsidR="004616EA" w:rsidRPr="00475E67" w:rsidTr="0084791B">
        <w:tc>
          <w:tcPr>
            <w:tcW w:w="3685" w:type="dxa"/>
          </w:tcPr>
          <w:p w:rsidR="004616EA" w:rsidRPr="00475E67" w:rsidRDefault="004616EA" w:rsidP="0084791B">
            <w:pPr>
              <w:spacing w:after="0" w:line="240" w:lineRule="auto"/>
              <w:ind w:left="-108"/>
              <w:jc w:val="right"/>
              <w:rPr>
                <w:rFonts w:ascii="Times New Roman" w:hAnsi="Times New Roman"/>
              </w:rPr>
            </w:pPr>
            <w:r w:rsidRPr="00475E67">
              <w:rPr>
                <w:rFonts w:ascii="Times New Roman" w:hAnsi="Times New Roman"/>
              </w:rPr>
              <w:t>Индекс промышленного производства, %</w:t>
            </w:r>
          </w:p>
        </w:tc>
        <w:tc>
          <w:tcPr>
            <w:tcW w:w="993"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97,9</w:t>
            </w:r>
          </w:p>
        </w:tc>
        <w:tc>
          <w:tcPr>
            <w:tcW w:w="1134"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83,5</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102,3</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102,0</w:t>
            </w:r>
          </w:p>
        </w:tc>
        <w:tc>
          <w:tcPr>
            <w:tcW w:w="992" w:type="dxa"/>
            <w:vAlign w:val="bottom"/>
          </w:tcPr>
          <w:p w:rsidR="004616EA" w:rsidRPr="00475E67" w:rsidRDefault="004616EA" w:rsidP="00F17B09">
            <w:pPr>
              <w:spacing w:after="0" w:line="240" w:lineRule="auto"/>
              <w:jc w:val="center"/>
              <w:rPr>
                <w:rFonts w:ascii="Times New Roman" w:hAnsi="Times New Roman"/>
              </w:rPr>
            </w:pPr>
            <w:r w:rsidRPr="00475E67">
              <w:rPr>
                <w:rFonts w:ascii="Times New Roman" w:hAnsi="Times New Roman"/>
              </w:rPr>
              <w:t>4</w:t>
            </w:r>
            <w:r>
              <w:rPr>
                <w:rFonts w:ascii="Times New Roman" w:hAnsi="Times New Roman"/>
              </w:rPr>
              <w:t>2</w:t>
            </w:r>
            <w:r w:rsidRPr="00475E67">
              <w:rPr>
                <w:rFonts w:ascii="Times New Roman" w:hAnsi="Times New Roman"/>
              </w:rPr>
              <w:t>,</w:t>
            </w:r>
            <w:r>
              <w:rPr>
                <w:rFonts w:ascii="Times New Roman" w:hAnsi="Times New Roman"/>
              </w:rPr>
              <w:t>4</w:t>
            </w:r>
          </w:p>
        </w:tc>
      </w:tr>
      <w:tr w:rsidR="004616EA" w:rsidRPr="00475E67" w:rsidTr="0084791B">
        <w:tc>
          <w:tcPr>
            <w:tcW w:w="3685" w:type="dxa"/>
          </w:tcPr>
          <w:p w:rsidR="004616EA" w:rsidRPr="00475E67" w:rsidRDefault="004616EA" w:rsidP="0084791B">
            <w:pPr>
              <w:spacing w:after="0" w:line="240" w:lineRule="auto"/>
              <w:ind w:left="34"/>
              <w:rPr>
                <w:rFonts w:ascii="Times New Roman" w:hAnsi="Times New Roman"/>
              </w:rPr>
            </w:pPr>
            <w:r w:rsidRPr="00475E67">
              <w:rPr>
                <w:rFonts w:ascii="Times New Roman" w:hAnsi="Times New Roman"/>
              </w:rPr>
              <w:t>1. Добыча полезных ископаемых</w:t>
            </w:r>
          </w:p>
        </w:tc>
        <w:tc>
          <w:tcPr>
            <w:tcW w:w="993"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33 656,4</w:t>
            </w:r>
          </w:p>
        </w:tc>
        <w:tc>
          <w:tcPr>
            <w:tcW w:w="1134"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26 293,8</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35 837,1</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42 105,8</w:t>
            </w:r>
          </w:p>
        </w:tc>
        <w:tc>
          <w:tcPr>
            <w:tcW w:w="992" w:type="dxa"/>
            <w:vAlign w:val="bottom"/>
          </w:tcPr>
          <w:p w:rsidR="004616EA" w:rsidRPr="00475E67" w:rsidRDefault="004616EA" w:rsidP="006E3FCD">
            <w:pPr>
              <w:spacing w:after="0" w:line="240" w:lineRule="auto"/>
              <w:jc w:val="center"/>
              <w:rPr>
                <w:rFonts w:ascii="Times New Roman" w:hAnsi="Times New Roman"/>
              </w:rPr>
            </w:pPr>
            <w:r w:rsidRPr="00475E67">
              <w:rPr>
                <w:rFonts w:ascii="Times New Roman" w:hAnsi="Times New Roman"/>
              </w:rPr>
              <w:t>11 636,7</w:t>
            </w:r>
          </w:p>
        </w:tc>
      </w:tr>
      <w:tr w:rsidR="004616EA" w:rsidRPr="00475E67" w:rsidTr="0084791B">
        <w:tc>
          <w:tcPr>
            <w:tcW w:w="3685" w:type="dxa"/>
          </w:tcPr>
          <w:p w:rsidR="004616EA" w:rsidRPr="00475E67" w:rsidRDefault="004616EA" w:rsidP="0084791B">
            <w:pPr>
              <w:spacing w:after="0" w:line="240" w:lineRule="auto"/>
              <w:jc w:val="right"/>
              <w:rPr>
                <w:rFonts w:ascii="Times New Roman" w:hAnsi="Times New Roman"/>
              </w:rPr>
            </w:pPr>
            <w:r w:rsidRPr="00475E67">
              <w:rPr>
                <w:rFonts w:ascii="Times New Roman" w:hAnsi="Times New Roman"/>
              </w:rPr>
              <w:t>Индекс производства, %</w:t>
            </w:r>
          </w:p>
        </w:tc>
        <w:tc>
          <w:tcPr>
            <w:tcW w:w="993"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95,1</w:t>
            </w:r>
          </w:p>
        </w:tc>
        <w:tc>
          <w:tcPr>
            <w:tcW w:w="1134"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79,2</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106,5</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105,6</w:t>
            </w:r>
          </w:p>
        </w:tc>
        <w:tc>
          <w:tcPr>
            <w:tcW w:w="992" w:type="dxa"/>
            <w:vAlign w:val="bottom"/>
          </w:tcPr>
          <w:p w:rsidR="004616EA" w:rsidRPr="00475E67" w:rsidRDefault="004616EA" w:rsidP="00F17B09">
            <w:pPr>
              <w:spacing w:after="0" w:line="240" w:lineRule="auto"/>
              <w:jc w:val="center"/>
              <w:rPr>
                <w:rFonts w:ascii="Times New Roman" w:hAnsi="Times New Roman"/>
              </w:rPr>
            </w:pPr>
            <w:r w:rsidRPr="00475E67">
              <w:rPr>
                <w:rFonts w:ascii="Times New Roman" w:hAnsi="Times New Roman"/>
              </w:rPr>
              <w:t>2</w:t>
            </w:r>
            <w:r>
              <w:rPr>
                <w:rFonts w:ascii="Times New Roman" w:hAnsi="Times New Roman"/>
              </w:rPr>
              <w:t>5</w:t>
            </w:r>
            <w:r w:rsidRPr="00475E67">
              <w:rPr>
                <w:rFonts w:ascii="Times New Roman" w:hAnsi="Times New Roman"/>
              </w:rPr>
              <w:t>,</w:t>
            </w:r>
            <w:r>
              <w:rPr>
                <w:rFonts w:ascii="Times New Roman" w:hAnsi="Times New Roman"/>
              </w:rPr>
              <w:t>9</w:t>
            </w:r>
          </w:p>
        </w:tc>
      </w:tr>
      <w:tr w:rsidR="004616EA" w:rsidRPr="00475E67" w:rsidTr="0084791B">
        <w:tc>
          <w:tcPr>
            <w:tcW w:w="3685" w:type="dxa"/>
          </w:tcPr>
          <w:p w:rsidR="004616EA" w:rsidRPr="00475E67" w:rsidRDefault="004616EA" w:rsidP="0084791B">
            <w:pPr>
              <w:spacing w:after="0" w:line="240" w:lineRule="auto"/>
              <w:rPr>
                <w:rFonts w:ascii="Times New Roman" w:hAnsi="Times New Roman"/>
              </w:rPr>
            </w:pPr>
            <w:r w:rsidRPr="00475E67">
              <w:rPr>
                <w:rFonts w:ascii="Times New Roman" w:hAnsi="Times New Roman"/>
              </w:rPr>
              <w:t>2. Обрабатывающие производства</w:t>
            </w:r>
          </w:p>
        </w:tc>
        <w:tc>
          <w:tcPr>
            <w:tcW w:w="993"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2 489,1</w:t>
            </w:r>
          </w:p>
        </w:tc>
        <w:tc>
          <w:tcPr>
            <w:tcW w:w="1134"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5 010,8</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6 035,1</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6 097,1</w:t>
            </w:r>
          </w:p>
        </w:tc>
        <w:tc>
          <w:tcPr>
            <w:tcW w:w="992" w:type="dxa"/>
            <w:vAlign w:val="bottom"/>
          </w:tcPr>
          <w:p w:rsidR="004616EA" w:rsidRPr="00475E67" w:rsidRDefault="004616EA" w:rsidP="00F17B09">
            <w:pPr>
              <w:spacing w:after="0" w:line="240" w:lineRule="auto"/>
              <w:jc w:val="center"/>
              <w:rPr>
                <w:rFonts w:ascii="Times New Roman" w:hAnsi="Times New Roman"/>
              </w:rPr>
            </w:pPr>
            <w:r>
              <w:rPr>
                <w:rFonts w:ascii="Times New Roman" w:hAnsi="Times New Roman"/>
              </w:rPr>
              <w:t>5</w:t>
            </w:r>
            <w:r w:rsidRPr="00475E67">
              <w:rPr>
                <w:rFonts w:ascii="Times New Roman" w:hAnsi="Times New Roman"/>
              </w:rPr>
              <w:t xml:space="preserve"> </w:t>
            </w:r>
            <w:r>
              <w:rPr>
                <w:rFonts w:ascii="Times New Roman" w:hAnsi="Times New Roman"/>
              </w:rPr>
              <w:t>398</w:t>
            </w:r>
            <w:r w:rsidRPr="00475E67">
              <w:rPr>
                <w:rFonts w:ascii="Times New Roman" w:hAnsi="Times New Roman"/>
              </w:rPr>
              <w:t>,5</w:t>
            </w:r>
            <w:r>
              <w:rPr>
                <w:rFonts w:ascii="Times New Roman" w:hAnsi="Times New Roman"/>
              </w:rPr>
              <w:t>7</w:t>
            </w:r>
          </w:p>
        </w:tc>
      </w:tr>
      <w:tr w:rsidR="004616EA" w:rsidRPr="00475E67" w:rsidTr="0084791B">
        <w:tc>
          <w:tcPr>
            <w:tcW w:w="3685" w:type="dxa"/>
          </w:tcPr>
          <w:p w:rsidR="004616EA" w:rsidRPr="00475E67" w:rsidRDefault="004616EA" w:rsidP="0084791B">
            <w:pPr>
              <w:spacing w:after="0" w:line="240" w:lineRule="auto"/>
              <w:jc w:val="right"/>
              <w:rPr>
                <w:rFonts w:ascii="Times New Roman" w:hAnsi="Times New Roman"/>
              </w:rPr>
            </w:pPr>
            <w:r w:rsidRPr="00475E67">
              <w:rPr>
                <w:rFonts w:ascii="Times New Roman" w:hAnsi="Times New Roman"/>
              </w:rPr>
              <w:t>Индекс производства, %</w:t>
            </w:r>
          </w:p>
        </w:tc>
        <w:tc>
          <w:tcPr>
            <w:tcW w:w="993"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78,5</w:t>
            </w:r>
          </w:p>
        </w:tc>
        <w:tc>
          <w:tcPr>
            <w:tcW w:w="1134"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179,1</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103,2</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95,5</w:t>
            </w:r>
          </w:p>
        </w:tc>
        <w:tc>
          <w:tcPr>
            <w:tcW w:w="992" w:type="dxa"/>
            <w:vAlign w:val="bottom"/>
          </w:tcPr>
          <w:p w:rsidR="004616EA" w:rsidRPr="00475E67" w:rsidRDefault="004616EA" w:rsidP="00F17B09">
            <w:pPr>
              <w:spacing w:after="0" w:line="240" w:lineRule="auto"/>
              <w:jc w:val="center"/>
              <w:rPr>
                <w:rFonts w:ascii="Times New Roman" w:hAnsi="Times New Roman"/>
              </w:rPr>
            </w:pPr>
            <w:r>
              <w:rPr>
                <w:rFonts w:ascii="Times New Roman" w:hAnsi="Times New Roman"/>
              </w:rPr>
              <w:t>81</w:t>
            </w:r>
            <w:r w:rsidRPr="00475E67">
              <w:rPr>
                <w:rFonts w:ascii="Times New Roman" w:hAnsi="Times New Roman"/>
              </w:rPr>
              <w:t>,</w:t>
            </w:r>
            <w:r>
              <w:rPr>
                <w:rFonts w:ascii="Times New Roman" w:hAnsi="Times New Roman"/>
              </w:rPr>
              <w:t>83</w:t>
            </w:r>
          </w:p>
        </w:tc>
      </w:tr>
      <w:tr w:rsidR="004616EA" w:rsidRPr="00475E67" w:rsidTr="0084791B">
        <w:tc>
          <w:tcPr>
            <w:tcW w:w="3685" w:type="dxa"/>
          </w:tcPr>
          <w:p w:rsidR="004616EA" w:rsidRPr="00475E67" w:rsidRDefault="004616EA" w:rsidP="0084791B">
            <w:pPr>
              <w:spacing w:after="0" w:line="240" w:lineRule="auto"/>
              <w:rPr>
                <w:rFonts w:ascii="Times New Roman" w:hAnsi="Times New Roman"/>
              </w:rPr>
            </w:pPr>
            <w:r w:rsidRPr="00475E67">
              <w:rPr>
                <w:rFonts w:ascii="Times New Roman" w:hAnsi="Times New Roman"/>
              </w:rPr>
              <w:t>3. Производство и распределение электроэнергии, газа и воды</w:t>
            </w:r>
          </w:p>
        </w:tc>
        <w:tc>
          <w:tcPr>
            <w:tcW w:w="993"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9 537,5</w:t>
            </w:r>
          </w:p>
        </w:tc>
        <w:tc>
          <w:tcPr>
            <w:tcW w:w="1134"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8 092,3</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8 311,2</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7 936,3</w:t>
            </w:r>
          </w:p>
        </w:tc>
        <w:tc>
          <w:tcPr>
            <w:tcW w:w="992" w:type="dxa"/>
            <w:vAlign w:val="bottom"/>
          </w:tcPr>
          <w:p w:rsidR="004616EA" w:rsidRPr="00475E67" w:rsidRDefault="004616EA" w:rsidP="006E3FCD">
            <w:pPr>
              <w:spacing w:after="0" w:line="240" w:lineRule="auto"/>
              <w:jc w:val="center"/>
              <w:rPr>
                <w:rFonts w:ascii="Times New Roman" w:hAnsi="Times New Roman"/>
              </w:rPr>
            </w:pPr>
            <w:r w:rsidRPr="00475E67">
              <w:rPr>
                <w:rFonts w:ascii="Times New Roman" w:hAnsi="Times New Roman"/>
              </w:rPr>
              <w:t>8 389,8</w:t>
            </w:r>
          </w:p>
        </w:tc>
      </w:tr>
      <w:tr w:rsidR="004616EA" w:rsidRPr="00475E67" w:rsidTr="0084791B">
        <w:tc>
          <w:tcPr>
            <w:tcW w:w="3685" w:type="dxa"/>
          </w:tcPr>
          <w:p w:rsidR="004616EA" w:rsidRPr="00475E67" w:rsidRDefault="004616EA" w:rsidP="0084791B">
            <w:pPr>
              <w:spacing w:after="0" w:line="240" w:lineRule="auto"/>
              <w:jc w:val="right"/>
              <w:rPr>
                <w:rFonts w:ascii="Times New Roman" w:hAnsi="Times New Roman"/>
              </w:rPr>
            </w:pPr>
            <w:r w:rsidRPr="00475E67">
              <w:rPr>
                <w:rFonts w:ascii="Times New Roman" w:hAnsi="Times New Roman"/>
              </w:rPr>
              <w:t>Индекс производства, %</w:t>
            </w:r>
          </w:p>
        </w:tc>
        <w:tc>
          <w:tcPr>
            <w:tcW w:w="993"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121,7</w:t>
            </w:r>
          </w:p>
        </w:tc>
        <w:tc>
          <w:tcPr>
            <w:tcW w:w="1134"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72,8</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88,4</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91,4</w:t>
            </w:r>
          </w:p>
        </w:tc>
        <w:tc>
          <w:tcPr>
            <w:tcW w:w="992" w:type="dxa"/>
            <w:vAlign w:val="bottom"/>
          </w:tcPr>
          <w:p w:rsidR="004616EA" w:rsidRPr="00475E67" w:rsidRDefault="004616EA" w:rsidP="006E3FCD">
            <w:pPr>
              <w:keepNext/>
              <w:spacing w:after="0" w:line="240" w:lineRule="auto"/>
              <w:jc w:val="center"/>
              <w:rPr>
                <w:rFonts w:ascii="Times New Roman" w:hAnsi="Times New Roman"/>
              </w:rPr>
            </w:pPr>
            <w:r>
              <w:rPr>
                <w:rFonts w:ascii="Times New Roman" w:hAnsi="Times New Roman"/>
              </w:rPr>
              <w:t>100</w:t>
            </w:r>
            <w:r w:rsidRPr="00475E67">
              <w:rPr>
                <w:rFonts w:ascii="Times New Roman" w:hAnsi="Times New Roman"/>
              </w:rPr>
              <w:t>,5</w:t>
            </w:r>
          </w:p>
        </w:tc>
      </w:tr>
    </w:tbl>
    <w:p w:rsidR="004616EA" w:rsidRPr="00475E67" w:rsidRDefault="004616EA" w:rsidP="00A15BC9">
      <w:pPr>
        <w:pStyle w:val="a7"/>
        <w:tabs>
          <w:tab w:val="left" w:pos="426"/>
        </w:tabs>
        <w:spacing w:after="0" w:line="360" w:lineRule="auto"/>
        <w:ind w:left="0"/>
        <w:contextualSpacing w:val="0"/>
        <w:jc w:val="both"/>
        <w:rPr>
          <w:rStyle w:val="a4"/>
          <w:color w:val="auto"/>
          <w:sz w:val="24"/>
          <w:szCs w:val="24"/>
        </w:rPr>
      </w:pPr>
      <w:r w:rsidRPr="00475E67">
        <w:rPr>
          <w:rFonts w:ascii="Times New Roman" w:hAnsi="Times New Roman"/>
          <w:sz w:val="16"/>
          <w:szCs w:val="16"/>
        </w:rPr>
        <w:lastRenderedPageBreak/>
        <w:t>* Объем отгруженных товаров собственного производства, выполненных работ и услуг собственными силами, по видам деятельности, относящимся к промышленному производству по крупным и средним предприятиям.</w:t>
      </w:r>
    </w:p>
    <w:p w:rsidR="004616EA" w:rsidRPr="00EC2DBF" w:rsidRDefault="004616EA" w:rsidP="00EC2DBF">
      <w:pPr>
        <w:pStyle w:val="3"/>
        <w:spacing w:line="240" w:lineRule="auto"/>
        <w:ind w:firstLine="709"/>
        <w:rPr>
          <w:sz w:val="26"/>
        </w:rPr>
      </w:pPr>
      <w:bookmarkStart w:id="26" w:name="_Toc387238991"/>
      <w:bookmarkStart w:id="27" w:name="_Toc405805487"/>
      <w:r w:rsidRPr="00EC2DBF">
        <w:rPr>
          <w:sz w:val="26"/>
        </w:rPr>
        <w:t>2.4 Развитие потребительского рынка</w:t>
      </w:r>
      <w:bookmarkEnd w:id="26"/>
      <w:bookmarkEnd w:id="27"/>
    </w:p>
    <w:p w:rsidR="004616EA" w:rsidRPr="00EC2DBF" w:rsidRDefault="004616EA" w:rsidP="00EC2DBF">
      <w:pPr>
        <w:pStyle w:val="ab"/>
        <w:spacing w:before="0" w:after="0"/>
        <w:ind w:firstLine="709"/>
        <w:rPr>
          <w:sz w:val="26"/>
          <w:szCs w:val="26"/>
        </w:rPr>
      </w:pPr>
      <w:r w:rsidRPr="00EC2DBF">
        <w:rPr>
          <w:sz w:val="26"/>
          <w:szCs w:val="26"/>
        </w:rPr>
        <w:t xml:space="preserve">Потребительский рынок является неотъемлемым структурным звеном </w:t>
      </w:r>
      <w:r w:rsidRPr="00EC2DBF">
        <w:rPr>
          <w:sz w:val="26"/>
          <w:szCs w:val="26"/>
        </w:rPr>
        <w:lastRenderedPageBreak/>
        <w:t xml:space="preserve">экономики города, имеет важное социальное значение. Потребительский рынок призван обеспечивать условия для полного и своевременного удовлетворения спроса населения на потребительские товары и услуги, а также качество и безопасность их предоставления, доступность товаров и услуг на </w:t>
      </w:r>
      <w:r w:rsidRPr="00EC2DBF">
        <w:rPr>
          <w:sz w:val="26"/>
          <w:szCs w:val="26"/>
        </w:rPr>
        <w:lastRenderedPageBreak/>
        <w:t>всей территории муниципального образования.</w:t>
      </w:r>
    </w:p>
    <w:p w:rsidR="004616EA" w:rsidRPr="00EC2DBF" w:rsidRDefault="004616EA" w:rsidP="00EC2DBF">
      <w:pPr>
        <w:pStyle w:val="ab"/>
        <w:spacing w:before="0" w:after="0"/>
        <w:ind w:firstLine="709"/>
        <w:rPr>
          <w:sz w:val="26"/>
          <w:szCs w:val="26"/>
        </w:rPr>
      </w:pPr>
      <w:r w:rsidRPr="00EC2DBF">
        <w:rPr>
          <w:sz w:val="26"/>
          <w:szCs w:val="26"/>
        </w:rPr>
        <w:t>Торговля и общественное питание являются важной составляющей внутреннего рынка и играют значительную роль как в формировании общего экономического потенциала, так и в обес</w:t>
      </w:r>
      <w:r w:rsidRPr="00EC2DBF">
        <w:rPr>
          <w:sz w:val="26"/>
          <w:szCs w:val="26"/>
        </w:rPr>
        <w:lastRenderedPageBreak/>
        <w:t>печении потребностей населения муниципального образования в товарах и услугах.</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В результате анализа особенностей потребительского рынка городского округа город Когалым можно выделить следующие ключевые сильные и слабые стороны развития территории, </w:t>
      </w:r>
      <w:r w:rsidRPr="00EC2DBF">
        <w:rPr>
          <w:rFonts w:ascii="Times New Roman" w:hAnsi="Times New Roman"/>
          <w:sz w:val="26"/>
          <w:szCs w:val="26"/>
        </w:rPr>
        <w:lastRenderedPageBreak/>
        <w:t>а также ряд потенциальных возможностей и угроз.</w:t>
      </w:r>
    </w:p>
    <w:p w:rsidR="004616EA" w:rsidRPr="00EC2DBF" w:rsidRDefault="004616EA" w:rsidP="00EC2DBF">
      <w:pPr>
        <w:keepNext/>
        <w:keepLines/>
        <w:spacing w:after="0" w:line="240" w:lineRule="auto"/>
        <w:ind w:firstLine="709"/>
        <w:jc w:val="both"/>
        <w:rPr>
          <w:rFonts w:ascii="Times New Roman" w:hAnsi="Times New Roman"/>
          <w:b/>
          <w:sz w:val="26"/>
          <w:szCs w:val="26"/>
        </w:rPr>
      </w:pPr>
      <w:r w:rsidRPr="00EC2DBF">
        <w:rPr>
          <w:rFonts w:ascii="Times New Roman" w:hAnsi="Times New Roman"/>
          <w:b/>
          <w:sz w:val="26"/>
          <w:szCs w:val="26"/>
        </w:rPr>
        <w:t>Сильные стороны</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1. Рост оборота розничной торговли и оборота общественного питания</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 сфере розничной торговли за последние 3 года наблюдаются положи</w:t>
      </w:r>
      <w:r w:rsidRPr="00EC2DBF">
        <w:rPr>
          <w:rFonts w:ascii="Times New Roman" w:hAnsi="Times New Roman"/>
          <w:sz w:val="26"/>
          <w:szCs w:val="26"/>
        </w:rPr>
        <w:lastRenderedPageBreak/>
        <w:t>тельные тенденции, об этом свидетельствует рост основных показателей (</w:t>
      </w:r>
      <w:r w:rsidR="001977F4">
        <w:fldChar w:fldCharType="begin"/>
      </w:r>
      <w:r w:rsidR="001977F4">
        <w:instrText xml:space="preserve"> REF _Ref397018602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11</w:t>
      </w:r>
      <w:r w:rsidR="001977F4">
        <w:fldChar w:fldCharType="end"/>
      </w:r>
      <w:r w:rsidRPr="00EC2DBF">
        <w:rPr>
          <w:rFonts w:ascii="Times New Roman" w:hAnsi="Times New Roman"/>
          <w:sz w:val="26"/>
          <w:szCs w:val="26"/>
        </w:rPr>
        <w:t>). Положительные изменения связаны с повышением уровня потребительской уверенности населения.</w:t>
      </w:r>
    </w:p>
    <w:p w:rsidR="004616EA" w:rsidRPr="00475E67" w:rsidRDefault="004616EA" w:rsidP="002B2B52">
      <w:pPr>
        <w:keepNext/>
        <w:spacing w:after="0"/>
        <w:jc w:val="center"/>
      </w:pPr>
      <w:r w:rsidRPr="00475E67">
        <w:rPr>
          <w:rFonts w:ascii="Times New Roman" w:hAnsi="Times New Roman"/>
          <w:sz w:val="24"/>
          <w:szCs w:val="24"/>
        </w:rPr>
        <w:object w:dxaOrig="6407" w:dyaOrig="5384">
          <v:shape id="_x0000_i1033" type="#_x0000_t75" style="width:445.8pt;height:256.2pt" o:ole="">
            <v:imagedata r:id="rId28" o:title=""/>
          </v:shape>
          <o:OLEObject Type="Embed" ProgID="Excel.Sheet.12" ShapeID="_x0000_i1033" DrawAspect="Content" ObjectID="_1509436643" r:id="rId29"/>
        </w:object>
      </w:r>
    </w:p>
    <w:p w:rsidR="004616EA" w:rsidRPr="00475E67" w:rsidRDefault="004616EA" w:rsidP="00034D86">
      <w:pPr>
        <w:pStyle w:val="af1"/>
        <w:jc w:val="center"/>
        <w:rPr>
          <w:rFonts w:ascii="Times New Roman" w:hAnsi="Times New Roman"/>
          <w:b w:val="0"/>
          <w:color w:val="auto"/>
          <w:sz w:val="24"/>
          <w:szCs w:val="24"/>
        </w:rPr>
      </w:pPr>
      <w:bookmarkStart w:id="28" w:name="_Ref397018602"/>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11</w:t>
      </w:r>
      <w:r w:rsidRPr="00475E67">
        <w:rPr>
          <w:rFonts w:ascii="Times New Roman" w:hAnsi="Times New Roman"/>
          <w:b w:val="0"/>
          <w:color w:val="auto"/>
          <w:sz w:val="24"/>
        </w:rPr>
        <w:fldChar w:fldCharType="end"/>
      </w:r>
      <w:bookmarkEnd w:id="28"/>
      <w:r w:rsidRPr="00475E67">
        <w:rPr>
          <w:rFonts w:ascii="Times New Roman" w:hAnsi="Times New Roman"/>
          <w:b w:val="0"/>
          <w:color w:val="auto"/>
          <w:sz w:val="24"/>
        </w:rPr>
        <w:t xml:space="preserve"> - Динамика оборота розничной торговли городского округа город Когалым, на начало года</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lastRenderedPageBreak/>
        <w:t>Основным фактором, способствующим позитивным переменам в сфере торговли является стабильная положительная динамика доходов населения за последние шесть лет.</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Хорошие перспективы развития наблюдаются и в сфере общественного питания. За период последних двух лет по показателю оборота общественного </w:t>
      </w:r>
      <w:r w:rsidRPr="00EC2DBF">
        <w:rPr>
          <w:rFonts w:ascii="Times New Roman" w:hAnsi="Times New Roman"/>
          <w:sz w:val="26"/>
          <w:szCs w:val="26"/>
        </w:rPr>
        <w:lastRenderedPageBreak/>
        <w:t>питания отмечалась положительная динамика (</w:t>
      </w:r>
      <w:r w:rsidR="001977F4">
        <w:fldChar w:fldCharType="begin"/>
      </w:r>
      <w:r w:rsidR="001977F4">
        <w:instrText xml:space="preserve"> REF _Ref397018694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12</w:t>
      </w:r>
      <w:r w:rsidR="001977F4">
        <w:fldChar w:fldCharType="end"/>
      </w:r>
      <w:r w:rsidRPr="00EC2DBF">
        <w:rPr>
          <w:rFonts w:ascii="Times New Roman" w:hAnsi="Times New Roman"/>
          <w:sz w:val="26"/>
          <w:szCs w:val="26"/>
        </w:rPr>
        <w:t>).</w:t>
      </w:r>
    </w:p>
    <w:p w:rsidR="004616EA" w:rsidRPr="00475E67" w:rsidRDefault="004616EA" w:rsidP="002B2B52">
      <w:pPr>
        <w:keepNext/>
        <w:spacing w:after="0"/>
        <w:jc w:val="center"/>
      </w:pPr>
      <w:r w:rsidRPr="00475E67">
        <w:rPr>
          <w:rFonts w:ascii="Times New Roman" w:hAnsi="Times New Roman"/>
          <w:sz w:val="24"/>
          <w:szCs w:val="24"/>
        </w:rPr>
        <w:object w:dxaOrig="9328" w:dyaOrig="3975">
          <v:shape id="_x0000_i1034" type="#_x0000_t75" style="width:447.6pt;height:189pt" o:ole="">
            <v:imagedata r:id="rId30" o:title=""/>
          </v:shape>
          <o:OLEObject Type="Embed" ProgID="Excel.Sheet.12" ShapeID="_x0000_i1034" DrawAspect="Content" ObjectID="_1509436644" r:id="rId31"/>
        </w:object>
      </w:r>
    </w:p>
    <w:p w:rsidR="004616EA" w:rsidRPr="00475E67" w:rsidRDefault="004616EA" w:rsidP="001D49C6">
      <w:pPr>
        <w:pStyle w:val="af1"/>
        <w:jc w:val="center"/>
        <w:rPr>
          <w:rFonts w:ascii="Times New Roman" w:hAnsi="Times New Roman"/>
          <w:b w:val="0"/>
          <w:color w:val="auto"/>
          <w:sz w:val="36"/>
          <w:szCs w:val="24"/>
        </w:rPr>
      </w:pPr>
      <w:bookmarkStart w:id="29" w:name="_Ref397018694"/>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12</w:t>
      </w:r>
      <w:r w:rsidRPr="00475E67">
        <w:rPr>
          <w:rFonts w:ascii="Times New Roman" w:hAnsi="Times New Roman"/>
          <w:b w:val="0"/>
          <w:color w:val="auto"/>
          <w:sz w:val="24"/>
        </w:rPr>
        <w:fldChar w:fldCharType="end"/>
      </w:r>
      <w:bookmarkEnd w:id="29"/>
      <w:r w:rsidRPr="00475E67">
        <w:rPr>
          <w:rFonts w:ascii="Times New Roman" w:hAnsi="Times New Roman"/>
          <w:b w:val="0"/>
          <w:color w:val="auto"/>
          <w:sz w:val="24"/>
        </w:rPr>
        <w:t xml:space="preserve"> - Динамика оборота общественного питания городского округа город Когалым, на начало года</w:t>
      </w:r>
    </w:p>
    <w:p w:rsidR="004616EA" w:rsidRPr="00EC2DBF" w:rsidRDefault="004616EA" w:rsidP="00EC2DBF">
      <w:pPr>
        <w:pStyle w:val="af1"/>
        <w:spacing w:after="0"/>
        <w:ind w:firstLine="709"/>
        <w:jc w:val="both"/>
        <w:rPr>
          <w:rFonts w:ascii="Times New Roman" w:hAnsi="Times New Roman"/>
          <w:b w:val="0"/>
          <w:color w:val="auto"/>
          <w:sz w:val="26"/>
          <w:szCs w:val="26"/>
        </w:rPr>
      </w:pPr>
      <w:r w:rsidRPr="00EC2DBF">
        <w:rPr>
          <w:rFonts w:ascii="Times New Roman" w:hAnsi="Times New Roman"/>
          <w:b w:val="0"/>
          <w:color w:val="auto"/>
          <w:sz w:val="26"/>
          <w:szCs w:val="26"/>
        </w:rPr>
        <w:lastRenderedPageBreak/>
        <w:t xml:space="preserve">В ближайший прогнозный краткосрочный период (5 лет) в сфере общественного питания ожидается сохранение положительной динамики развития и увеличение показателей. Это будет связано с открытием новых объектов общественного питания, а, следовательно, увеличением мощностей в </w:t>
      </w:r>
      <w:r w:rsidRPr="00EC2DBF">
        <w:rPr>
          <w:rFonts w:ascii="Times New Roman" w:hAnsi="Times New Roman"/>
          <w:b w:val="0"/>
          <w:color w:val="auto"/>
          <w:sz w:val="26"/>
          <w:szCs w:val="26"/>
        </w:rPr>
        <w:lastRenderedPageBreak/>
        <w:t>данном направлении потребительского рынка.</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2. Внедрение новых стандартов и технологий в сферу торговли</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За последние несколько лет в городском округе город Когалым, как и на территории всей Российской Федерации, наблюдается качественное изменение материально-технической базы </w:t>
      </w:r>
      <w:r w:rsidRPr="00EC2DBF">
        <w:rPr>
          <w:rFonts w:ascii="Times New Roman" w:hAnsi="Times New Roman"/>
          <w:sz w:val="26"/>
          <w:szCs w:val="26"/>
        </w:rPr>
        <w:lastRenderedPageBreak/>
        <w:t>предприятий торговли – все большее количество магазинов переходят на использование современных методов обслуживания и новых торговых технологий.</w:t>
      </w:r>
    </w:p>
    <w:p w:rsidR="004616EA" w:rsidRPr="00EC2DBF" w:rsidRDefault="004616EA" w:rsidP="00EC2DBF">
      <w:pPr>
        <w:pStyle w:val="ab"/>
        <w:spacing w:before="0" w:after="0"/>
        <w:ind w:firstLine="709"/>
        <w:rPr>
          <w:sz w:val="26"/>
          <w:szCs w:val="26"/>
        </w:rPr>
      </w:pPr>
      <w:r w:rsidRPr="00EC2DBF">
        <w:rPr>
          <w:sz w:val="26"/>
          <w:szCs w:val="26"/>
        </w:rPr>
        <w:t>Все чаще наблюдается переход от традиционной формы обслуживания потребителей «через прилавок» к са</w:t>
      </w:r>
      <w:r w:rsidRPr="00EC2DBF">
        <w:rPr>
          <w:sz w:val="26"/>
          <w:szCs w:val="26"/>
        </w:rPr>
        <w:lastRenderedPageBreak/>
        <w:t>мообслуживанию. В магазины внедряются новые технологии продажи товаров с применением компьютерных касс, штрихового кодирования на товарах, а также использование дисконтных программ.</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Тем не менее, наравне с открытием крупных торговых центров, в городе </w:t>
      </w:r>
      <w:r w:rsidRPr="00EC2DBF">
        <w:rPr>
          <w:rFonts w:ascii="Times New Roman" w:hAnsi="Times New Roman"/>
          <w:sz w:val="26"/>
          <w:szCs w:val="26"/>
        </w:rPr>
        <w:lastRenderedPageBreak/>
        <w:t>сохраняются продовольственные магазины «шаговой доступности», расположенные на первых этажах жилых домов.</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3. Стабильная динамика развития сферы предоставления платных услуг населению</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Платные услуги – полезные результаты производственной деятельности, </w:t>
      </w:r>
      <w:r w:rsidRPr="00EC2DBF">
        <w:rPr>
          <w:rFonts w:ascii="Times New Roman" w:hAnsi="Times New Roman"/>
          <w:sz w:val="26"/>
          <w:szCs w:val="26"/>
        </w:rPr>
        <w:lastRenderedPageBreak/>
        <w:t>удовлетворяющие потребности граждан за определенную плату. Являются объектом купли – продажи.</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 городском округе город Когалым динамика объема платных услуг населению за последние пять лет является положительной (</w:t>
      </w:r>
      <w:r w:rsidR="001977F4">
        <w:fldChar w:fldCharType="begin"/>
      </w:r>
      <w:r w:rsidR="001977F4">
        <w:instrText xml:space="preserve"> REF _Ref397018759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13</w:t>
      </w:r>
      <w:r w:rsidR="001977F4">
        <w:fldChar w:fldCharType="end"/>
      </w:r>
      <w:r w:rsidRPr="00EC2DBF">
        <w:rPr>
          <w:rFonts w:ascii="Times New Roman" w:hAnsi="Times New Roman"/>
          <w:sz w:val="26"/>
          <w:szCs w:val="26"/>
        </w:rPr>
        <w:t>).</w:t>
      </w:r>
    </w:p>
    <w:p w:rsidR="004616EA" w:rsidRPr="00475E67" w:rsidRDefault="004616EA" w:rsidP="006B532D">
      <w:pPr>
        <w:keepNext/>
        <w:jc w:val="center"/>
      </w:pPr>
      <w:r w:rsidRPr="00475E67">
        <w:object w:dxaOrig="5833" w:dyaOrig="3611">
          <v:shape id="_x0000_i1035" type="#_x0000_t75" style="width:288.6pt;height:180.6pt" o:ole="">
            <v:imagedata r:id="rId32" o:title=""/>
          </v:shape>
          <o:OLEObject Type="Embed" ProgID="Excel.Sheet.12" ShapeID="_x0000_i1035" DrawAspect="Content" ObjectID="_1509436645" r:id="rId33"/>
        </w:object>
      </w:r>
    </w:p>
    <w:p w:rsidR="004616EA" w:rsidRPr="00475E67" w:rsidRDefault="004616EA" w:rsidP="006B532D">
      <w:pPr>
        <w:pStyle w:val="af1"/>
        <w:jc w:val="center"/>
        <w:rPr>
          <w:rFonts w:ascii="Times New Roman" w:hAnsi="Times New Roman"/>
          <w:b w:val="0"/>
          <w:color w:val="auto"/>
          <w:sz w:val="24"/>
        </w:rPr>
      </w:pPr>
      <w:bookmarkStart w:id="30" w:name="_Ref397018759"/>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13</w:t>
      </w:r>
      <w:r w:rsidRPr="00475E67">
        <w:rPr>
          <w:rFonts w:ascii="Times New Roman" w:hAnsi="Times New Roman"/>
          <w:b w:val="0"/>
          <w:color w:val="auto"/>
          <w:sz w:val="24"/>
        </w:rPr>
        <w:fldChar w:fldCharType="end"/>
      </w:r>
      <w:bookmarkEnd w:id="30"/>
      <w:r w:rsidRPr="00475E67">
        <w:rPr>
          <w:rFonts w:ascii="Times New Roman" w:hAnsi="Times New Roman"/>
          <w:b w:val="0"/>
          <w:color w:val="auto"/>
          <w:sz w:val="24"/>
        </w:rPr>
        <w:t xml:space="preserve"> - Динамика оборота объема платных услуг населению</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Наиболее востребованными являются жилищно-коммунальные услуги, </w:t>
      </w:r>
      <w:r w:rsidRPr="00EC2DBF">
        <w:rPr>
          <w:rFonts w:ascii="Times New Roman" w:hAnsi="Times New Roman"/>
          <w:sz w:val="26"/>
          <w:szCs w:val="26"/>
        </w:rPr>
        <w:lastRenderedPageBreak/>
        <w:t>услуги связи и отдельные виды бытовых услуг, так как именно на них приходится порядка 80% от общего объема платных услуг.</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Стабильно развиваются услуги в сферах культуры, здравоохранения и образования.</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В условиях существующей конкуренции у предприятий, оказывающих </w:t>
      </w:r>
      <w:r w:rsidRPr="00EC2DBF">
        <w:rPr>
          <w:rFonts w:ascii="Times New Roman" w:hAnsi="Times New Roman"/>
          <w:sz w:val="26"/>
          <w:szCs w:val="26"/>
        </w:rPr>
        <w:lastRenderedPageBreak/>
        <w:t>услуги населению, на первом месте стоит качественное обслуживание и мастерство персонала. Особое внимание также уделяется совершенствованию технологических процессов (использование современного оборудования, технологий, качественных материалов и т.д.).</w:t>
      </w:r>
    </w:p>
    <w:p w:rsidR="004616EA" w:rsidRPr="00EC2DBF" w:rsidRDefault="004616EA" w:rsidP="00EC2DBF">
      <w:pPr>
        <w:keepNext/>
        <w:keepLines/>
        <w:spacing w:after="0" w:line="240" w:lineRule="auto"/>
        <w:ind w:firstLine="709"/>
        <w:jc w:val="both"/>
        <w:rPr>
          <w:rFonts w:ascii="Times New Roman" w:hAnsi="Times New Roman"/>
          <w:b/>
          <w:sz w:val="26"/>
          <w:szCs w:val="26"/>
        </w:rPr>
      </w:pPr>
      <w:r w:rsidRPr="00EC2DBF">
        <w:rPr>
          <w:rFonts w:ascii="Times New Roman" w:hAnsi="Times New Roman"/>
          <w:b/>
          <w:sz w:val="26"/>
          <w:szCs w:val="26"/>
        </w:rPr>
        <w:lastRenderedPageBreak/>
        <w:t>Слабые стороны</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1. Низкая обеспеченность населения торговыми объектами</w:t>
      </w:r>
    </w:p>
    <w:p w:rsidR="004616EA" w:rsidRPr="00EC2DBF" w:rsidRDefault="004616EA" w:rsidP="00EC2DBF">
      <w:pPr>
        <w:pStyle w:val="af5"/>
        <w:spacing w:before="0" w:beforeAutospacing="0" w:after="0" w:afterAutospacing="0"/>
        <w:ind w:firstLine="709"/>
        <w:jc w:val="both"/>
        <w:rPr>
          <w:sz w:val="26"/>
          <w:szCs w:val="26"/>
        </w:rPr>
      </w:pPr>
      <w:r w:rsidRPr="00EC2DBF">
        <w:rPr>
          <w:sz w:val="26"/>
          <w:szCs w:val="26"/>
        </w:rPr>
        <w:t xml:space="preserve">На территории городского округа расположено 107 стационарных предприятий розничной торговли, торговой площадью 21,8 тыс. кв. м, 22 мелкорозничных торговых предприятия (0,3 тыс. кв. м), 13 аптек (0,5 тыс. кв. м) </w:t>
      </w:r>
      <w:r w:rsidRPr="00EC2DBF">
        <w:rPr>
          <w:sz w:val="26"/>
          <w:szCs w:val="26"/>
        </w:rPr>
        <w:lastRenderedPageBreak/>
        <w:t>и торговый комплекс. Также в 2014 году были открыты два крупных торговых центра.</w:t>
      </w:r>
    </w:p>
    <w:p w:rsidR="004616EA" w:rsidRPr="00EC2DBF" w:rsidRDefault="004616EA" w:rsidP="00EC2DBF">
      <w:pPr>
        <w:pStyle w:val="af5"/>
        <w:spacing w:before="0" w:beforeAutospacing="0" w:after="0" w:afterAutospacing="0"/>
        <w:ind w:firstLine="709"/>
        <w:jc w:val="both"/>
        <w:rPr>
          <w:sz w:val="26"/>
          <w:szCs w:val="26"/>
        </w:rPr>
      </w:pPr>
      <w:r w:rsidRPr="00EC2DBF">
        <w:rPr>
          <w:sz w:val="26"/>
          <w:szCs w:val="26"/>
        </w:rPr>
        <w:t xml:space="preserve">Не смотря на значительное количество объектов торговли, обеспеченность населения площадью торговых объектов в городе Когалыме составляет лишь 454 кв. м на 1000 жителей. Полученное значение показателя на </w:t>
      </w:r>
      <w:r w:rsidRPr="00EC2DBF">
        <w:rPr>
          <w:sz w:val="26"/>
          <w:szCs w:val="26"/>
        </w:rPr>
        <w:lastRenderedPageBreak/>
        <w:t>29% меньше норматива минимальной обеспеченности площадью торговых объектов в городском округе. Также показатель не превышает норматив, установленный по Ханты-Мансийскому автономному округу – Югре – 564 кв. м на 1000 жителей.</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lastRenderedPageBreak/>
        <w:t>2. Низкое качество имеющейся материально-технической базы торговой деятельности</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Ввиду отсутствия на территории городского округа достаточного количества стационарных торговых объектов, имеющийся дефицит восполняется объектами некапитального строительства или временными объектами </w:t>
      </w:r>
      <w:r w:rsidRPr="00EC2DBF">
        <w:rPr>
          <w:rFonts w:ascii="Times New Roman" w:hAnsi="Times New Roman"/>
          <w:sz w:val="26"/>
          <w:szCs w:val="26"/>
        </w:rPr>
        <w:lastRenderedPageBreak/>
        <w:t>(палатки, павильоны, киоски), где обеспечить необходимое качество предоставления услуг достаточно сложно.</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3. Недостаточная развитость предприятий общественного питания</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Сеть предприятий общественного питания представлена 112 объектами </w:t>
      </w:r>
      <w:r w:rsidRPr="00EC2DBF">
        <w:rPr>
          <w:rFonts w:ascii="Times New Roman" w:hAnsi="Times New Roman"/>
          <w:sz w:val="26"/>
          <w:szCs w:val="26"/>
        </w:rPr>
        <w:lastRenderedPageBreak/>
        <w:t>общей мощностью 5,3 тыс. посадочных мест, из указанного количества только 43 предприятия являются общедоступными (общая мощность составляет 1,8 тыс. посадочных мест или 34%). К общедоступной сети предприятий общественного питания относятся рестораны, бары и кафе открытого типа (</w:t>
      </w:r>
      <w:r w:rsidR="001977F4">
        <w:fldChar w:fldCharType="begin"/>
      </w:r>
      <w:r w:rsidR="001977F4">
        <w:instrText xml:space="preserve"> REF _Ref401048046 \h  \* MERGEFORMAT </w:instrText>
      </w:r>
      <w:r w:rsidR="001977F4">
        <w:fldChar w:fldCharType="separate"/>
      </w:r>
      <w:r w:rsidR="001977F4" w:rsidRPr="00EC2DBF">
        <w:rPr>
          <w:rFonts w:ascii="Times New Roman" w:hAnsi="Times New Roman"/>
          <w:sz w:val="26"/>
          <w:szCs w:val="26"/>
        </w:rPr>
        <w:t xml:space="preserve">Таблица </w:t>
      </w:r>
      <w:r w:rsidR="001977F4" w:rsidRPr="001977F4">
        <w:rPr>
          <w:rFonts w:ascii="Times New Roman" w:hAnsi="Times New Roman"/>
          <w:sz w:val="26"/>
          <w:szCs w:val="26"/>
        </w:rPr>
        <w:t>2</w:t>
      </w:r>
      <w:r w:rsidR="001977F4">
        <w:fldChar w:fldCharType="end"/>
      </w:r>
      <w:r w:rsidRPr="00EC2DBF">
        <w:rPr>
          <w:rFonts w:ascii="Times New Roman" w:hAnsi="Times New Roman"/>
          <w:sz w:val="26"/>
          <w:szCs w:val="26"/>
        </w:rPr>
        <w:t>).</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lastRenderedPageBreak/>
        <w:t>Остальные объекты общественного питания функционируют при общеобразовательных организациях, городских предприятиях и предприятиях, расположенных на территории месторождениий: столовые, буфеты и закусочные.</w:t>
      </w:r>
    </w:p>
    <w:p w:rsidR="004616EA" w:rsidRPr="00EC2DBF" w:rsidRDefault="004616EA" w:rsidP="00EC2DBF">
      <w:pPr>
        <w:pStyle w:val="af1"/>
        <w:spacing w:after="0"/>
        <w:ind w:firstLine="709"/>
        <w:jc w:val="both"/>
        <w:rPr>
          <w:rFonts w:ascii="Times New Roman" w:hAnsi="Times New Roman"/>
          <w:b w:val="0"/>
          <w:color w:val="auto"/>
          <w:sz w:val="26"/>
          <w:szCs w:val="26"/>
        </w:rPr>
      </w:pPr>
      <w:bookmarkStart w:id="31" w:name="_Ref395874776"/>
      <w:bookmarkStart w:id="32" w:name="_Ref401048046"/>
      <w:r w:rsidRPr="00EC2DBF">
        <w:rPr>
          <w:rFonts w:ascii="Times New Roman" w:hAnsi="Times New Roman"/>
          <w:b w:val="0"/>
          <w:color w:val="auto"/>
          <w:sz w:val="26"/>
          <w:szCs w:val="26"/>
        </w:rPr>
        <w:lastRenderedPageBreak/>
        <w:t xml:space="preserve">Таблица </w:t>
      </w:r>
      <w:r w:rsidRPr="00EC2DBF">
        <w:rPr>
          <w:rFonts w:ascii="Times New Roman" w:hAnsi="Times New Roman"/>
          <w:b w:val="0"/>
          <w:color w:val="auto"/>
          <w:sz w:val="26"/>
          <w:szCs w:val="26"/>
        </w:rPr>
        <w:fldChar w:fldCharType="begin"/>
      </w:r>
      <w:r w:rsidRPr="00EC2DBF">
        <w:rPr>
          <w:rFonts w:ascii="Times New Roman" w:hAnsi="Times New Roman"/>
          <w:b w:val="0"/>
          <w:color w:val="auto"/>
          <w:sz w:val="26"/>
          <w:szCs w:val="26"/>
        </w:rPr>
        <w:instrText xml:space="preserve"> SEQ Таблица \* ARABIC </w:instrText>
      </w:r>
      <w:r w:rsidRPr="00EC2DBF">
        <w:rPr>
          <w:rFonts w:ascii="Times New Roman" w:hAnsi="Times New Roman"/>
          <w:b w:val="0"/>
          <w:color w:val="auto"/>
          <w:sz w:val="26"/>
          <w:szCs w:val="26"/>
        </w:rPr>
        <w:fldChar w:fldCharType="separate"/>
      </w:r>
      <w:r w:rsidR="001977F4">
        <w:rPr>
          <w:rFonts w:ascii="Times New Roman" w:hAnsi="Times New Roman"/>
          <w:b w:val="0"/>
          <w:noProof/>
          <w:color w:val="auto"/>
          <w:sz w:val="26"/>
          <w:szCs w:val="26"/>
        </w:rPr>
        <w:t>2</w:t>
      </w:r>
      <w:r w:rsidRPr="00EC2DBF">
        <w:rPr>
          <w:rFonts w:ascii="Times New Roman" w:hAnsi="Times New Roman"/>
          <w:b w:val="0"/>
          <w:color w:val="auto"/>
          <w:sz w:val="26"/>
          <w:szCs w:val="26"/>
        </w:rPr>
        <w:fldChar w:fldCharType="end"/>
      </w:r>
      <w:bookmarkEnd w:id="31"/>
      <w:bookmarkEnd w:id="32"/>
      <w:r w:rsidRPr="00EC2DBF">
        <w:rPr>
          <w:rFonts w:ascii="Times New Roman" w:hAnsi="Times New Roman"/>
          <w:b w:val="0"/>
          <w:color w:val="auto"/>
          <w:sz w:val="26"/>
          <w:szCs w:val="26"/>
        </w:rPr>
        <w:t xml:space="preserve"> - Сеть предприятий общественного питания городского округа город Когалым</w:t>
      </w:r>
    </w:p>
    <w:tbl>
      <w:tblPr>
        <w:tblW w:w="5000" w:type="pct"/>
        <w:jc w:val="center"/>
        <w:tblLook w:val="00A0" w:firstRow="1" w:lastRow="0" w:firstColumn="1" w:lastColumn="0" w:noHBand="0" w:noVBand="0"/>
      </w:tblPr>
      <w:tblGrid>
        <w:gridCol w:w="1573"/>
        <w:gridCol w:w="1076"/>
        <w:gridCol w:w="1017"/>
        <w:gridCol w:w="989"/>
        <w:gridCol w:w="742"/>
        <w:gridCol w:w="989"/>
        <w:gridCol w:w="816"/>
        <w:gridCol w:w="989"/>
        <w:gridCol w:w="812"/>
      </w:tblGrid>
      <w:tr w:rsidR="004616EA" w:rsidRPr="00475E67" w:rsidTr="00EC2DBF">
        <w:trPr>
          <w:trHeight w:val="300"/>
          <w:jc w:val="center"/>
        </w:trPr>
        <w:tc>
          <w:tcPr>
            <w:tcW w:w="874" w:type="pct"/>
            <w:vMerge w:val="restart"/>
            <w:tcBorders>
              <w:top w:val="single" w:sz="4" w:space="0" w:color="auto"/>
              <w:left w:val="single" w:sz="4" w:space="0" w:color="auto"/>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Наименование</w:t>
            </w:r>
          </w:p>
        </w:tc>
        <w:tc>
          <w:tcPr>
            <w:tcW w:w="1163" w:type="pct"/>
            <w:gridSpan w:val="2"/>
            <w:vMerge w:val="restart"/>
            <w:tcBorders>
              <w:top w:val="single" w:sz="4" w:space="0" w:color="auto"/>
              <w:left w:val="single" w:sz="4" w:space="0" w:color="auto"/>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Всего предприятий общественного питания</w:t>
            </w:r>
          </w:p>
        </w:tc>
        <w:tc>
          <w:tcPr>
            <w:tcW w:w="2963" w:type="pct"/>
            <w:gridSpan w:val="6"/>
            <w:tcBorders>
              <w:top w:val="single" w:sz="4" w:space="0" w:color="auto"/>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в том числе</w:t>
            </w:r>
          </w:p>
        </w:tc>
      </w:tr>
      <w:tr w:rsidR="004616EA" w:rsidRPr="00475E67" w:rsidTr="00EC2DBF">
        <w:trPr>
          <w:trHeight w:val="600"/>
          <w:jc w:val="center"/>
        </w:trPr>
        <w:tc>
          <w:tcPr>
            <w:tcW w:w="874" w:type="pct"/>
            <w:vMerge/>
            <w:tcBorders>
              <w:top w:val="single" w:sz="4" w:space="0" w:color="auto"/>
              <w:left w:val="single" w:sz="4" w:space="0" w:color="auto"/>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p>
        </w:tc>
        <w:tc>
          <w:tcPr>
            <w:tcW w:w="1163" w:type="pct"/>
            <w:gridSpan w:val="2"/>
            <w:vMerge/>
            <w:tcBorders>
              <w:top w:val="single" w:sz="4" w:space="0" w:color="auto"/>
              <w:left w:val="single" w:sz="4" w:space="0" w:color="auto"/>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p>
        </w:tc>
        <w:tc>
          <w:tcPr>
            <w:tcW w:w="961" w:type="pct"/>
            <w:gridSpan w:val="2"/>
            <w:tcBorders>
              <w:top w:val="single" w:sz="4" w:space="0" w:color="auto"/>
              <w:left w:val="nil"/>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общедоступная сеть</w:t>
            </w:r>
          </w:p>
        </w:tc>
        <w:tc>
          <w:tcPr>
            <w:tcW w:w="1002" w:type="pct"/>
            <w:gridSpan w:val="2"/>
            <w:tcBorders>
              <w:top w:val="single" w:sz="4" w:space="0" w:color="auto"/>
              <w:left w:val="nil"/>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при предприятиях и учреждениях</w:t>
            </w:r>
          </w:p>
        </w:tc>
        <w:tc>
          <w:tcPr>
            <w:tcW w:w="1000" w:type="pct"/>
            <w:gridSpan w:val="2"/>
            <w:tcBorders>
              <w:top w:val="single" w:sz="4" w:space="0" w:color="auto"/>
              <w:left w:val="nil"/>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при учебных заведениях</w:t>
            </w:r>
          </w:p>
        </w:tc>
      </w:tr>
      <w:tr w:rsidR="004616EA" w:rsidRPr="00475E67" w:rsidTr="00EC2DBF">
        <w:trPr>
          <w:trHeight w:val="600"/>
          <w:jc w:val="center"/>
        </w:trPr>
        <w:tc>
          <w:tcPr>
            <w:tcW w:w="874" w:type="pct"/>
            <w:vMerge/>
            <w:tcBorders>
              <w:top w:val="single" w:sz="4" w:space="0" w:color="auto"/>
              <w:left w:val="single" w:sz="4" w:space="0" w:color="auto"/>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p>
        </w:tc>
        <w:tc>
          <w:tcPr>
            <w:tcW w:w="598" w:type="pct"/>
            <w:tcBorders>
              <w:top w:val="nil"/>
              <w:left w:val="nil"/>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объектов</w:t>
            </w:r>
          </w:p>
        </w:tc>
        <w:tc>
          <w:tcPr>
            <w:tcW w:w="565" w:type="pct"/>
            <w:tcBorders>
              <w:top w:val="nil"/>
              <w:left w:val="nil"/>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w:t>
            </w:r>
          </w:p>
        </w:tc>
        <w:tc>
          <w:tcPr>
            <w:tcW w:w="549" w:type="pct"/>
            <w:tcBorders>
              <w:top w:val="nil"/>
              <w:left w:val="nil"/>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объектов</w:t>
            </w:r>
          </w:p>
        </w:tc>
        <w:tc>
          <w:tcPr>
            <w:tcW w:w="412" w:type="pct"/>
            <w:tcBorders>
              <w:top w:val="nil"/>
              <w:left w:val="nil"/>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w:t>
            </w:r>
          </w:p>
        </w:tc>
        <w:tc>
          <w:tcPr>
            <w:tcW w:w="549" w:type="pct"/>
            <w:tcBorders>
              <w:top w:val="nil"/>
              <w:left w:val="nil"/>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объектов</w:t>
            </w:r>
          </w:p>
        </w:tc>
        <w:tc>
          <w:tcPr>
            <w:tcW w:w="453" w:type="pct"/>
            <w:tcBorders>
              <w:top w:val="nil"/>
              <w:left w:val="nil"/>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w:t>
            </w:r>
          </w:p>
        </w:tc>
        <w:tc>
          <w:tcPr>
            <w:tcW w:w="549" w:type="pct"/>
            <w:tcBorders>
              <w:top w:val="nil"/>
              <w:left w:val="nil"/>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объектов</w:t>
            </w:r>
          </w:p>
        </w:tc>
        <w:tc>
          <w:tcPr>
            <w:tcW w:w="451" w:type="pct"/>
            <w:tcBorders>
              <w:top w:val="nil"/>
              <w:left w:val="nil"/>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w:t>
            </w:r>
          </w:p>
        </w:tc>
      </w:tr>
      <w:tr w:rsidR="004616EA" w:rsidRPr="00475E67" w:rsidTr="00EC2DBF">
        <w:trPr>
          <w:trHeight w:val="300"/>
          <w:jc w:val="center"/>
        </w:trPr>
        <w:tc>
          <w:tcPr>
            <w:tcW w:w="874" w:type="pct"/>
            <w:tcBorders>
              <w:top w:val="single" w:sz="4" w:space="0" w:color="auto"/>
              <w:left w:val="single" w:sz="4" w:space="0" w:color="auto"/>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Рестораны</w:t>
            </w:r>
          </w:p>
        </w:tc>
        <w:tc>
          <w:tcPr>
            <w:tcW w:w="598"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w:t>
            </w:r>
          </w:p>
        </w:tc>
        <w:tc>
          <w:tcPr>
            <w:tcW w:w="565"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248</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w:t>
            </w:r>
          </w:p>
        </w:tc>
        <w:tc>
          <w:tcPr>
            <w:tcW w:w="412"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248</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453"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451"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r>
      <w:tr w:rsidR="004616EA" w:rsidRPr="00475E67" w:rsidTr="00EC2DBF">
        <w:trPr>
          <w:trHeight w:val="300"/>
          <w:jc w:val="center"/>
        </w:trPr>
        <w:tc>
          <w:tcPr>
            <w:tcW w:w="874" w:type="pct"/>
            <w:tcBorders>
              <w:top w:val="nil"/>
              <w:left w:val="single" w:sz="4" w:space="0" w:color="auto"/>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Кафе</w:t>
            </w:r>
          </w:p>
        </w:tc>
        <w:tc>
          <w:tcPr>
            <w:tcW w:w="598"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17</w:t>
            </w:r>
          </w:p>
        </w:tc>
        <w:tc>
          <w:tcPr>
            <w:tcW w:w="565"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614</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17</w:t>
            </w:r>
          </w:p>
        </w:tc>
        <w:tc>
          <w:tcPr>
            <w:tcW w:w="412"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614</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453"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451"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r>
      <w:tr w:rsidR="004616EA" w:rsidRPr="00475E67" w:rsidTr="00EC2DBF">
        <w:trPr>
          <w:trHeight w:val="300"/>
          <w:jc w:val="center"/>
        </w:trPr>
        <w:tc>
          <w:tcPr>
            <w:tcW w:w="874" w:type="pct"/>
            <w:tcBorders>
              <w:top w:val="nil"/>
              <w:left w:val="single" w:sz="4" w:space="0" w:color="auto"/>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Бары</w:t>
            </w:r>
          </w:p>
        </w:tc>
        <w:tc>
          <w:tcPr>
            <w:tcW w:w="598"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11</w:t>
            </w:r>
          </w:p>
        </w:tc>
        <w:tc>
          <w:tcPr>
            <w:tcW w:w="565"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511</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11</w:t>
            </w:r>
          </w:p>
        </w:tc>
        <w:tc>
          <w:tcPr>
            <w:tcW w:w="412"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511</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453"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451"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r>
      <w:tr w:rsidR="004616EA" w:rsidRPr="00475E67" w:rsidTr="00EC2DBF">
        <w:trPr>
          <w:trHeight w:val="300"/>
          <w:jc w:val="center"/>
        </w:trPr>
        <w:tc>
          <w:tcPr>
            <w:tcW w:w="874" w:type="pct"/>
            <w:tcBorders>
              <w:top w:val="nil"/>
              <w:left w:val="single" w:sz="4" w:space="0" w:color="auto"/>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Буфет</w:t>
            </w:r>
          </w:p>
        </w:tc>
        <w:tc>
          <w:tcPr>
            <w:tcW w:w="598"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16</w:t>
            </w:r>
          </w:p>
        </w:tc>
        <w:tc>
          <w:tcPr>
            <w:tcW w:w="565"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199</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4</w:t>
            </w:r>
          </w:p>
        </w:tc>
        <w:tc>
          <w:tcPr>
            <w:tcW w:w="412"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9</w:t>
            </w:r>
          </w:p>
        </w:tc>
        <w:tc>
          <w:tcPr>
            <w:tcW w:w="453"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140</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3</w:t>
            </w:r>
          </w:p>
        </w:tc>
        <w:tc>
          <w:tcPr>
            <w:tcW w:w="451"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59</w:t>
            </w:r>
          </w:p>
        </w:tc>
      </w:tr>
      <w:tr w:rsidR="004616EA" w:rsidRPr="00475E67" w:rsidTr="00EC2DBF">
        <w:trPr>
          <w:trHeight w:val="300"/>
          <w:jc w:val="center"/>
        </w:trPr>
        <w:tc>
          <w:tcPr>
            <w:tcW w:w="874" w:type="pct"/>
            <w:tcBorders>
              <w:top w:val="nil"/>
              <w:left w:val="single" w:sz="4" w:space="0" w:color="auto"/>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Закусочные</w:t>
            </w:r>
          </w:p>
        </w:tc>
        <w:tc>
          <w:tcPr>
            <w:tcW w:w="598"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5</w:t>
            </w:r>
          </w:p>
        </w:tc>
        <w:tc>
          <w:tcPr>
            <w:tcW w:w="565"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130</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4</w:t>
            </w:r>
          </w:p>
        </w:tc>
        <w:tc>
          <w:tcPr>
            <w:tcW w:w="412"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110</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w:t>
            </w:r>
          </w:p>
        </w:tc>
        <w:tc>
          <w:tcPr>
            <w:tcW w:w="453"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20</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451"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r>
      <w:tr w:rsidR="004616EA" w:rsidRPr="00475E67" w:rsidTr="00EC2DBF">
        <w:trPr>
          <w:trHeight w:val="300"/>
          <w:jc w:val="center"/>
        </w:trPr>
        <w:tc>
          <w:tcPr>
            <w:tcW w:w="874" w:type="pct"/>
            <w:tcBorders>
              <w:top w:val="nil"/>
              <w:left w:val="single" w:sz="4" w:space="0" w:color="auto"/>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Столовые</w:t>
            </w:r>
          </w:p>
        </w:tc>
        <w:tc>
          <w:tcPr>
            <w:tcW w:w="598"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57</w:t>
            </w:r>
          </w:p>
        </w:tc>
        <w:tc>
          <w:tcPr>
            <w:tcW w:w="565"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3644</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5</w:t>
            </w:r>
          </w:p>
        </w:tc>
        <w:tc>
          <w:tcPr>
            <w:tcW w:w="412"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346</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43</w:t>
            </w:r>
          </w:p>
        </w:tc>
        <w:tc>
          <w:tcPr>
            <w:tcW w:w="453"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1709</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9</w:t>
            </w:r>
          </w:p>
        </w:tc>
        <w:tc>
          <w:tcPr>
            <w:tcW w:w="451"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1589</w:t>
            </w:r>
          </w:p>
        </w:tc>
      </w:tr>
      <w:tr w:rsidR="004616EA" w:rsidRPr="00475E67" w:rsidTr="00EC2DBF">
        <w:trPr>
          <w:trHeight w:val="300"/>
          <w:jc w:val="center"/>
        </w:trPr>
        <w:tc>
          <w:tcPr>
            <w:tcW w:w="874" w:type="pct"/>
            <w:tcBorders>
              <w:top w:val="nil"/>
              <w:left w:val="single" w:sz="4" w:space="0" w:color="auto"/>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Прочее</w:t>
            </w:r>
          </w:p>
        </w:tc>
        <w:tc>
          <w:tcPr>
            <w:tcW w:w="598"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4</w:t>
            </w:r>
          </w:p>
        </w:tc>
        <w:tc>
          <w:tcPr>
            <w:tcW w:w="565"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4</w:t>
            </w:r>
          </w:p>
        </w:tc>
        <w:tc>
          <w:tcPr>
            <w:tcW w:w="412"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453"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451"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r>
      <w:tr w:rsidR="004616EA" w:rsidRPr="00475E67" w:rsidTr="00EC2DBF">
        <w:trPr>
          <w:trHeight w:val="300"/>
          <w:jc w:val="center"/>
        </w:trPr>
        <w:tc>
          <w:tcPr>
            <w:tcW w:w="874" w:type="pct"/>
            <w:tcBorders>
              <w:top w:val="nil"/>
              <w:left w:val="single" w:sz="4" w:space="0" w:color="auto"/>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b/>
                <w:bCs/>
                <w:sz w:val="20"/>
                <w:szCs w:val="20"/>
                <w:lang w:eastAsia="ru-RU"/>
              </w:rPr>
            </w:pPr>
            <w:r w:rsidRPr="00475E67">
              <w:rPr>
                <w:rFonts w:ascii="Times New Roman" w:hAnsi="Times New Roman"/>
                <w:b/>
                <w:bCs/>
                <w:sz w:val="20"/>
                <w:szCs w:val="20"/>
                <w:lang w:eastAsia="ru-RU"/>
              </w:rPr>
              <w:t>Итого</w:t>
            </w:r>
          </w:p>
        </w:tc>
        <w:tc>
          <w:tcPr>
            <w:tcW w:w="598"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b/>
                <w:bCs/>
                <w:sz w:val="20"/>
                <w:szCs w:val="20"/>
                <w:lang w:eastAsia="ru-RU"/>
              </w:rPr>
            </w:pPr>
            <w:r w:rsidRPr="00475E67">
              <w:rPr>
                <w:rFonts w:ascii="Times New Roman" w:hAnsi="Times New Roman"/>
                <w:b/>
                <w:bCs/>
                <w:sz w:val="20"/>
                <w:szCs w:val="20"/>
                <w:lang w:eastAsia="ru-RU"/>
              </w:rPr>
              <w:t>112</w:t>
            </w:r>
          </w:p>
        </w:tc>
        <w:tc>
          <w:tcPr>
            <w:tcW w:w="565"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b/>
                <w:bCs/>
                <w:sz w:val="20"/>
                <w:szCs w:val="20"/>
                <w:lang w:eastAsia="ru-RU"/>
              </w:rPr>
            </w:pPr>
            <w:r w:rsidRPr="00475E67">
              <w:rPr>
                <w:rFonts w:ascii="Times New Roman" w:hAnsi="Times New Roman"/>
                <w:b/>
                <w:bCs/>
                <w:sz w:val="20"/>
                <w:szCs w:val="20"/>
                <w:lang w:eastAsia="ru-RU"/>
              </w:rPr>
              <w:t>5346</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b/>
                <w:bCs/>
                <w:sz w:val="20"/>
                <w:szCs w:val="20"/>
                <w:lang w:eastAsia="ru-RU"/>
              </w:rPr>
            </w:pPr>
            <w:r w:rsidRPr="00475E67">
              <w:rPr>
                <w:rFonts w:ascii="Times New Roman" w:hAnsi="Times New Roman"/>
                <w:b/>
                <w:bCs/>
                <w:sz w:val="20"/>
                <w:szCs w:val="20"/>
                <w:lang w:eastAsia="ru-RU"/>
              </w:rPr>
              <w:t>43</w:t>
            </w:r>
          </w:p>
        </w:tc>
        <w:tc>
          <w:tcPr>
            <w:tcW w:w="412"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b/>
                <w:bCs/>
                <w:sz w:val="20"/>
                <w:szCs w:val="20"/>
                <w:lang w:eastAsia="ru-RU"/>
              </w:rPr>
            </w:pPr>
            <w:r w:rsidRPr="00475E67">
              <w:rPr>
                <w:rFonts w:ascii="Times New Roman" w:hAnsi="Times New Roman"/>
                <w:b/>
                <w:bCs/>
                <w:sz w:val="20"/>
                <w:szCs w:val="20"/>
                <w:lang w:eastAsia="ru-RU"/>
              </w:rPr>
              <w:t>1829</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b/>
                <w:bCs/>
                <w:sz w:val="20"/>
                <w:szCs w:val="20"/>
                <w:lang w:eastAsia="ru-RU"/>
              </w:rPr>
            </w:pPr>
            <w:r w:rsidRPr="00475E67">
              <w:rPr>
                <w:rFonts w:ascii="Times New Roman" w:hAnsi="Times New Roman"/>
                <w:b/>
                <w:bCs/>
                <w:sz w:val="20"/>
                <w:szCs w:val="20"/>
                <w:lang w:eastAsia="ru-RU"/>
              </w:rPr>
              <w:t>53</w:t>
            </w:r>
          </w:p>
        </w:tc>
        <w:tc>
          <w:tcPr>
            <w:tcW w:w="453"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b/>
                <w:bCs/>
                <w:sz w:val="20"/>
                <w:szCs w:val="20"/>
                <w:lang w:eastAsia="ru-RU"/>
              </w:rPr>
            </w:pPr>
            <w:r w:rsidRPr="00475E67">
              <w:rPr>
                <w:rFonts w:ascii="Times New Roman" w:hAnsi="Times New Roman"/>
                <w:b/>
                <w:bCs/>
                <w:sz w:val="20"/>
                <w:szCs w:val="20"/>
                <w:lang w:eastAsia="ru-RU"/>
              </w:rPr>
              <w:t>1869</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b/>
                <w:bCs/>
                <w:sz w:val="20"/>
                <w:szCs w:val="20"/>
                <w:lang w:eastAsia="ru-RU"/>
              </w:rPr>
            </w:pPr>
            <w:r w:rsidRPr="00475E67">
              <w:rPr>
                <w:rFonts w:ascii="Times New Roman" w:hAnsi="Times New Roman"/>
                <w:b/>
                <w:bCs/>
                <w:sz w:val="20"/>
                <w:szCs w:val="20"/>
                <w:lang w:eastAsia="ru-RU"/>
              </w:rPr>
              <w:t>12</w:t>
            </w:r>
          </w:p>
        </w:tc>
        <w:tc>
          <w:tcPr>
            <w:tcW w:w="451"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b/>
                <w:bCs/>
                <w:sz w:val="20"/>
                <w:szCs w:val="20"/>
                <w:lang w:eastAsia="ru-RU"/>
              </w:rPr>
            </w:pPr>
            <w:r w:rsidRPr="00475E67">
              <w:rPr>
                <w:rFonts w:ascii="Times New Roman" w:hAnsi="Times New Roman"/>
                <w:b/>
                <w:bCs/>
                <w:sz w:val="20"/>
                <w:szCs w:val="20"/>
                <w:lang w:eastAsia="ru-RU"/>
              </w:rPr>
              <w:t>1648</w:t>
            </w:r>
          </w:p>
        </w:tc>
      </w:tr>
    </w:tbl>
    <w:p w:rsidR="004616EA" w:rsidRPr="00475E67" w:rsidRDefault="004616EA" w:rsidP="007D5647">
      <w:pPr>
        <w:spacing w:after="0" w:line="240" w:lineRule="auto"/>
        <w:ind w:firstLine="709"/>
        <w:jc w:val="both"/>
        <w:rPr>
          <w:rFonts w:ascii="Times New Roman" w:hAnsi="Times New Roman"/>
          <w:sz w:val="24"/>
          <w:szCs w:val="24"/>
        </w:rPr>
      </w:pPr>
    </w:p>
    <w:p w:rsidR="004616EA" w:rsidRPr="00EC2DBF" w:rsidRDefault="004616EA" w:rsidP="00EC2DBF">
      <w:pPr>
        <w:spacing w:after="0" w:line="240" w:lineRule="auto"/>
        <w:ind w:firstLine="709"/>
        <w:jc w:val="both"/>
        <w:rPr>
          <w:rFonts w:ascii="Times New Roman" w:hAnsi="Times New Roman"/>
          <w:b/>
          <w:sz w:val="26"/>
          <w:szCs w:val="26"/>
        </w:rPr>
      </w:pPr>
      <w:r w:rsidRPr="00EC2DBF">
        <w:rPr>
          <w:rFonts w:ascii="Times New Roman" w:hAnsi="Times New Roman"/>
          <w:b/>
          <w:sz w:val="26"/>
          <w:szCs w:val="26"/>
        </w:rPr>
        <w:lastRenderedPageBreak/>
        <w:t>Возможности</w:t>
      </w:r>
    </w:p>
    <w:p w:rsidR="004616EA" w:rsidRPr="00EC2DBF" w:rsidRDefault="004616EA" w:rsidP="00EC2DBF">
      <w:pPr>
        <w:pStyle w:val="a7"/>
        <w:numPr>
          <w:ilvl w:val="0"/>
          <w:numId w:val="30"/>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расширение, обновление и углубление ассортиментного перечня товаров;</w:t>
      </w:r>
    </w:p>
    <w:p w:rsidR="004616EA" w:rsidRPr="00EC2DBF" w:rsidRDefault="004616EA" w:rsidP="00EC2DBF">
      <w:pPr>
        <w:pStyle w:val="a7"/>
        <w:numPr>
          <w:ilvl w:val="0"/>
          <w:numId w:val="30"/>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 xml:space="preserve">увеличение количества объектов, дающих возможность потребителю удовлетворить несколько потребностей за одно посещение: отдых с </w:t>
      </w:r>
      <w:r w:rsidRPr="00EC2DBF">
        <w:rPr>
          <w:rFonts w:ascii="Times New Roman" w:hAnsi="Times New Roman"/>
          <w:sz w:val="26"/>
          <w:szCs w:val="26"/>
        </w:rPr>
        <w:lastRenderedPageBreak/>
        <w:t>детьми, развлечения, приобретение товаров и т.п.;</w:t>
      </w:r>
    </w:p>
    <w:p w:rsidR="004616EA" w:rsidRPr="00EC2DBF" w:rsidRDefault="004616EA" w:rsidP="00EC2DBF">
      <w:pPr>
        <w:pStyle w:val="a7"/>
        <w:numPr>
          <w:ilvl w:val="0"/>
          <w:numId w:val="30"/>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совершенствование системы регулирования потребительской сферы;</w:t>
      </w:r>
    </w:p>
    <w:p w:rsidR="004616EA" w:rsidRPr="00EC2DBF" w:rsidRDefault="004616EA" w:rsidP="00EC2DBF">
      <w:pPr>
        <w:pStyle w:val="a7"/>
        <w:numPr>
          <w:ilvl w:val="0"/>
          <w:numId w:val="30"/>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привлечение трудоспособного населения, молодежи к осуществлению предпринимательской деятельности в городском округе.</w:t>
      </w:r>
    </w:p>
    <w:p w:rsidR="004616EA" w:rsidRPr="00EC2DBF" w:rsidRDefault="004616EA" w:rsidP="00EC2DBF">
      <w:pPr>
        <w:spacing w:after="0" w:line="240" w:lineRule="auto"/>
        <w:ind w:firstLine="709"/>
        <w:jc w:val="both"/>
        <w:rPr>
          <w:rFonts w:ascii="Times New Roman" w:hAnsi="Times New Roman"/>
          <w:b/>
          <w:sz w:val="26"/>
          <w:szCs w:val="26"/>
        </w:rPr>
      </w:pPr>
      <w:r w:rsidRPr="00EC2DBF">
        <w:rPr>
          <w:rFonts w:ascii="Times New Roman" w:hAnsi="Times New Roman"/>
          <w:b/>
          <w:sz w:val="26"/>
          <w:szCs w:val="26"/>
        </w:rPr>
        <w:t>Угрозы</w:t>
      </w:r>
    </w:p>
    <w:p w:rsidR="004616EA" w:rsidRPr="00EC2DBF" w:rsidRDefault="004616EA" w:rsidP="00EC2DBF">
      <w:pPr>
        <w:pStyle w:val="a7"/>
        <w:numPr>
          <w:ilvl w:val="0"/>
          <w:numId w:val="31"/>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lastRenderedPageBreak/>
        <w:t>высокая арендная плата торговых площадей;</w:t>
      </w:r>
    </w:p>
    <w:p w:rsidR="004616EA" w:rsidRPr="00EC2DBF" w:rsidRDefault="004616EA" w:rsidP="00EC2DBF">
      <w:pPr>
        <w:pStyle w:val="a7"/>
        <w:numPr>
          <w:ilvl w:val="0"/>
          <w:numId w:val="31"/>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колебания и непредсказуемый рост цен на товары в розничной торговле;</w:t>
      </w:r>
    </w:p>
    <w:p w:rsidR="004616EA" w:rsidRPr="00EC2DBF" w:rsidRDefault="004616EA" w:rsidP="00EC2DBF">
      <w:pPr>
        <w:pStyle w:val="a7"/>
        <w:numPr>
          <w:ilvl w:val="0"/>
          <w:numId w:val="31"/>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 xml:space="preserve">недоступность финансово-кредитных ресурсов, необходимых для </w:t>
      </w:r>
      <w:r w:rsidRPr="00EC2DBF">
        <w:rPr>
          <w:rFonts w:ascii="Times New Roman" w:hAnsi="Times New Roman"/>
          <w:sz w:val="26"/>
          <w:szCs w:val="26"/>
        </w:rPr>
        <w:lastRenderedPageBreak/>
        <w:t>создания и развития малого предпринимательства, ввиду высоких процентных ставок;</w:t>
      </w:r>
    </w:p>
    <w:p w:rsidR="004616EA" w:rsidRPr="00EC2DBF" w:rsidRDefault="004616EA" w:rsidP="00EC2DBF">
      <w:pPr>
        <w:pStyle w:val="a7"/>
        <w:numPr>
          <w:ilvl w:val="0"/>
          <w:numId w:val="31"/>
        </w:numPr>
        <w:spacing w:after="0" w:line="240" w:lineRule="auto"/>
        <w:ind w:left="0" w:firstLine="709"/>
        <w:contextualSpacing w:val="0"/>
        <w:jc w:val="both"/>
        <w:rPr>
          <w:sz w:val="26"/>
          <w:szCs w:val="26"/>
        </w:rPr>
      </w:pPr>
      <w:r w:rsidRPr="00EC2DBF">
        <w:rPr>
          <w:rFonts w:ascii="Times New Roman" w:hAnsi="Times New Roman"/>
          <w:sz w:val="26"/>
          <w:szCs w:val="26"/>
        </w:rPr>
        <w:t>развитие дистанционной торговли (торговля через Интернет).</w:t>
      </w:r>
    </w:p>
    <w:p w:rsidR="004616EA" w:rsidRPr="00EC2DBF" w:rsidRDefault="004616EA" w:rsidP="00EC2DBF">
      <w:pPr>
        <w:pStyle w:val="a7"/>
        <w:spacing w:after="0" w:line="240" w:lineRule="auto"/>
        <w:ind w:left="0" w:firstLine="709"/>
        <w:contextualSpacing w:val="0"/>
        <w:jc w:val="both"/>
        <w:rPr>
          <w:sz w:val="26"/>
          <w:szCs w:val="26"/>
        </w:rPr>
      </w:pPr>
    </w:p>
    <w:p w:rsidR="004616EA" w:rsidRPr="00EC2DBF" w:rsidRDefault="004616EA" w:rsidP="00EC2DBF">
      <w:pPr>
        <w:pStyle w:val="3"/>
        <w:spacing w:line="240" w:lineRule="auto"/>
        <w:ind w:firstLine="709"/>
        <w:rPr>
          <w:sz w:val="26"/>
        </w:rPr>
      </w:pPr>
      <w:bookmarkStart w:id="33" w:name="_Toc387238992"/>
      <w:bookmarkStart w:id="34" w:name="_Toc405805488"/>
      <w:r w:rsidRPr="00EC2DBF">
        <w:rPr>
          <w:sz w:val="26"/>
        </w:rPr>
        <w:lastRenderedPageBreak/>
        <w:t>2.5 Уровень развития жилищной сферы и социальной инфраструктуры</w:t>
      </w:r>
      <w:bookmarkEnd w:id="33"/>
      <w:bookmarkEnd w:id="34"/>
      <w:r w:rsidRPr="00EC2DBF">
        <w:rPr>
          <w:sz w:val="26"/>
        </w:rPr>
        <w:t xml:space="preserve"> </w:t>
      </w:r>
    </w:p>
    <w:p w:rsidR="004616EA" w:rsidRPr="00EC2DBF" w:rsidRDefault="004616EA" w:rsidP="00EC2DBF">
      <w:pPr>
        <w:pStyle w:val="3"/>
        <w:spacing w:line="240" w:lineRule="auto"/>
        <w:ind w:firstLine="709"/>
        <w:rPr>
          <w:sz w:val="26"/>
        </w:rPr>
      </w:pPr>
      <w:bookmarkStart w:id="35" w:name="_Toc387238993"/>
      <w:bookmarkStart w:id="36" w:name="_Toc405805489"/>
      <w:r w:rsidRPr="00EC2DBF">
        <w:rPr>
          <w:sz w:val="26"/>
        </w:rPr>
        <w:t>2.5.1 Уровень развития жилищной сферы</w:t>
      </w:r>
      <w:bookmarkEnd w:id="35"/>
      <w:bookmarkEnd w:id="36"/>
      <w:r w:rsidRPr="00EC2DBF">
        <w:rPr>
          <w:sz w:val="26"/>
        </w:rPr>
        <w:t xml:space="preserve"> </w:t>
      </w:r>
    </w:p>
    <w:p w:rsidR="004616EA" w:rsidRPr="00EC2DBF" w:rsidRDefault="004616EA" w:rsidP="00EC2DBF">
      <w:pPr>
        <w:pStyle w:val="ab"/>
        <w:spacing w:before="0" w:after="0"/>
        <w:ind w:firstLine="709"/>
        <w:rPr>
          <w:sz w:val="26"/>
          <w:szCs w:val="26"/>
        </w:rPr>
      </w:pPr>
      <w:r w:rsidRPr="00EC2DBF">
        <w:rPr>
          <w:sz w:val="26"/>
          <w:szCs w:val="26"/>
        </w:rPr>
        <w:t xml:space="preserve">Жилищная сфера всегда имела и имеет огромную значимость в жизни людей, в которой соприкасаются интересы разных сторон – государства, </w:t>
      </w:r>
      <w:r w:rsidRPr="00EC2DBF">
        <w:rPr>
          <w:sz w:val="26"/>
          <w:szCs w:val="26"/>
        </w:rPr>
        <w:lastRenderedPageBreak/>
        <w:t xml:space="preserve">населения и бизнеса. Одним из важнейших направлений социально-экономических преобразований в муниципальном образовании является развитие жилищной сферы, создающей необходимые условия для проживания и жизнедеятельности человека. </w:t>
      </w:r>
    </w:p>
    <w:p w:rsidR="004616EA" w:rsidRPr="00EC2DBF" w:rsidRDefault="004616EA" w:rsidP="00EC2DBF">
      <w:pPr>
        <w:pStyle w:val="ab"/>
        <w:spacing w:before="0" w:after="0"/>
        <w:ind w:firstLine="709"/>
        <w:rPr>
          <w:sz w:val="26"/>
          <w:szCs w:val="26"/>
        </w:rPr>
      </w:pPr>
      <w:r w:rsidRPr="00EC2DBF">
        <w:rPr>
          <w:sz w:val="26"/>
          <w:szCs w:val="26"/>
        </w:rPr>
        <w:t xml:space="preserve">В результате проведенного анализа уровня развития жилищной сферы г. </w:t>
      </w:r>
      <w:r w:rsidRPr="00EC2DBF">
        <w:rPr>
          <w:sz w:val="26"/>
          <w:szCs w:val="26"/>
        </w:rPr>
        <w:lastRenderedPageBreak/>
        <w:t>Когалыма можно выделить несколько ключевых сильных и слабых сторон развития территории, а также ряд потенциальных возможностей и угроз.</w:t>
      </w:r>
    </w:p>
    <w:p w:rsidR="004616EA" w:rsidRPr="00EC2DBF" w:rsidRDefault="004616EA" w:rsidP="00EC2DBF">
      <w:pPr>
        <w:spacing w:after="0" w:line="240" w:lineRule="auto"/>
        <w:ind w:firstLine="709"/>
        <w:jc w:val="both"/>
        <w:rPr>
          <w:rFonts w:ascii="Times New Roman" w:hAnsi="Times New Roman"/>
          <w:b/>
          <w:sz w:val="26"/>
          <w:szCs w:val="26"/>
        </w:rPr>
      </w:pPr>
      <w:r w:rsidRPr="00EC2DBF">
        <w:rPr>
          <w:rFonts w:ascii="Times New Roman" w:hAnsi="Times New Roman"/>
          <w:b/>
          <w:sz w:val="26"/>
          <w:szCs w:val="26"/>
        </w:rPr>
        <w:t>Сильные стороны</w:t>
      </w:r>
    </w:p>
    <w:p w:rsidR="004616EA" w:rsidRPr="00EC2DBF" w:rsidRDefault="004616EA" w:rsidP="00EC2DBF">
      <w:pPr>
        <w:pStyle w:val="ab"/>
        <w:spacing w:before="0" w:after="0"/>
        <w:ind w:firstLine="709"/>
        <w:rPr>
          <w:i/>
          <w:sz w:val="26"/>
          <w:szCs w:val="26"/>
        </w:rPr>
      </w:pPr>
      <w:r w:rsidRPr="00EC2DBF">
        <w:rPr>
          <w:i/>
          <w:sz w:val="26"/>
          <w:szCs w:val="26"/>
        </w:rPr>
        <w:t>1. Высокие темпы сноса аварийного и ветхого жилищного фонда</w:t>
      </w:r>
    </w:p>
    <w:p w:rsidR="004616EA" w:rsidRPr="00EC2DBF" w:rsidRDefault="004616EA" w:rsidP="00EC2DBF">
      <w:pPr>
        <w:pStyle w:val="ab"/>
        <w:spacing w:before="0" w:after="0"/>
        <w:ind w:firstLine="709"/>
        <w:rPr>
          <w:sz w:val="26"/>
          <w:szCs w:val="26"/>
        </w:rPr>
      </w:pPr>
      <w:r w:rsidRPr="00EC2DBF">
        <w:rPr>
          <w:sz w:val="26"/>
          <w:szCs w:val="26"/>
        </w:rPr>
        <w:t xml:space="preserve">При наличии значительного объема ветхого и аварийного жилищного </w:t>
      </w:r>
      <w:r w:rsidRPr="00EC2DBF">
        <w:rPr>
          <w:sz w:val="26"/>
          <w:szCs w:val="26"/>
        </w:rPr>
        <w:lastRenderedPageBreak/>
        <w:t xml:space="preserve">фонда на территории г. Когалыма одной из приоритетных задач является переселение жителей из непригодного жилья. </w:t>
      </w:r>
    </w:p>
    <w:p w:rsidR="004616EA" w:rsidRPr="00EC2DBF" w:rsidRDefault="004616EA" w:rsidP="00EC2DBF">
      <w:pPr>
        <w:pStyle w:val="ab"/>
        <w:spacing w:before="0" w:after="0"/>
        <w:ind w:firstLine="709"/>
        <w:rPr>
          <w:sz w:val="26"/>
          <w:szCs w:val="26"/>
        </w:rPr>
      </w:pPr>
      <w:r w:rsidRPr="00EC2DBF">
        <w:rPr>
          <w:sz w:val="26"/>
          <w:szCs w:val="26"/>
        </w:rPr>
        <w:t>В целях сноса аварийного жилищного фонда и улучшения жилищных условий населения в городе реализуется адресная программа по переселе</w:t>
      </w:r>
      <w:r w:rsidRPr="00EC2DBF">
        <w:rPr>
          <w:sz w:val="26"/>
          <w:szCs w:val="26"/>
        </w:rPr>
        <w:lastRenderedPageBreak/>
        <w:t>нию граждан из аварийного жилищного фонда города Когалыма на 2013 – 2015 годы.</w:t>
      </w:r>
    </w:p>
    <w:p w:rsidR="004616EA" w:rsidRPr="00EC2DBF" w:rsidRDefault="004616EA" w:rsidP="00EC2DBF">
      <w:pPr>
        <w:pStyle w:val="ab"/>
        <w:spacing w:before="0" w:after="0"/>
        <w:ind w:firstLine="709"/>
        <w:rPr>
          <w:sz w:val="26"/>
          <w:szCs w:val="26"/>
        </w:rPr>
      </w:pPr>
      <w:r w:rsidRPr="00EC2DBF">
        <w:rPr>
          <w:sz w:val="26"/>
          <w:szCs w:val="26"/>
        </w:rPr>
        <w:t>За последние девять лет в городе было демонтировано 27,6 тыс. кв. м непригодного жилья (</w:t>
      </w:r>
      <w:r w:rsidR="001977F4">
        <w:fldChar w:fldCharType="begin"/>
      </w:r>
      <w:r w:rsidR="001977F4">
        <w:instrText xml:space="preserve"> REF _Ref397019295 \h  \* MERGEFORMAT </w:instrText>
      </w:r>
      <w:r w:rsidR="001977F4">
        <w:fldChar w:fldCharType="separate"/>
      </w:r>
      <w:r w:rsidR="001977F4" w:rsidRPr="001977F4">
        <w:rPr>
          <w:sz w:val="26"/>
          <w:szCs w:val="26"/>
        </w:rPr>
        <w:t xml:space="preserve">Рисунок </w:t>
      </w:r>
      <w:r w:rsidR="001977F4" w:rsidRPr="001977F4">
        <w:rPr>
          <w:noProof/>
          <w:sz w:val="26"/>
          <w:szCs w:val="26"/>
        </w:rPr>
        <w:t>14</w:t>
      </w:r>
      <w:r w:rsidR="001977F4">
        <w:fldChar w:fldCharType="end"/>
      </w:r>
      <w:r w:rsidRPr="00EC2DBF">
        <w:rPr>
          <w:sz w:val="26"/>
          <w:szCs w:val="26"/>
        </w:rPr>
        <w:t>).</w:t>
      </w:r>
    </w:p>
    <w:p w:rsidR="004616EA" w:rsidRPr="00475E67" w:rsidRDefault="004616EA" w:rsidP="00C75508">
      <w:pPr>
        <w:pStyle w:val="ab"/>
        <w:keepNext/>
        <w:jc w:val="center"/>
      </w:pPr>
      <w:r w:rsidRPr="00475E67">
        <w:object w:dxaOrig="7201" w:dyaOrig="4021">
          <v:shape id="_x0000_i1036" type="#_x0000_t75" style="width:378.6pt;height:209.4pt" o:ole="">
            <v:imagedata r:id="rId34" o:title=""/>
          </v:shape>
          <o:OLEObject Type="Embed" ProgID="Excel.Sheet.12" ShapeID="_x0000_i1036" DrawAspect="Content" ObjectID="_1509436646" r:id="rId35"/>
        </w:object>
      </w:r>
    </w:p>
    <w:p w:rsidR="004616EA" w:rsidRPr="00475E67" w:rsidRDefault="004616EA" w:rsidP="00C75508">
      <w:pPr>
        <w:pStyle w:val="af1"/>
        <w:jc w:val="center"/>
        <w:rPr>
          <w:rFonts w:ascii="Times New Roman" w:hAnsi="Times New Roman"/>
          <w:b w:val="0"/>
          <w:color w:val="auto"/>
          <w:sz w:val="24"/>
        </w:rPr>
      </w:pPr>
      <w:bookmarkStart w:id="37" w:name="_Ref397019295"/>
      <w:bookmarkStart w:id="38" w:name="_Ref397019291"/>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14</w:t>
      </w:r>
      <w:r w:rsidRPr="00475E67">
        <w:rPr>
          <w:rFonts w:ascii="Times New Roman" w:hAnsi="Times New Roman"/>
          <w:b w:val="0"/>
          <w:color w:val="auto"/>
          <w:sz w:val="24"/>
        </w:rPr>
        <w:fldChar w:fldCharType="end"/>
      </w:r>
      <w:bookmarkEnd w:id="37"/>
      <w:r w:rsidRPr="00475E67">
        <w:rPr>
          <w:rFonts w:ascii="Times New Roman" w:hAnsi="Times New Roman"/>
          <w:b w:val="0"/>
          <w:color w:val="auto"/>
          <w:sz w:val="24"/>
        </w:rPr>
        <w:t xml:space="preserve"> - Объем демонтированного жилищного фонда за период 2005 – 2013 гг.</w:t>
      </w:r>
      <w:bookmarkEnd w:id="38"/>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lastRenderedPageBreak/>
        <w:t>В соответствии с рисунком наибольший объем демонтированного жилья пришелся на 2013 год. При сохранении существующих темпов сноса ветхого и аварийного жилищного фонда, понадобится менее 20 лет, чтобы избавиться от непригодного жилья.</w:t>
      </w:r>
    </w:p>
    <w:p w:rsidR="004616EA" w:rsidRPr="00EC2DBF" w:rsidRDefault="004616EA" w:rsidP="00EC2DBF">
      <w:pPr>
        <w:pStyle w:val="ab"/>
        <w:spacing w:before="0" w:after="0"/>
        <w:ind w:firstLine="709"/>
        <w:rPr>
          <w:i/>
          <w:sz w:val="26"/>
          <w:szCs w:val="26"/>
        </w:rPr>
      </w:pPr>
      <w:r w:rsidRPr="00EC2DBF">
        <w:rPr>
          <w:i/>
          <w:sz w:val="26"/>
          <w:szCs w:val="26"/>
        </w:rPr>
        <w:t>2. Высокий уровень благоустройства жилищного фонда</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lastRenderedPageBreak/>
        <w:t>Удельный вес общей площади жилищного фонда, оборудованной всеми видами благоустройства, составляет 100%, что превышает средний показатель в целом по региону (Ханты – Мансийского автономной округа – Югра – 80%), в том числе:</w:t>
      </w:r>
    </w:p>
    <w:p w:rsidR="004616EA" w:rsidRPr="00EC2DBF" w:rsidRDefault="004616EA" w:rsidP="00EC2DBF">
      <w:pPr>
        <w:pStyle w:val="a7"/>
        <w:numPr>
          <w:ilvl w:val="0"/>
          <w:numId w:val="32"/>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водопроводом – 100%;</w:t>
      </w:r>
    </w:p>
    <w:p w:rsidR="004616EA" w:rsidRPr="00EC2DBF" w:rsidRDefault="004616EA" w:rsidP="00EC2DBF">
      <w:pPr>
        <w:pStyle w:val="a7"/>
        <w:numPr>
          <w:ilvl w:val="0"/>
          <w:numId w:val="32"/>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водоотведением – 100%;</w:t>
      </w:r>
    </w:p>
    <w:p w:rsidR="004616EA" w:rsidRPr="00EC2DBF" w:rsidRDefault="004616EA" w:rsidP="00EC2DBF">
      <w:pPr>
        <w:pStyle w:val="a7"/>
        <w:numPr>
          <w:ilvl w:val="0"/>
          <w:numId w:val="32"/>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lastRenderedPageBreak/>
        <w:t>отоплением – 100%;</w:t>
      </w:r>
    </w:p>
    <w:p w:rsidR="004616EA" w:rsidRPr="00EC2DBF" w:rsidRDefault="004616EA" w:rsidP="00EC2DBF">
      <w:pPr>
        <w:pStyle w:val="a7"/>
        <w:numPr>
          <w:ilvl w:val="0"/>
          <w:numId w:val="32"/>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ваннами (душем) – 100%</w:t>
      </w:r>
    </w:p>
    <w:p w:rsidR="004616EA" w:rsidRPr="00EC2DBF" w:rsidRDefault="004616EA" w:rsidP="00EC2DBF">
      <w:pPr>
        <w:pStyle w:val="a7"/>
        <w:numPr>
          <w:ilvl w:val="0"/>
          <w:numId w:val="32"/>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горячим водоснабжением – 100%;</w:t>
      </w:r>
    </w:p>
    <w:p w:rsidR="004616EA" w:rsidRPr="00EC2DBF" w:rsidRDefault="004616EA" w:rsidP="00EC2DBF">
      <w:pPr>
        <w:pStyle w:val="a7"/>
        <w:numPr>
          <w:ilvl w:val="0"/>
          <w:numId w:val="32"/>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напольными электроплитами – 98,4%;</w:t>
      </w:r>
    </w:p>
    <w:p w:rsidR="004616EA" w:rsidRPr="00EC2DBF" w:rsidRDefault="004616EA" w:rsidP="00EC2DBF">
      <w:pPr>
        <w:pStyle w:val="a7"/>
        <w:numPr>
          <w:ilvl w:val="0"/>
          <w:numId w:val="32"/>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газом – 1,4%.</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lastRenderedPageBreak/>
        <w:t>3. Высокий уровень платежей населения за жилищно-коммунальные услуги</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Размер фактической величины платежей граждан за жилищно-коммунальные услуги за 1 кв. м площади в 2013 году составлял 92,81 рублей, что на 12% ниже федерального стандарта </w:t>
      </w:r>
      <w:r w:rsidRPr="00EC2DBF">
        <w:rPr>
          <w:rFonts w:ascii="Times New Roman" w:hAnsi="Times New Roman"/>
          <w:sz w:val="26"/>
          <w:szCs w:val="26"/>
        </w:rPr>
        <w:lastRenderedPageBreak/>
        <w:t>предельной стоимости предоставляемых услуг и на 19% ниже регионального показателя. Фактическая величина платежей граждан за 1 кв. м на 79% ниже предельной величины платежей граждан, рассчитанной исходя из среднедушевого дохода населения (</w:t>
      </w:r>
      <w:r w:rsidR="001977F4">
        <w:fldChar w:fldCharType="begin"/>
      </w:r>
      <w:r w:rsidR="001977F4">
        <w:instrText xml:space="preserve"> REF _Ref397019452 \h  \* MERGEFORMAT </w:instrText>
      </w:r>
      <w:r w:rsidR="001977F4">
        <w:fldChar w:fldCharType="separate"/>
      </w:r>
      <w:r w:rsidR="001977F4" w:rsidRPr="00EC2DBF">
        <w:rPr>
          <w:rFonts w:ascii="Times New Roman" w:hAnsi="Times New Roman"/>
          <w:sz w:val="26"/>
          <w:szCs w:val="26"/>
        </w:rPr>
        <w:t xml:space="preserve">Таблица </w:t>
      </w:r>
      <w:r w:rsidR="001977F4" w:rsidRPr="001977F4">
        <w:rPr>
          <w:rFonts w:ascii="Times New Roman" w:hAnsi="Times New Roman"/>
          <w:sz w:val="26"/>
          <w:szCs w:val="26"/>
        </w:rPr>
        <w:t>3</w:t>
      </w:r>
      <w:r w:rsidR="001977F4">
        <w:fldChar w:fldCharType="end"/>
      </w:r>
      <w:r w:rsidRPr="00EC2DBF">
        <w:rPr>
          <w:rFonts w:ascii="Times New Roman" w:hAnsi="Times New Roman"/>
          <w:sz w:val="26"/>
          <w:szCs w:val="26"/>
        </w:rPr>
        <w:t>).</w:t>
      </w:r>
    </w:p>
    <w:p w:rsidR="004616EA" w:rsidRPr="00EC2DBF" w:rsidRDefault="004616EA" w:rsidP="00EC2DBF">
      <w:pPr>
        <w:pStyle w:val="af1"/>
        <w:keepNext/>
        <w:spacing w:after="0"/>
        <w:ind w:firstLine="709"/>
        <w:jc w:val="both"/>
        <w:rPr>
          <w:rFonts w:ascii="Times New Roman" w:hAnsi="Times New Roman"/>
          <w:b w:val="0"/>
          <w:color w:val="auto"/>
          <w:sz w:val="26"/>
          <w:szCs w:val="26"/>
        </w:rPr>
      </w:pPr>
      <w:bookmarkStart w:id="39" w:name="_Ref397019452"/>
      <w:bookmarkStart w:id="40" w:name="_Ref397019449"/>
      <w:r w:rsidRPr="00EC2DBF">
        <w:rPr>
          <w:rFonts w:ascii="Times New Roman" w:hAnsi="Times New Roman"/>
          <w:b w:val="0"/>
          <w:color w:val="auto"/>
          <w:sz w:val="26"/>
          <w:szCs w:val="26"/>
        </w:rPr>
        <w:lastRenderedPageBreak/>
        <w:t xml:space="preserve">Таблица </w:t>
      </w:r>
      <w:r w:rsidRPr="00EC2DBF">
        <w:rPr>
          <w:rFonts w:ascii="Times New Roman" w:hAnsi="Times New Roman"/>
          <w:b w:val="0"/>
          <w:color w:val="auto"/>
          <w:sz w:val="26"/>
          <w:szCs w:val="26"/>
        </w:rPr>
        <w:fldChar w:fldCharType="begin"/>
      </w:r>
      <w:r w:rsidRPr="00EC2DBF">
        <w:rPr>
          <w:rFonts w:ascii="Times New Roman" w:hAnsi="Times New Roman"/>
          <w:b w:val="0"/>
          <w:color w:val="auto"/>
          <w:sz w:val="26"/>
          <w:szCs w:val="26"/>
        </w:rPr>
        <w:instrText xml:space="preserve"> SEQ Таблица \* ARABIC </w:instrText>
      </w:r>
      <w:r w:rsidRPr="00EC2DBF">
        <w:rPr>
          <w:rFonts w:ascii="Times New Roman" w:hAnsi="Times New Roman"/>
          <w:b w:val="0"/>
          <w:color w:val="auto"/>
          <w:sz w:val="26"/>
          <w:szCs w:val="26"/>
        </w:rPr>
        <w:fldChar w:fldCharType="separate"/>
      </w:r>
      <w:r w:rsidR="001977F4">
        <w:rPr>
          <w:rFonts w:ascii="Times New Roman" w:hAnsi="Times New Roman"/>
          <w:b w:val="0"/>
          <w:noProof/>
          <w:color w:val="auto"/>
          <w:sz w:val="26"/>
          <w:szCs w:val="26"/>
        </w:rPr>
        <w:t>3</w:t>
      </w:r>
      <w:r w:rsidRPr="00EC2DBF">
        <w:rPr>
          <w:rFonts w:ascii="Times New Roman" w:hAnsi="Times New Roman"/>
          <w:b w:val="0"/>
          <w:color w:val="auto"/>
          <w:sz w:val="26"/>
          <w:szCs w:val="26"/>
        </w:rPr>
        <w:fldChar w:fldCharType="end"/>
      </w:r>
      <w:bookmarkEnd w:id="39"/>
      <w:r w:rsidRPr="00EC2DBF">
        <w:rPr>
          <w:rFonts w:ascii="Times New Roman" w:hAnsi="Times New Roman"/>
          <w:b w:val="0"/>
          <w:color w:val="auto"/>
          <w:sz w:val="26"/>
          <w:szCs w:val="26"/>
        </w:rPr>
        <w:t xml:space="preserve"> - Сравнительный анализ сложившегося уровня платежей граждан городского округа за 2013 г., руб. на 1 кв. м общей площади жилья в месяц</w:t>
      </w:r>
      <w:bookmarkEnd w:id="40"/>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3"/>
        <w:gridCol w:w="1762"/>
        <w:gridCol w:w="2266"/>
        <w:gridCol w:w="3021"/>
      </w:tblGrid>
      <w:tr w:rsidR="004616EA" w:rsidRPr="00475E67" w:rsidTr="004E5F17">
        <w:trPr>
          <w:trHeight w:val="96"/>
        </w:trPr>
        <w:tc>
          <w:tcPr>
            <w:tcW w:w="1000" w:type="pct"/>
            <w:vAlign w:val="center"/>
          </w:tcPr>
          <w:p w:rsidR="004616EA" w:rsidRPr="00475E67" w:rsidRDefault="004616EA" w:rsidP="004E5F17">
            <w:pPr>
              <w:spacing w:after="0"/>
              <w:jc w:val="center"/>
              <w:rPr>
                <w:rFonts w:ascii="Times New Roman" w:hAnsi="Times New Roman"/>
                <w:b/>
                <w:sz w:val="20"/>
              </w:rPr>
            </w:pPr>
            <w:r w:rsidRPr="00475E67">
              <w:rPr>
                <w:rFonts w:ascii="Times New Roman" w:hAnsi="Times New Roman"/>
                <w:b/>
                <w:sz w:val="20"/>
              </w:rPr>
              <w:t>Фактическая величина платежей граждан</w:t>
            </w:r>
          </w:p>
        </w:tc>
        <w:tc>
          <w:tcPr>
            <w:tcW w:w="1000" w:type="pct"/>
            <w:vAlign w:val="center"/>
          </w:tcPr>
          <w:p w:rsidR="004616EA" w:rsidRPr="00475E67" w:rsidRDefault="004616EA" w:rsidP="004E5F17">
            <w:pPr>
              <w:spacing w:after="0"/>
              <w:jc w:val="center"/>
              <w:rPr>
                <w:rFonts w:ascii="Times New Roman" w:hAnsi="Times New Roman"/>
                <w:b/>
                <w:sz w:val="20"/>
              </w:rPr>
            </w:pPr>
            <w:r w:rsidRPr="00475E67">
              <w:rPr>
                <w:rFonts w:ascii="Times New Roman" w:hAnsi="Times New Roman"/>
                <w:b/>
                <w:sz w:val="20"/>
              </w:rPr>
              <w:t>Предельная величина платежей граждан</w:t>
            </w:r>
          </w:p>
        </w:tc>
        <w:tc>
          <w:tcPr>
            <w:tcW w:w="1286" w:type="pct"/>
            <w:vAlign w:val="center"/>
          </w:tcPr>
          <w:p w:rsidR="004616EA" w:rsidRPr="00475E67" w:rsidRDefault="004616EA" w:rsidP="004E5F17">
            <w:pPr>
              <w:spacing w:after="0"/>
              <w:jc w:val="center"/>
              <w:rPr>
                <w:rFonts w:ascii="Times New Roman" w:hAnsi="Times New Roman"/>
                <w:b/>
                <w:sz w:val="20"/>
              </w:rPr>
            </w:pPr>
            <w:r w:rsidRPr="00475E67">
              <w:rPr>
                <w:rFonts w:ascii="Times New Roman" w:hAnsi="Times New Roman"/>
                <w:b/>
                <w:sz w:val="20"/>
              </w:rPr>
              <w:t>Федеральный стандарт предельной стоимости предоставляемых услуг</w:t>
            </w:r>
          </w:p>
        </w:tc>
        <w:tc>
          <w:tcPr>
            <w:tcW w:w="1714" w:type="pct"/>
            <w:vAlign w:val="center"/>
          </w:tcPr>
          <w:p w:rsidR="004616EA" w:rsidRPr="00475E67" w:rsidRDefault="004616EA" w:rsidP="004E5F17">
            <w:pPr>
              <w:spacing w:after="0"/>
              <w:jc w:val="center"/>
              <w:rPr>
                <w:rFonts w:ascii="Times New Roman" w:hAnsi="Times New Roman"/>
                <w:b/>
                <w:sz w:val="20"/>
              </w:rPr>
            </w:pPr>
            <w:r w:rsidRPr="00475E67">
              <w:rPr>
                <w:rFonts w:ascii="Times New Roman" w:hAnsi="Times New Roman"/>
                <w:b/>
                <w:sz w:val="20"/>
              </w:rPr>
              <w:t xml:space="preserve">Региональный стандарт предельной стоимости предоставляемых услуг для городского округа </w:t>
            </w:r>
            <w:r w:rsidRPr="00475E67">
              <w:rPr>
                <w:rFonts w:ascii="Times New Roman" w:hAnsi="Times New Roman"/>
                <w:b/>
                <w:bCs/>
                <w:sz w:val="20"/>
                <w:szCs w:val="20"/>
              </w:rPr>
              <w:t xml:space="preserve">           </w:t>
            </w:r>
          </w:p>
        </w:tc>
      </w:tr>
      <w:tr w:rsidR="004616EA" w:rsidRPr="00475E67" w:rsidTr="004E5F17">
        <w:trPr>
          <w:trHeight w:val="411"/>
        </w:trPr>
        <w:tc>
          <w:tcPr>
            <w:tcW w:w="1000" w:type="pct"/>
            <w:vAlign w:val="center"/>
          </w:tcPr>
          <w:p w:rsidR="004616EA" w:rsidRPr="00475E67" w:rsidRDefault="004616EA" w:rsidP="004E5F17">
            <w:pPr>
              <w:spacing w:after="0"/>
              <w:jc w:val="center"/>
              <w:rPr>
                <w:rFonts w:ascii="Times New Roman" w:hAnsi="Times New Roman"/>
                <w:sz w:val="24"/>
                <w:szCs w:val="24"/>
              </w:rPr>
            </w:pPr>
            <w:r w:rsidRPr="00475E67">
              <w:rPr>
                <w:rFonts w:ascii="Times New Roman" w:hAnsi="Times New Roman"/>
                <w:sz w:val="24"/>
                <w:szCs w:val="24"/>
              </w:rPr>
              <w:t>92,81</w:t>
            </w:r>
          </w:p>
        </w:tc>
        <w:tc>
          <w:tcPr>
            <w:tcW w:w="1000" w:type="pct"/>
            <w:vAlign w:val="center"/>
          </w:tcPr>
          <w:p w:rsidR="004616EA" w:rsidRPr="00475E67" w:rsidRDefault="004616EA" w:rsidP="004E5F17">
            <w:pPr>
              <w:spacing w:after="0"/>
              <w:jc w:val="center"/>
              <w:rPr>
                <w:rFonts w:ascii="Times New Roman" w:hAnsi="Times New Roman"/>
                <w:sz w:val="24"/>
                <w:szCs w:val="24"/>
              </w:rPr>
            </w:pPr>
            <w:r w:rsidRPr="00475E67">
              <w:rPr>
                <w:rFonts w:ascii="Times New Roman" w:hAnsi="Times New Roman"/>
                <w:sz w:val="24"/>
                <w:szCs w:val="24"/>
              </w:rPr>
              <w:t>452,05</w:t>
            </w:r>
          </w:p>
        </w:tc>
        <w:tc>
          <w:tcPr>
            <w:tcW w:w="1286" w:type="pct"/>
            <w:vAlign w:val="center"/>
          </w:tcPr>
          <w:p w:rsidR="004616EA" w:rsidRPr="00475E67" w:rsidRDefault="004616EA" w:rsidP="004E5F17">
            <w:pPr>
              <w:spacing w:after="0"/>
              <w:jc w:val="center"/>
              <w:rPr>
                <w:rFonts w:ascii="Times New Roman" w:hAnsi="Times New Roman"/>
                <w:sz w:val="24"/>
                <w:szCs w:val="24"/>
              </w:rPr>
            </w:pPr>
            <w:r w:rsidRPr="00475E67">
              <w:rPr>
                <w:rFonts w:ascii="Times New Roman" w:hAnsi="Times New Roman"/>
                <w:sz w:val="24"/>
                <w:szCs w:val="24"/>
              </w:rPr>
              <w:t>105,2</w:t>
            </w:r>
          </w:p>
        </w:tc>
        <w:tc>
          <w:tcPr>
            <w:tcW w:w="1714" w:type="pct"/>
            <w:vAlign w:val="center"/>
          </w:tcPr>
          <w:p w:rsidR="004616EA" w:rsidRPr="00475E67" w:rsidRDefault="004616EA" w:rsidP="004E5F17">
            <w:pPr>
              <w:spacing w:after="0"/>
              <w:jc w:val="center"/>
              <w:rPr>
                <w:rFonts w:ascii="Times New Roman" w:hAnsi="Times New Roman"/>
                <w:sz w:val="24"/>
                <w:szCs w:val="24"/>
              </w:rPr>
            </w:pPr>
            <w:r w:rsidRPr="00475E67">
              <w:rPr>
                <w:rFonts w:ascii="Times New Roman" w:hAnsi="Times New Roman"/>
                <w:sz w:val="24"/>
                <w:szCs w:val="24"/>
              </w:rPr>
              <w:t>115</w:t>
            </w:r>
          </w:p>
        </w:tc>
      </w:tr>
    </w:tbl>
    <w:p w:rsidR="004616EA" w:rsidRPr="00475E67" w:rsidRDefault="004616EA" w:rsidP="00F359E4">
      <w:pPr>
        <w:spacing w:after="0" w:line="360" w:lineRule="auto"/>
        <w:ind w:firstLine="709"/>
        <w:jc w:val="both"/>
        <w:rPr>
          <w:rFonts w:ascii="Times New Roman" w:hAnsi="Times New Roman"/>
          <w:b/>
          <w:sz w:val="24"/>
          <w:szCs w:val="24"/>
        </w:rPr>
      </w:pPr>
    </w:p>
    <w:p w:rsidR="004616EA" w:rsidRPr="00EC2DBF" w:rsidRDefault="004616EA" w:rsidP="00EC2DBF">
      <w:pPr>
        <w:spacing w:after="0" w:line="240" w:lineRule="auto"/>
        <w:ind w:firstLine="709"/>
        <w:jc w:val="both"/>
        <w:rPr>
          <w:rFonts w:ascii="Times New Roman" w:hAnsi="Times New Roman"/>
          <w:b/>
          <w:sz w:val="26"/>
          <w:szCs w:val="26"/>
        </w:rPr>
      </w:pPr>
      <w:r w:rsidRPr="00EC2DBF">
        <w:rPr>
          <w:rFonts w:ascii="Times New Roman" w:hAnsi="Times New Roman"/>
          <w:b/>
          <w:sz w:val="26"/>
          <w:szCs w:val="26"/>
        </w:rPr>
        <w:t>Слабые стороны</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lastRenderedPageBreak/>
        <w:t>1. Наличие непригодного для проживания жилищного фонда (ветхого и аварийного)</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Площадь непригодного для проживания жилищного фонда на 01.07.2014 составляла 73,5 тыс. кв. м (или 7% от общей площади жилищного фонда г. Когалыма), в том числе площадь ветхого жилищного фонда – 42,5 тыс. кв. </w:t>
      </w:r>
      <w:r w:rsidRPr="00EC2DBF">
        <w:rPr>
          <w:rFonts w:ascii="Times New Roman" w:hAnsi="Times New Roman"/>
          <w:sz w:val="26"/>
          <w:szCs w:val="26"/>
        </w:rPr>
        <w:lastRenderedPageBreak/>
        <w:t>м, аварийного – 31 тыс. кв. м. Количество ветхих и аварийных жилых домов – 208. Доля населения, проживающего в ветхих и аварийных жилых домах – 8% от общей численности населения г. Когалыма.</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Весь непригодный для проживания жилищный фонд представлен в деревянном исполнении.</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lastRenderedPageBreak/>
        <w:t>2. Низкий уровень жилищной обеспеченности</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Общая площадь жилищного фонда г. Когалыма на начало 2014 г. составляла 1016,1 тыс. кв. м, в том числе 81,0 тыс. кв. м - муниципальный жилищный фонд (или 8%).</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lastRenderedPageBreak/>
        <w:t xml:space="preserve">Обеспеченность населения жилищным фондом на начало 2014 г. составила порядка 17,45 кв. м на человека, что на 11% ниже среднего показателя по Ханты-Мансийскому автономному округу – Югре (19,6 кв. м на человека). По сравнению с другими муниципальными образованиями автономного </w:t>
      </w:r>
      <w:r w:rsidRPr="00EC2DBF">
        <w:rPr>
          <w:rFonts w:ascii="Times New Roman" w:hAnsi="Times New Roman"/>
          <w:sz w:val="26"/>
          <w:szCs w:val="26"/>
        </w:rPr>
        <w:lastRenderedPageBreak/>
        <w:t>округа по уровню жилищной обеспеченности г. Когалым находится на 15 месте из 22-х муниципальных образований Ханты-Мансийского автономного округа – Югры.</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3. Невысокие темпы жилищного строительства</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Площадь объема жилищного фонда, введенного за 2013 г. составляла 10,7 </w:t>
      </w:r>
      <w:r w:rsidRPr="00EC2DBF">
        <w:rPr>
          <w:rFonts w:ascii="Times New Roman" w:hAnsi="Times New Roman"/>
          <w:sz w:val="26"/>
          <w:szCs w:val="26"/>
        </w:rPr>
        <w:lastRenderedPageBreak/>
        <w:t>тыс. кв. м или 0,2 кв. м на человека. За последние шесть лет наблюдается нестабильная динамика ввода жилья (</w:t>
      </w:r>
      <w:r w:rsidR="001977F4">
        <w:fldChar w:fldCharType="begin"/>
      </w:r>
      <w:r w:rsidR="001977F4">
        <w:instrText xml:space="preserve"> REF _Ref397019536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15</w:t>
      </w:r>
      <w:r w:rsidR="001977F4">
        <w:fldChar w:fldCharType="end"/>
      </w:r>
      <w:r w:rsidRPr="00EC2DBF">
        <w:rPr>
          <w:rFonts w:ascii="Times New Roman" w:hAnsi="Times New Roman"/>
          <w:sz w:val="26"/>
          <w:szCs w:val="26"/>
        </w:rPr>
        <w:t>).</w:t>
      </w:r>
    </w:p>
    <w:p w:rsidR="004616EA" w:rsidRPr="00475E67" w:rsidRDefault="004616EA" w:rsidP="00EF7D34">
      <w:pPr>
        <w:keepNext/>
        <w:spacing w:after="0" w:line="240" w:lineRule="auto"/>
        <w:ind w:firstLine="709"/>
        <w:jc w:val="center"/>
      </w:pPr>
      <w:r w:rsidRPr="00475E67">
        <w:rPr>
          <w:rFonts w:ascii="Times New Roman" w:hAnsi="Times New Roman"/>
          <w:sz w:val="24"/>
          <w:szCs w:val="24"/>
        </w:rPr>
        <w:object w:dxaOrig="7201" w:dyaOrig="4021">
          <v:shape id="_x0000_i1037" type="#_x0000_t75" style="width:5in;height:201pt" o:ole="">
            <v:imagedata r:id="rId36" o:title=""/>
          </v:shape>
          <o:OLEObject Type="Embed" ProgID="Excel.Sheet.12" ShapeID="_x0000_i1037" DrawAspect="Content" ObjectID="_1509436647" r:id="rId37"/>
        </w:object>
      </w:r>
    </w:p>
    <w:p w:rsidR="004616EA" w:rsidRPr="00475E67" w:rsidRDefault="004616EA" w:rsidP="00EF7D34">
      <w:pPr>
        <w:pStyle w:val="af1"/>
        <w:jc w:val="center"/>
        <w:rPr>
          <w:rFonts w:ascii="Times New Roman" w:hAnsi="Times New Roman"/>
          <w:b w:val="0"/>
          <w:color w:val="auto"/>
          <w:sz w:val="36"/>
          <w:szCs w:val="24"/>
        </w:rPr>
      </w:pPr>
      <w:bookmarkStart w:id="41" w:name="_Ref397019536"/>
      <w:bookmarkStart w:id="42" w:name="_Ref397019529"/>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15</w:t>
      </w:r>
      <w:r w:rsidRPr="00475E67">
        <w:rPr>
          <w:rFonts w:ascii="Times New Roman" w:hAnsi="Times New Roman"/>
          <w:b w:val="0"/>
          <w:color w:val="auto"/>
          <w:sz w:val="24"/>
        </w:rPr>
        <w:fldChar w:fldCharType="end"/>
      </w:r>
      <w:bookmarkEnd w:id="41"/>
      <w:r w:rsidRPr="00475E67">
        <w:rPr>
          <w:rFonts w:ascii="Times New Roman" w:hAnsi="Times New Roman"/>
          <w:b w:val="0"/>
          <w:color w:val="auto"/>
          <w:sz w:val="24"/>
        </w:rPr>
        <w:t xml:space="preserve"> - Динамика объемов ввода жилищного фонда на конец года</w:t>
      </w:r>
      <w:bookmarkEnd w:id="42"/>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В соответствии с рисунком за 2013 год наблюдается замедление темпов </w:t>
      </w:r>
      <w:r w:rsidRPr="00EC2DBF">
        <w:rPr>
          <w:rFonts w:ascii="Times New Roman" w:hAnsi="Times New Roman"/>
          <w:sz w:val="26"/>
          <w:szCs w:val="26"/>
        </w:rPr>
        <w:lastRenderedPageBreak/>
        <w:t>строительства жилья (сокращение вводимого жилищного фонда на 36%), основной причиной этого является отсутствие финансовых возможностей у муниципального образования.</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В 2013 г. в сравнении с другими муниципальными образованиями Ханты-Мансийского автономного округа – Югры по показателю ввода жилья в </w:t>
      </w:r>
      <w:r w:rsidRPr="00EC2DBF">
        <w:rPr>
          <w:rFonts w:ascii="Times New Roman" w:hAnsi="Times New Roman"/>
          <w:sz w:val="26"/>
          <w:szCs w:val="26"/>
        </w:rPr>
        <w:lastRenderedPageBreak/>
        <w:t>среднем на 1 жителя городской округ располагался на 21 месте.</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4. Невысокая доля жилищного фонда муниципальной формы собственности</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Общий объем жилищного фонда муниципальной формы собственности на начало 2014 года составлял 155,4 тыс. </w:t>
      </w:r>
      <w:r w:rsidRPr="00EC2DBF">
        <w:rPr>
          <w:rFonts w:ascii="Times New Roman" w:hAnsi="Times New Roman"/>
          <w:sz w:val="26"/>
          <w:szCs w:val="26"/>
        </w:rPr>
        <w:lastRenderedPageBreak/>
        <w:t>кв. м, что является лишь одной четвертой от общего объема жилья г. Когалыма, в том числе служебные помещения – 2,0 тыс. кв. м, жилые помещения в общежитиях – 0,2 тыс. кв. м, жилые помещения маневренного фонда – 0,03 тыс. кв. м. При учете того количества семей, которые стоят в очереди в каче</w:t>
      </w:r>
      <w:r w:rsidRPr="00EC2DBF">
        <w:rPr>
          <w:rFonts w:ascii="Times New Roman" w:hAnsi="Times New Roman"/>
          <w:sz w:val="26"/>
          <w:szCs w:val="26"/>
        </w:rPr>
        <w:lastRenderedPageBreak/>
        <w:t>стве нуждающихся в улучшении жилищных условий, такой объем муниципального жилищного фонда является недостаточным.</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5. Низкая доля семей, улучшивших жилищные условия, как за счет получения жилья по договорам социального найма, так и за счет предостав</w:t>
      </w:r>
      <w:r w:rsidRPr="00EC2DBF">
        <w:rPr>
          <w:rFonts w:ascii="Times New Roman" w:hAnsi="Times New Roman"/>
          <w:i/>
          <w:sz w:val="26"/>
          <w:szCs w:val="26"/>
        </w:rPr>
        <w:lastRenderedPageBreak/>
        <w:t>ления земельного участка для строительства индивидуального жилого дома</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Проблема обеспечения населения жильем остается одной из первоочередных как для г. Когалыма, так и для большинства муниципальных образований Ханты-Мансийского автономного округа – Югры.</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lastRenderedPageBreak/>
        <w:t>На начало 2014 года в г. Когалыме насчитывалось порядка 6,6 тыс. граждан, состоящих на учете в качестве нуждающихся в жилых помещениях в форме предоставления жилого помещения по договорам социального найма и 0,9 тыс. человек, состоящих на учете в качестве нуждающихся в жи</w:t>
      </w:r>
      <w:r w:rsidRPr="00EC2DBF">
        <w:rPr>
          <w:rFonts w:ascii="Times New Roman" w:hAnsi="Times New Roman"/>
          <w:sz w:val="26"/>
          <w:szCs w:val="26"/>
        </w:rPr>
        <w:lastRenderedPageBreak/>
        <w:t>лых помещениях в форме предоставления земельного участка для строительства индивидуальных жилых домов, из которых порядка 80% - граждане, имеющие трех и более детей.</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За период 2011 – 2013 гг. число граждан, получивших жилые помещения и улучшивших жилищные усло</w:t>
      </w:r>
      <w:r w:rsidRPr="00EC2DBF">
        <w:rPr>
          <w:rFonts w:ascii="Times New Roman" w:hAnsi="Times New Roman"/>
          <w:sz w:val="26"/>
          <w:szCs w:val="26"/>
        </w:rPr>
        <w:lastRenderedPageBreak/>
        <w:t xml:space="preserve">вия, сократилось. Сложившаяся ситуация объясняется тем, что жилищный фонд, введенный в эксплуатацию, был распределен между гражданами, проживающими в аварийных и ветхих жилых домах. Также в введенном в эксплуатацию жилищном фонде было выделено специализированное жилье для </w:t>
      </w:r>
      <w:r w:rsidRPr="00EC2DBF">
        <w:rPr>
          <w:rFonts w:ascii="Times New Roman" w:hAnsi="Times New Roman"/>
          <w:sz w:val="26"/>
          <w:szCs w:val="26"/>
        </w:rPr>
        <w:lastRenderedPageBreak/>
        <w:t>работников образовательных и медицинских организаций.</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6. Проблема доступности жилья для молодых семей</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Проблема жилья для молодых семей является достаточно актуальной и острой. Поддержка молодых семей при решении жилищной проблемы является основой стабильности условий </w:t>
      </w:r>
      <w:r w:rsidRPr="00EC2DBF">
        <w:rPr>
          <w:rFonts w:ascii="Times New Roman" w:hAnsi="Times New Roman"/>
          <w:sz w:val="26"/>
          <w:szCs w:val="26"/>
        </w:rPr>
        <w:lastRenderedPageBreak/>
        <w:t xml:space="preserve">жизни для этой наиболее активной части населения и влияет на улучшение демографической ситуации. </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 г. Когалыме за 2013 год наблюдался рост числа молодых семей, признанных нуждающимися в улучшении жилищных условий, и к началу 2014 года их количество достигло 240.</w:t>
      </w:r>
    </w:p>
    <w:p w:rsidR="004616EA" w:rsidRPr="00EC2DBF" w:rsidRDefault="004616EA" w:rsidP="00EC2DBF">
      <w:pPr>
        <w:pStyle w:val="ab"/>
        <w:spacing w:before="0" w:after="0"/>
        <w:ind w:firstLine="709"/>
        <w:rPr>
          <w:bCs/>
          <w:sz w:val="26"/>
          <w:szCs w:val="26"/>
        </w:rPr>
      </w:pPr>
      <w:r w:rsidRPr="00EC2DBF">
        <w:rPr>
          <w:sz w:val="26"/>
          <w:szCs w:val="26"/>
        </w:rPr>
        <w:lastRenderedPageBreak/>
        <w:t xml:space="preserve">Основными факторами, сдерживающими </w:t>
      </w:r>
      <w:hyperlink r:id="rId38" w:history="1">
        <w:r w:rsidRPr="00EC2DBF">
          <w:rPr>
            <w:sz w:val="26"/>
            <w:szCs w:val="26"/>
          </w:rPr>
          <w:t>использование</w:t>
        </w:r>
      </w:hyperlink>
      <w:r w:rsidRPr="00EC2DBF">
        <w:rPr>
          <w:sz w:val="26"/>
          <w:szCs w:val="26"/>
        </w:rPr>
        <w:t xml:space="preserve"> молодыми семьями заемных денежных средств для приобретения или строительства жилья, являются отсутствие у значительного количества молодых семей необходимых собственных средств для уплаты первоначального взноса по ипотечному жилищному кредиту или </w:t>
      </w:r>
      <w:r w:rsidRPr="00EC2DBF">
        <w:rPr>
          <w:sz w:val="26"/>
          <w:szCs w:val="26"/>
        </w:rPr>
        <w:lastRenderedPageBreak/>
        <w:t xml:space="preserve">займу, а также высокая </w:t>
      </w:r>
      <w:hyperlink r:id="rId39" w:history="1">
        <w:r w:rsidRPr="00EC2DBF">
          <w:rPr>
            <w:sz w:val="26"/>
            <w:szCs w:val="26"/>
          </w:rPr>
          <w:t>стоимость</w:t>
        </w:r>
      </w:hyperlink>
      <w:r w:rsidRPr="00EC2DBF">
        <w:rPr>
          <w:sz w:val="26"/>
          <w:szCs w:val="26"/>
        </w:rPr>
        <w:t xml:space="preserve"> квадратного метра и завышенная </w:t>
      </w:r>
      <w:hyperlink r:id="rId40" w:history="1">
        <w:r w:rsidRPr="00EC2DBF">
          <w:rPr>
            <w:sz w:val="26"/>
            <w:szCs w:val="26"/>
          </w:rPr>
          <w:t>процентная ставка</w:t>
        </w:r>
      </w:hyperlink>
      <w:r w:rsidRPr="00EC2DBF">
        <w:rPr>
          <w:sz w:val="26"/>
          <w:szCs w:val="26"/>
        </w:rPr>
        <w:t xml:space="preserve"> за использование ипотечного жилищного кредита или займа.</w:t>
      </w:r>
    </w:p>
    <w:p w:rsidR="004616EA" w:rsidRPr="00EC2DBF" w:rsidRDefault="004616EA" w:rsidP="00EC2DBF">
      <w:pPr>
        <w:spacing w:after="0" w:line="240" w:lineRule="auto"/>
        <w:ind w:firstLine="709"/>
        <w:jc w:val="both"/>
        <w:rPr>
          <w:rFonts w:ascii="Times New Roman" w:hAnsi="Times New Roman"/>
          <w:b/>
          <w:sz w:val="26"/>
          <w:szCs w:val="26"/>
        </w:rPr>
      </w:pPr>
      <w:r w:rsidRPr="00EC2DBF">
        <w:rPr>
          <w:rFonts w:ascii="Times New Roman" w:hAnsi="Times New Roman"/>
          <w:b/>
          <w:sz w:val="26"/>
          <w:szCs w:val="26"/>
        </w:rPr>
        <w:t>Возможности</w:t>
      </w:r>
    </w:p>
    <w:p w:rsidR="004616EA" w:rsidRPr="00EC2DBF" w:rsidRDefault="004616EA" w:rsidP="00EC2DBF">
      <w:pPr>
        <w:pStyle w:val="a7"/>
        <w:numPr>
          <w:ilvl w:val="0"/>
          <w:numId w:val="34"/>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lastRenderedPageBreak/>
        <w:t>развитие производства строительных материалов и расширение потенциальных возможностей строительного комплекса;</w:t>
      </w:r>
    </w:p>
    <w:p w:rsidR="004616EA" w:rsidRPr="00EC2DBF" w:rsidRDefault="004616EA" w:rsidP="00EC2DBF">
      <w:pPr>
        <w:pStyle w:val="a7"/>
        <w:numPr>
          <w:ilvl w:val="0"/>
          <w:numId w:val="34"/>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обеспечение прироста инвестиций в строительство частных компаний и физических лиц;</w:t>
      </w:r>
    </w:p>
    <w:p w:rsidR="004616EA" w:rsidRPr="00EC2DBF" w:rsidRDefault="004616EA" w:rsidP="00EC2DBF">
      <w:pPr>
        <w:pStyle w:val="a7"/>
        <w:numPr>
          <w:ilvl w:val="0"/>
          <w:numId w:val="34"/>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lastRenderedPageBreak/>
        <w:t>улучшение жилищных условий населения, в том числе путем дальнейшего развития системы ипотечного кредитования и создания условий для развития инвестиционного и индивидуального жилищного строительства;</w:t>
      </w:r>
    </w:p>
    <w:p w:rsidR="004616EA" w:rsidRPr="00EC2DBF" w:rsidRDefault="004616EA" w:rsidP="00EC2DBF">
      <w:pPr>
        <w:pStyle w:val="a7"/>
        <w:numPr>
          <w:ilvl w:val="0"/>
          <w:numId w:val="34"/>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 xml:space="preserve">улучшение жилищных условий населения, проживающего в ветхих и </w:t>
      </w:r>
      <w:r w:rsidRPr="00EC2DBF">
        <w:rPr>
          <w:rFonts w:ascii="Times New Roman" w:hAnsi="Times New Roman"/>
          <w:sz w:val="26"/>
          <w:szCs w:val="26"/>
        </w:rPr>
        <w:lastRenderedPageBreak/>
        <w:t>аварийных домах, и, как следствие, рост уровня жизни;</w:t>
      </w:r>
    </w:p>
    <w:p w:rsidR="004616EA" w:rsidRPr="00EC2DBF" w:rsidRDefault="004616EA" w:rsidP="00EC2DBF">
      <w:pPr>
        <w:pStyle w:val="a7"/>
        <w:numPr>
          <w:ilvl w:val="0"/>
          <w:numId w:val="34"/>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повышение качества и надежности предоставления жилищно-коммунальных услуг населению.</w:t>
      </w:r>
    </w:p>
    <w:p w:rsidR="004616EA" w:rsidRPr="00EC2DBF" w:rsidRDefault="004616EA" w:rsidP="00EC2DBF">
      <w:pPr>
        <w:spacing w:after="0" w:line="240" w:lineRule="auto"/>
        <w:ind w:firstLine="709"/>
        <w:jc w:val="both"/>
        <w:rPr>
          <w:rFonts w:ascii="Times New Roman" w:hAnsi="Times New Roman"/>
          <w:sz w:val="26"/>
          <w:szCs w:val="26"/>
        </w:rPr>
      </w:pPr>
    </w:p>
    <w:p w:rsidR="004616EA" w:rsidRPr="00EC2DBF" w:rsidRDefault="004616EA" w:rsidP="00EC2DBF">
      <w:pPr>
        <w:spacing w:after="0" w:line="240" w:lineRule="auto"/>
        <w:ind w:firstLine="709"/>
        <w:jc w:val="both"/>
        <w:rPr>
          <w:rFonts w:ascii="Times New Roman" w:hAnsi="Times New Roman"/>
          <w:b/>
          <w:sz w:val="26"/>
          <w:szCs w:val="26"/>
        </w:rPr>
      </w:pPr>
      <w:r w:rsidRPr="00EC2DBF">
        <w:rPr>
          <w:rFonts w:ascii="Times New Roman" w:hAnsi="Times New Roman"/>
          <w:b/>
          <w:sz w:val="26"/>
          <w:szCs w:val="26"/>
        </w:rPr>
        <w:t>Угрозы</w:t>
      </w:r>
    </w:p>
    <w:p w:rsidR="004616EA" w:rsidRPr="00EC2DBF" w:rsidRDefault="004616EA" w:rsidP="00EC2DBF">
      <w:pPr>
        <w:pStyle w:val="a7"/>
        <w:numPr>
          <w:ilvl w:val="0"/>
          <w:numId w:val="33"/>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lastRenderedPageBreak/>
        <w:t>динамика в обеспечении жильем семей, нуждающихся в улучшении жилищных условий, может существенно замедлиться вследствие дальнейшего увеличения объемов сноса ветхого и аварийного жилищного фонда;</w:t>
      </w:r>
    </w:p>
    <w:p w:rsidR="004616EA" w:rsidRPr="00EC2DBF" w:rsidRDefault="004616EA" w:rsidP="00EC2DBF">
      <w:pPr>
        <w:pStyle w:val="a7"/>
        <w:numPr>
          <w:ilvl w:val="0"/>
          <w:numId w:val="33"/>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 xml:space="preserve">сокращение объема финансовых средств, направленных на реализацию действующих программ в жилищной </w:t>
      </w:r>
      <w:r w:rsidRPr="00EC2DBF">
        <w:rPr>
          <w:rFonts w:ascii="Times New Roman" w:hAnsi="Times New Roman"/>
          <w:sz w:val="26"/>
          <w:szCs w:val="26"/>
        </w:rPr>
        <w:lastRenderedPageBreak/>
        <w:t>сфере в результате нестабильной мировой экономики;</w:t>
      </w:r>
    </w:p>
    <w:p w:rsidR="004616EA" w:rsidRPr="00EC2DBF" w:rsidRDefault="004616EA" w:rsidP="00EC2DBF">
      <w:pPr>
        <w:pStyle w:val="a7"/>
        <w:numPr>
          <w:ilvl w:val="0"/>
          <w:numId w:val="33"/>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снижение показателя жилищной обеспеченности ввиду низких темпов жилищного строительства и высоких темпов сноса ветхого и аварийного жилья;</w:t>
      </w:r>
    </w:p>
    <w:p w:rsidR="004616EA" w:rsidRPr="00EC2DBF" w:rsidRDefault="004616EA" w:rsidP="00EC2DBF">
      <w:pPr>
        <w:pStyle w:val="a7"/>
        <w:numPr>
          <w:ilvl w:val="0"/>
          <w:numId w:val="33"/>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 xml:space="preserve">возникновение чрезвычайных ситуаций в случае нерешения проблемы </w:t>
      </w:r>
      <w:r w:rsidRPr="00EC2DBF">
        <w:rPr>
          <w:rFonts w:ascii="Times New Roman" w:hAnsi="Times New Roman"/>
          <w:sz w:val="26"/>
          <w:szCs w:val="26"/>
        </w:rPr>
        <w:lastRenderedPageBreak/>
        <w:t>расселения граждан, проживающих в аварийном жилищном фонде;</w:t>
      </w:r>
    </w:p>
    <w:p w:rsidR="004616EA" w:rsidRPr="00EC2DBF" w:rsidRDefault="004616EA" w:rsidP="00EC2DBF">
      <w:pPr>
        <w:pStyle w:val="a7"/>
        <w:numPr>
          <w:ilvl w:val="0"/>
          <w:numId w:val="33"/>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napToGrid w:val="0"/>
          <w:sz w:val="26"/>
          <w:szCs w:val="26"/>
        </w:rPr>
        <w:t>возникновение административных рисков, связанных с неэффективным управлением жилищной сферой со стороны органов местного самоуправления;</w:t>
      </w:r>
    </w:p>
    <w:p w:rsidR="004616EA" w:rsidRPr="00EC2DBF" w:rsidRDefault="004616EA" w:rsidP="00EC2DBF">
      <w:pPr>
        <w:pStyle w:val="a7"/>
        <w:numPr>
          <w:ilvl w:val="0"/>
          <w:numId w:val="33"/>
        </w:numPr>
        <w:spacing w:after="0" w:line="240" w:lineRule="auto"/>
        <w:ind w:left="0" w:firstLine="709"/>
        <w:contextualSpacing w:val="0"/>
        <w:jc w:val="both"/>
        <w:rPr>
          <w:snapToGrid w:val="0"/>
          <w:sz w:val="26"/>
          <w:szCs w:val="26"/>
        </w:rPr>
      </w:pPr>
      <w:r w:rsidRPr="00EC2DBF">
        <w:rPr>
          <w:rFonts w:ascii="Times New Roman" w:hAnsi="Times New Roman"/>
          <w:snapToGrid w:val="0"/>
          <w:sz w:val="26"/>
          <w:szCs w:val="26"/>
        </w:rPr>
        <w:lastRenderedPageBreak/>
        <w:t>ухудшение демографической обстановки в случае отсутствия комплекса мероприятий по решению проблем жилищной сферы: снижение уровня рождаемости; рост числа разводов; повышение уровня миграционной убыли населения, повышение дефицита кадров в основных отраслях экономики и социальной сферы.</w:t>
      </w:r>
    </w:p>
    <w:p w:rsidR="004616EA" w:rsidRPr="00EC2DBF" w:rsidRDefault="004616EA" w:rsidP="00EC2DBF">
      <w:pPr>
        <w:pStyle w:val="3"/>
        <w:spacing w:line="240" w:lineRule="auto"/>
        <w:ind w:firstLine="709"/>
        <w:rPr>
          <w:rStyle w:val="a4"/>
          <w:color w:val="auto"/>
          <w:sz w:val="26"/>
          <w:u w:val="none"/>
        </w:rPr>
      </w:pPr>
      <w:bookmarkStart w:id="43" w:name="_Toc387238994"/>
      <w:r w:rsidRPr="00EC2DBF">
        <w:rPr>
          <w:rStyle w:val="a4"/>
          <w:color w:val="auto"/>
          <w:sz w:val="26"/>
          <w:u w:val="none"/>
        </w:rPr>
        <w:lastRenderedPageBreak/>
        <w:tab/>
      </w:r>
      <w:bookmarkStart w:id="44" w:name="_Toc405805490"/>
      <w:r w:rsidRPr="00EC2DBF">
        <w:rPr>
          <w:rStyle w:val="a4"/>
          <w:color w:val="auto"/>
          <w:sz w:val="26"/>
          <w:u w:val="none"/>
        </w:rPr>
        <w:t>2.5.2 Уровень развития социальной инфраструктуры</w:t>
      </w:r>
      <w:bookmarkEnd w:id="43"/>
      <w:bookmarkEnd w:id="44"/>
      <w:r w:rsidRPr="00EC2DBF">
        <w:rPr>
          <w:rStyle w:val="a4"/>
          <w:color w:val="auto"/>
          <w:sz w:val="26"/>
          <w:u w:val="none"/>
        </w:rPr>
        <w:t xml:space="preserve"> </w:t>
      </w:r>
    </w:p>
    <w:p w:rsidR="004616EA" w:rsidRPr="00EC2DBF" w:rsidRDefault="004616EA" w:rsidP="00EC2DBF">
      <w:pPr>
        <w:pStyle w:val="ab"/>
        <w:tabs>
          <w:tab w:val="left" w:pos="993"/>
        </w:tabs>
        <w:spacing w:before="0" w:after="0"/>
        <w:ind w:firstLine="709"/>
        <w:rPr>
          <w:sz w:val="26"/>
          <w:szCs w:val="26"/>
        </w:rPr>
      </w:pPr>
      <w:r w:rsidRPr="00EC2DBF">
        <w:rPr>
          <w:sz w:val="26"/>
          <w:szCs w:val="26"/>
        </w:rPr>
        <w:t xml:space="preserve">Социальная инфраструктура - система необходимых для жизнеобеспечения человека объектов, коммуникаций, а также предприятий, учреждений и организаций, оказывающих социальные услуги населению, органов </w:t>
      </w:r>
      <w:r w:rsidRPr="00EC2DBF">
        <w:rPr>
          <w:sz w:val="26"/>
          <w:szCs w:val="26"/>
        </w:rPr>
        <w:lastRenderedPageBreak/>
        <w:t>управления и кадров, деятельность которых направлена на удовлетворение общественных потребностей граждан соответственно установленным показателям качества жизни.</w:t>
      </w:r>
    </w:p>
    <w:p w:rsidR="004616EA" w:rsidRPr="00EC2DBF" w:rsidRDefault="004616EA" w:rsidP="00EC2DBF">
      <w:pPr>
        <w:pStyle w:val="ab"/>
        <w:tabs>
          <w:tab w:val="left" w:pos="993"/>
        </w:tabs>
        <w:spacing w:before="0" w:after="0"/>
        <w:ind w:firstLine="709"/>
        <w:rPr>
          <w:sz w:val="26"/>
          <w:szCs w:val="26"/>
        </w:rPr>
      </w:pPr>
      <w:r w:rsidRPr="00EC2DBF">
        <w:rPr>
          <w:sz w:val="26"/>
          <w:szCs w:val="26"/>
        </w:rPr>
        <w:t>Социальная инфраструктура г. Когалыма включает в себя:</w:t>
      </w:r>
    </w:p>
    <w:p w:rsidR="004616EA" w:rsidRPr="00EC2DBF" w:rsidRDefault="004616EA" w:rsidP="00EC2DBF">
      <w:pPr>
        <w:pStyle w:val="a9"/>
        <w:numPr>
          <w:ilvl w:val="0"/>
          <w:numId w:val="36"/>
        </w:numPr>
        <w:tabs>
          <w:tab w:val="left" w:pos="993"/>
        </w:tabs>
        <w:spacing w:after="0"/>
        <w:ind w:left="0" w:firstLine="709"/>
        <w:rPr>
          <w:sz w:val="26"/>
          <w:szCs w:val="26"/>
        </w:rPr>
      </w:pPr>
      <w:r w:rsidRPr="00EC2DBF">
        <w:rPr>
          <w:sz w:val="26"/>
          <w:szCs w:val="26"/>
        </w:rPr>
        <w:t>систему образования и воспитания детей;</w:t>
      </w:r>
    </w:p>
    <w:p w:rsidR="004616EA" w:rsidRPr="00EC2DBF" w:rsidRDefault="004616EA" w:rsidP="00EC2DBF">
      <w:pPr>
        <w:pStyle w:val="a9"/>
        <w:numPr>
          <w:ilvl w:val="0"/>
          <w:numId w:val="36"/>
        </w:numPr>
        <w:tabs>
          <w:tab w:val="left" w:pos="993"/>
        </w:tabs>
        <w:spacing w:after="0"/>
        <w:ind w:left="0" w:firstLine="709"/>
        <w:rPr>
          <w:sz w:val="26"/>
          <w:szCs w:val="26"/>
        </w:rPr>
      </w:pPr>
      <w:r w:rsidRPr="00EC2DBF">
        <w:rPr>
          <w:sz w:val="26"/>
          <w:szCs w:val="26"/>
        </w:rPr>
        <w:lastRenderedPageBreak/>
        <w:t>систему здравоохранения и социального обслуживания населения;</w:t>
      </w:r>
    </w:p>
    <w:p w:rsidR="004616EA" w:rsidRPr="00EC2DBF" w:rsidRDefault="004616EA" w:rsidP="00EC2DBF">
      <w:pPr>
        <w:pStyle w:val="a9"/>
        <w:numPr>
          <w:ilvl w:val="0"/>
          <w:numId w:val="36"/>
        </w:numPr>
        <w:tabs>
          <w:tab w:val="left" w:pos="993"/>
        </w:tabs>
        <w:spacing w:after="0"/>
        <w:ind w:left="0" w:firstLine="709"/>
        <w:rPr>
          <w:sz w:val="26"/>
          <w:szCs w:val="26"/>
        </w:rPr>
      </w:pPr>
      <w:r w:rsidRPr="00EC2DBF">
        <w:rPr>
          <w:sz w:val="26"/>
          <w:szCs w:val="26"/>
        </w:rPr>
        <w:t>систему учреждений культуры и искусства;</w:t>
      </w:r>
    </w:p>
    <w:p w:rsidR="004616EA" w:rsidRPr="00EC2DBF" w:rsidRDefault="004616EA" w:rsidP="00EC2DBF">
      <w:pPr>
        <w:pStyle w:val="a9"/>
        <w:numPr>
          <w:ilvl w:val="0"/>
          <w:numId w:val="36"/>
        </w:numPr>
        <w:tabs>
          <w:tab w:val="left" w:pos="993"/>
        </w:tabs>
        <w:spacing w:after="0"/>
        <w:ind w:left="0" w:firstLine="709"/>
        <w:rPr>
          <w:sz w:val="26"/>
          <w:szCs w:val="26"/>
        </w:rPr>
      </w:pPr>
      <w:r w:rsidRPr="00EC2DBF">
        <w:rPr>
          <w:sz w:val="26"/>
          <w:szCs w:val="26"/>
        </w:rPr>
        <w:t>систему учреждений физической культуры, спорта;</w:t>
      </w:r>
    </w:p>
    <w:p w:rsidR="004616EA" w:rsidRPr="00EC2DBF" w:rsidRDefault="004616EA" w:rsidP="00EC2DBF">
      <w:pPr>
        <w:pStyle w:val="a9"/>
        <w:numPr>
          <w:ilvl w:val="0"/>
          <w:numId w:val="36"/>
        </w:numPr>
        <w:tabs>
          <w:tab w:val="left" w:pos="993"/>
        </w:tabs>
        <w:spacing w:after="0"/>
        <w:ind w:left="0" w:firstLine="709"/>
        <w:rPr>
          <w:sz w:val="26"/>
          <w:szCs w:val="26"/>
        </w:rPr>
      </w:pPr>
      <w:r w:rsidRPr="00EC2DBF">
        <w:rPr>
          <w:sz w:val="26"/>
          <w:szCs w:val="26"/>
        </w:rPr>
        <w:t>систему учреждений молодёжной политики.</w:t>
      </w:r>
    </w:p>
    <w:p w:rsidR="004616EA" w:rsidRPr="00EC2DBF" w:rsidRDefault="004616EA" w:rsidP="00EC2DBF">
      <w:pPr>
        <w:pStyle w:val="ab"/>
        <w:tabs>
          <w:tab w:val="left" w:pos="993"/>
        </w:tabs>
        <w:spacing w:before="0" w:after="0"/>
        <w:ind w:firstLine="709"/>
        <w:rPr>
          <w:b/>
          <w:sz w:val="26"/>
          <w:szCs w:val="26"/>
        </w:rPr>
      </w:pPr>
      <w:r w:rsidRPr="00EC2DBF">
        <w:rPr>
          <w:b/>
          <w:sz w:val="26"/>
          <w:szCs w:val="26"/>
        </w:rPr>
        <w:lastRenderedPageBreak/>
        <w:t>Система образования и воспитания молодежи</w:t>
      </w:r>
    </w:p>
    <w:p w:rsidR="004616EA" w:rsidRPr="00EC2DBF" w:rsidRDefault="004616EA" w:rsidP="00EC2DBF">
      <w:pPr>
        <w:pStyle w:val="ab"/>
        <w:tabs>
          <w:tab w:val="left" w:pos="993"/>
        </w:tabs>
        <w:spacing w:before="0" w:after="0"/>
        <w:ind w:firstLine="709"/>
        <w:rPr>
          <w:sz w:val="26"/>
          <w:szCs w:val="26"/>
        </w:rPr>
      </w:pPr>
      <w:r w:rsidRPr="00EC2DBF">
        <w:rPr>
          <w:sz w:val="26"/>
          <w:szCs w:val="26"/>
        </w:rPr>
        <w:t xml:space="preserve">Сеть образовательных организаций, подведомственных Управлению образования администрации города Когалыма представлена 23 образовательными организациями различных типов </w:t>
      </w:r>
      <w:r w:rsidRPr="00EC2DBF">
        <w:rPr>
          <w:sz w:val="26"/>
          <w:szCs w:val="26"/>
        </w:rPr>
        <w:lastRenderedPageBreak/>
        <w:t>и видов, что обеспечивает право выбора доступных качественных образовательных услуг.</w:t>
      </w:r>
    </w:p>
    <w:p w:rsidR="004616EA" w:rsidRPr="00EC2DBF" w:rsidRDefault="004616EA" w:rsidP="00EC2DBF">
      <w:pPr>
        <w:pStyle w:val="ab"/>
        <w:numPr>
          <w:ilvl w:val="0"/>
          <w:numId w:val="37"/>
        </w:numPr>
        <w:tabs>
          <w:tab w:val="left" w:pos="0"/>
        </w:tabs>
        <w:spacing w:before="0" w:after="0"/>
        <w:ind w:left="0" w:firstLine="709"/>
        <w:rPr>
          <w:sz w:val="26"/>
          <w:szCs w:val="26"/>
        </w:rPr>
      </w:pPr>
      <w:r w:rsidRPr="00EC2DBF">
        <w:rPr>
          <w:sz w:val="26"/>
          <w:szCs w:val="26"/>
        </w:rPr>
        <w:t>7 общеобразовательных организаций на 5,1 тыс. мест;</w:t>
      </w:r>
    </w:p>
    <w:p w:rsidR="004616EA" w:rsidRPr="00EC2DBF" w:rsidRDefault="004616EA" w:rsidP="00EC2DBF">
      <w:pPr>
        <w:pStyle w:val="ab"/>
        <w:numPr>
          <w:ilvl w:val="0"/>
          <w:numId w:val="37"/>
        </w:numPr>
        <w:tabs>
          <w:tab w:val="left" w:pos="0"/>
        </w:tabs>
        <w:spacing w:before="0" w:after="0"/>
        <w:ind w:left="0" w:firstLine="709"/>
        <w:rPr>
          <w:sz w:val="26"/>
          <w:szCs w:val="26"/>
        </w:rPr>
      </w:pPr>
      <w:r w:rsidRPr="00EC2DBF">
        <w:rPr>
          <w:sz w:val="26"/>
          <w:szCs w:val="26"/>
        </w:rPr>
        <w:t>14 дошкольных образовательных организаций на 4,1 тыс. мест;</w:t>
      </w:r>
    </w:p>
    <w:p w:rsidR="004616EA" w:rsidRPr="00EC2DBF" w:rsidRDefault="004616EA" w:rsidP="00EC2DBF">
      <w:pPr>
        <w:pStyle w:val="ab"/>
        <w:numPr>
          <w:ilvl w:val="0"/>
          <w:numId w:val="37"/>
        </w:numPr>
        <w:tabs>
          <w:tab w:val="left" w:pos="0"/>
        </w:tabs>
        <w:spacing w:before="0" w:after="0"/>
        <w:ind w:left="0" w:firstLine="709"/>
        <w:rPr>
          <w:sz w:val="26"/>
          <w:szCs w:val="26"/>
        </w:rPr>
      </w:pPr>
      <w:r w:rsidRPr="00EC2DBF">
        <w:rPr>
          <w:sz w:val="26"/>
          <w:szCs w:val="26"/>
        </w:rPr>
        <w:lastRenderedPageBreak/>
        <w:t>2 организации дополнительного образования на 0,4 тыс. мест.</w:t>
      </w:r>
    </w:p>
    <w:p w:rsidR="004616EA" w:rsidRPr="00EC2DBF" w:rsidRDefault="004616EA" w:rsidP="00EC2DBF">
      <w:pPr>
        <w:pStyle w:val="ab"/>
        <w:tabs>
          <w:tab w:val="left" w:pos="993"/>
        </w:tabs>
        <w:spacing w:before="0" w:after="0"/>
        <w:ind w:firstLine="709"/>
        <w:rPr>
          <w:sz w:val="26"/>
          <w:szCs w:val="26"/>
        </w:rPr>
      </w:pPr>
      <w:r w:rsidRPr="00EC2DBF">
        <w:rPr>
          <w:sz w:val="26"/>
          <w:szCs w:val="26"/>
        </w:rPr>
        <w:t xml:space="preserve">Систему подготовки специалистов среднего профессионального образования обеспечивают 3 профессиональные образовательные организации (из них 2 филиала). Численность учащихся в профессиональных образовательных организациях на конец 2013 </w:t>
      </w:r>
      <w:r w:rsidRPr="00EC2DBF">
        <w:rPr>
          <w:sz w:val="26"/>
          <w:szCs w:val="26"/>
        </w:rPr>
        <w:lastRenderedPageBreak/>
        <w:t>года составляла порядка 0,4 тыс. человек.</w:t>
      </w:r>
    </w:p>
    <w:p w:rsidR="004616EA" w:rsidRPr="00EC2DBF" w:rsidRDefault="004616EA" w:rsidP="00EC2DBF">
      <w:pPr>
        <w:pStyle w:val="ab"/>
        <w:tabs>
          <w:tab w:val="left" w:pos="993"/>
        </w:tabs>
        <w:spacing w:before="0" w:after="0"/>
        <w:ind w:firstLine="709"/>
        <w:rPr>
          <w:sz w:val="26"/>
          <w:szCs w:val="26"/>
        </w:rPr>
      </w:pPr>
      <w:r w:rsidRPr="00EC2DBF">
        <w:rPr>
          <w:sz w:val="26"/>
          <w:szCs w:val="26"/>
        </w:rPr>
        <w:t xml:space="preserve">Систему высшего образования в г. Когалыме представляют 3 филиала образовательных организаций высшего образования г. Томска и г. Тюмени. Численность студентов на конец 2013 </w:t>
      </w:r>
      <w:r w:rsidRPr="00EC2DBF">
        <w:rPr>
          <w:sz w:val="26"/>
          <w:szCs w:val="26"/>
        </w:rPr>
        <w:lastRenderedPageBreak/>
        <w:t>года составляла порядка 0,5 тыс. человек. С 01.01.2014 года филиалы прекращают свою деятельность.</w:t>
      </w:r>
    </w:p>
    <w:p w:rsidR="004616EA" w:rsidRPr="00EC2DBF" w:rsidRDefault="004616EA" w:rsidP="00EC2DBF">
      <w:pPr>
        <w:pStyle w:val="ab"/>
        <w:tabs>
          <w:tab w:val="left" w:pos="993"/>
        </w:tabs>
        <w:spacing w:before="0" w:after="0"/>
        <w:ind w:firstLine="709"/>
        <w:rPr>
          <w:sz w:val="26"/>
          <w:szCs w:val="26"/>
        </w:rPr>
      </w:pPr>
      <w:r w:rsidRPr="00EC2DBF">
        <w:rPr>
          <w:sz w:val="26"/>
          <w:szCs w:val="26"/>
        </w:rPr>
        <w:t xml:space="preserve">Профессиональную переподготовку и повышение квалификации работников в сфере нефтегазовой промышленности, получение образования в сфере торговли, транспорта осуществляют негосударственные образовательные </w:t>
      </w:r>
      <w:r w:rsidRPr="00EC2DBF">
        <w:rPr>
          <w:sz w:val="26"/>
          <w:szCs w:val="26"/>
        </w:rPr>
        <w:lastRenderedPageBreak/>
        <w:t>организации, учебно-производственный комбинат, политехнический колледж.</w:t>
      </w:r>
    </w:p>
    <w:p w:rsidR="004616EA" w:rsidRPr="00EC2DBF" w:rsidRDefault="004616EA" w:rsidP="00EC2DBF">
      <w:pPr>
        <w:pStyle w:val="ab"/>
        <w:tabs>
          <w:tab w:val="left" w:pos="993"/>
        </w:tabs>
        <w:spacing w:before="0" w:after="0"/>
        <w:ind w:firstLine="709"/>
        <w:rPr>
          <w:b/>
          <w:sz w:val="26"/>
          <w:szCs w:val="26"/>
        </w:rPr>
      </w:pPr>
      <w:r w:rsidRPr="00EC2DBF">
        <w:rPr>
          <w:b/>
          <w:sz w:val="26"/>
          <w:szCs w:val="26"/>
        </w:rPr>
        <w:t>Система здравоохранения и социального обслуживания населения</w:t>
      </w:r>
    </w:p>
    <w:p w:rsidR="004616EA" w:rsidRPr="00EC2DBF" w:rsidRDefault="004616EA" w:rsidP="00EC2DBF">
      <w:pPr>
        <w:pStyle w:val="ab"/>
        <w:tabs>
          <w:tab w:val="left" w:pos="993"/>
        </w:tabs>
        <w:spacing w:before="0" w:after="0"/>
        <w:ind w:firstLine="709"/>
        <w:rPr>
          <w:sz w:val="26"/>
          <w:szCs w:val="26"/>
        </w:rPr>
      </w:pPr>
      <w:r w:rsidRPr="00EC2DBF">
        <w:rPr>
          <w:sz w:val="26"/>
          <w:szCs w:val="26"/>
        </w:rPr>
        <w:t xml:space="preserve">Система здравоохранения городского округа представлена БУ Ханты-Мансийского автономного округа – </w:t>
      </w:r>
      <w:r w:rsidRPr="00EC2DBF">
        <w:rPr>
          <w:sz w:val="26"/>
          <w:szCs w:val="26"/>
        </w:rPr>
        <w:lastRenderedPageBreak/>
        <w:t>Югры «Когалымская городская больница» -  многопрофильным учреждением, имеющим в своем составе более 50 структурных подразделений, в том числе стационар на 320 круглосуточных коек, амбулаторно-поликлинические структурные подразделения на 1598 посещений в смену и дневной стационар на 86 коек.</w:t>
      </w:r>
    </w:p>
    <w:p w:rsidR="004616EA" w:rsidRPr="00EC2DBF" w:rsidRDefault="004616EA" w:rsidP="00EC2DBF">
      <w:pPr>
        <w:pStyle w:val="ab"/>
        <w:tabs>
          <w:tab w:val="left" w:pos="993"/>
        </w:tabs>
        <w:spacing w:before="0" w:after="0"/>
        <w:ind w:firstLine="709"/>
        <w:rPr>
          <w:sz w:val="26"/>
          <w:szCs w:val="26"/>
        </w:rPr>
      </w:pPr>
      <w:r w:rsidRPr="00EC2DBF">
        <w:rPr>
          <w:sz w:val="26"/>
          <w:szCs w:val="26"/>
        </w:rPr>
        <w:lastRenderedPageBreak/>
        <w:t xml:space="preserve">Согласно изменениям, внесенным Распоряжением Правительства Ханты-Мансийского автономного округа -Югры от 22.12.2012 №762-рп, с 01.01.2014 БУ Ханты-Мансийского автономного округа – Югры «Когалымская городская больница» поменяла ведомственную принадлежность </w:t>
      </w:r>
      <w:r w:rsidRPr="00EC2DBF">
        <w:rPr>
          <w:sz w:val="26"/>
          <w:szCs w:val="26"/>
        </w:rPr>
        <w:lastRenderedPageBreak/>
        <w:t>и перешло в подчинение Департамента здравоохранения Ханты-Мансийского автономного округа-Югры.</w:t>
      </w:r>
    </w:p>
    <w:p w:rsidR="004616EA" w:rsidRPr="00EC2DBF" w:rsidRDefault="004616EA" w:rsidP="00EC2DBF">
      <w:pPr>
        <w:pStyle w:val="ab"/>
        <w:tabs>
          <w:tab w:val="left" w:pos="993"/>
        </w:tabs>
        <w:spacing w:before="0" w:after="0"/>
        <w:ind w:firstLine="709"/>
        <w:rPr>
          <w:sz w:val="26"/>
          <w:szCs w:val="26"/>
        </w:rPr>
      </w:pPr>
      <w:r w:rsidRPr="00EC2DBF">
        <w:rPr>
          <w:sz w:val="26"/>
          <w:szCs w:val="26"/>
        </w:rPr>
        <w:t>По состоянию на 01.01.2014 г. в БУ «Когалымская городская больница» работает 1423 человека, в т.ч. 222 врача, 656 средних медицинских ра</w:t>
      </w:r>
      <w:r w:rsidRPr="00EC2DBF">
        <w:rPr>
          <w:sz w:val="26"/>
          <w:szCs w:val="26"/>
        </w:rPr>
        <w:lastRenderedPageBreak/>
        <w:t>ботников, 335 человек младшего персонала, 4 фармацевтических работника, 206 прочих сотрудников.</w:t>
      </w:r>
    </w:p>
    <w:p w:rsidR="004616EA" w:rsidRPr="00EC2DBF" w:rsidRDefault="004616EA" w:rsidP="00EC2DBF">
      <w:pPr>
        <w:pStyle w:val="ab"/>
        <w:tabs>
          <w:tab w:val="left" w:pos="993"/>
        </w:tabs>
        <w:spacing w:before="0" w:after="0"/>
        <w:ind w:firstLine="709"/>
        <w:rPr>
          <w:sz w:val="26"/>
          <w:szCs w:val="26"/>
        </w:rPr>
      </w:pPr>
      <w:r w:rsidRPr="00EC2DBF">
        <w:rPr>
          <w:sz w:val="26"/>
          <w:szCs w:val="26"/>
        </w:rPr>
        <w:t xml:space="preserve">Система учреждений социального обслуживания населения г. Когалыма представлена БУ Ханты-Мансийского автономного округа - Югры «Комплексный центр социального обслуживания населения «Жемчужина». С </w:t>
      </w:r>
      <w:r w:rsidRPr="00EC2DBF">
        <w:rPr>
          <w:sz w:val="26"/>
          <w:szCs w:val="26"/>
        </w:rPr>
        <w:lastRenderedPageBreak/>
        <w:t xml:space="preserve">01.06.2013 года осуществлена реорганизация двух социальных учреждений, путем присоединения БУ «Центр социальной помощи семье и детям «Радуга надежды» к БУ «Комплексный центр социального обслуживания населения «Жемчужина». Деятельность Центра направлена на оказание </w:t>
      </w:r>
      <w:r w:rsidRPr="00EC2DBF">
        <w:rPr>
          <w:sz w:val="26"/>
          <w:szCs w:val="26"/>
        </w:rPr>
        <w:lastRenderedPageBreak/>
        <w:t>помощи семьям и гражданам, находящимся в трудной жизненной ситуации, содействия в улучшении их социального и материального положения, психологического статуса.</w:t>
      </w:r>
    </w:p>
    <w:p w:rsidR="004616EA" w:rsidRPr="00EC2DBF" w:rsidRDefault="004616EA" w:rsidP="00EC2DBF">
      <w:pPr>
        <w:pStyle w:val="ab"/>
        <w:tabs>
          <w:tab w:val="left" w:pos="993"/>
        </w:tabs>
        <w:spacing w:before="0" w:after="0"/>
        <w:ind w:firstLine="709"/>
        <w:rPr>
          <w:b/>
          <w:sz w:val="26"/>
          <w:szCs w:val="26"/>
        </w:rPr>
      </w:pPr>
      <w:r w:rsidRPr="00EC2DBF">
        <w:rPr>
          <w:b/>
          <w:sz w:val="26"/>
          <w:szCs w:val="26"/>
        </w:rPr>
        <w:t>Система учреждений культуры и искусства</w:t>
      </w:r>
    </w:p>
    <w:p w:rsidR="004616EA" w:rsidRPr="00EC2DBF" w:rsidRDefault="004616EA" w:rsidP="00EC2DBF">
      <w:pPr>
        <w:pStyle w:val="af2"/>
        <w:ind w:firstLine="709"/>
        <w:jc w:val="both"/>
        <w:rPr>
          <w:rFonts w:ascii="Times New Roman" w:hAnsi="Times New Roman"/>
          <w:sz w:val="26"/>
          <w:szCs w:val="26"/>
        </w:rPr>
      </w:pPr>
      <w:r w:rsidRPr="00EC2DBF">
        <w:rPr>
          <w:rFonts w:ascii="Times New Roman" w:hAnsi="Times New Roman"/>
          <w:sz w:val="26"/>
          <w:szCs w:val="26"/>
        </w:rPr>
        <w:lastRenderedPageBreak/>
        <w:t xml:space="preserve">На территории г. Когалыма функционируют 3 учреждения культурно-досугового типа суммарной мощностью 1,37 тыс. мест, осуществляющие организацию и проведение культурно-массовых мероприятий: МАУ «Культурно-досуговый комплекс «Янтарь», </w:t>
      </w:r>
      <w:r w:rsidRPr="00EC2DBF">
        <w:rPr>
          <w:rFonts w:ascii="Times New Roman" w:hAnsi="Times New Roman"/>
          <w:sz w:val="26"/>
          <w:szCs w:val="26"/>
        </w:rPr>
        <w:lastRenderedPageBreak/>
        <w:t>МАУ «Культурно-досуговый комплекс «Метро», МБУ «Культурно-методический центр «АРТ-Праздник».</w:t>
      </w:r>
    </w:p>
    <w:p w:rsidR="004616EA" w:rsidRPr="00EC2DBF" w:rsidRDefault="004616EA" w:rsidP="00EC2DBF">
      <w:pPr>
        <w:pStyle w:val="ab"/>
        <w:tabs>
          <w:tab w:val="left" w:pos="993"/>
        </w:tabs>
        <w:spacing w:before="0" w:after="0"/>
        <w:ind w:firstLine="709"/>
        <w:rPr>
          <w:sz w:val="26"/>
          <w:szCs w:val="26"/>
        </w:rPr>
      </w:pPr>
      <w:r w:rsidRPr="00EC2DBF">
        <w:rPr>
          <w:sz w:val="26"/>
          <w:szCs w:val="26"/>
        </w:rPr>
        <w:t>На базе МАУ «Культурно-досугового комплекса «Янтарь» также осуществляется кинообслуживание населения. Число мест в кинозале – 546.</w:t>
      </w:r>
    </w:p>
    <w:p w:rsidR="004616EA" w:rsidRPr="00EC2DBF" w:rsidRDefault="004616EA" w:rsidP="00EC2DBF">
      <w:pPr>
        <w:pStyle w:val="ab"/>
        <w:tabs>
          <w:tab w:val="left" w:pos="993"/>
        </w:tabs>
        <w:spacing w:before="0" w:after="0"/>
        <w:ind w:firstLine="709"/>
        <w:rPr>
          <w:sz w:val="26"/>
          <w:szCs w:val="26"/>
        </w:rPr>
      </w:pPr>
      <w:r w:rsidRPr="00EC2DBF">
        <w:rPr>
          <w:sz w:val="26"/>
          <w:szCs w:val="26"/>
        </w:rPr>
        <w:t>В состав МАУ «КДК «Метро» входит парк аттракционов.</w:t>
      </w:r>
    </w:p>
    <w:p w:rsidR="004616EA" w:rsidRPr="00EC2DBF" w:rsidRDefault="004616EA" w:rsidP="00EC2DBF">
      <w:pPr>
        <w:pStyle w:val="af2"/>
        <w:ind w:firstLine="709"/>
        <w:jc w:val="both"/>
        <w:rPr>
          <w:rFonts w:ascii="Times New Roman" w:hAnsi="Times New Roman"/>
          <w:sz w:val="26"/>
          <w:szCs w:val="26"/>
        </w:rPr>
      </w:pPr>
      <w:r w:rsidRPr="00EC2DBF">
        <w:rPr>
          <w:rFonts w:ascii="Times New Roman" w:hAnsi="Times New Roman"/>
          <w:sz w:val="26"/>
          <w:szCs w:val="26"/>
        </w:rPr>
        <w:lastRenderedPageBreak/>
        <w:t xml:space="preserve">Библиотечное обслуживание населения осуществляет МБУ «Централизованная библиотечная система». В состав учреждения входят 3 массовые библиотеки: центральная городская библиотека, детская библиотека и библиотека-филиал №2. Библиотечный фонд составляет 133,8 тыс. экземпляров. Библиотечным обслуживанием </w:t>
      </w:r>
      <w:r w:rsidRPr="00EC2DBF">
        <w:rPr>
          <w:rFonts w:ascii="Times New Roman" w:hAnsi="Times New Roman"/>
          <w:sz w:val="26"/>
          <w:szCs w:val="26"/>
        </w:rPr>
        <w:lastRenderedPageBreak/>
        <w:t>охвачено 28,6% населения города Когалыма.</w:t>
      </w:r>
    </w:p>
    <w:p w:rsidR="004616EA" w:rsidRPr="00EC2DBF" w:rsidRDefault="004616EA" w:rsidP="00EC2DBF">
      <w:pPr>
        <w:pStyle w:val="ab"/>
        <w:tabs>
          <w:tab w:val="left" w:pos="993"/>
        </w:tabs>
        <w:spacing w:before="0" w:after="0"/>
        <w:ind w:firstLine="709"/>
        <w:rPr>
          <w:sz w:val="26"/>
          <w:szCs w:val="26"/>
        </w:rPr>
      </w:pPr>
      <w:r w:rsidRPr="00EC2DBF">
        <w:rPr>
          <w:sz w:val="26"/>
          <w:szCs w:val="26"/>
        </w:rPr>
        <w:t xml:space="preserve">Культурно-просветительская деятельность также ведется на базе Муниципального бюджетного учреждения «Музейно-выставочный центр».   МБУ «МВЦ» образовано 1 июля 2011 года, в результате слияния двух Муниципальных бюджетных учреждений: </w:t>
      </w:r>
      <w:r w:rsidRPr="00EC2DBF">
        <w:rPr>
          <w:sz w:val="26"/>
          <w:szCs w:val="26"/>
        </w:rPr>
        <w:lastRenderedPageBreak/>
        <w:t>«Краеведческий музей» и «Музей изобразительных искусств». Музейный фонд составляет 8 995 единиц. В учреждении действует выставочный зал для экспонирования предметов изобразительного и декоративно-прикладного искусства. </w:t>
      </w:r>
    </w:p>
    <w:p w:rsidR="004616EA" w:rsidRPr="00EC2DBF" w:rsidRDefault="004616EA" w:rsidP="00EC2DBF">
      <w:pPr>
        <w:pStyle w:val="ab"/>
        <w:tabs>
          <w:tab w:val="left" w:pos="993"/>
        </w:tabs>
        <w:spacing w:before="0" w:after="0"/>
        <w:ind w:firstLine="709"/>
        <w:rPr>
          <w:b/>
          <w:sz w:val="26"/>
          <w:szCs w:val="26"/>
        </w:rPr>
      </w:pPr>
      <w:r w:rsidRPr="00EC2DBF">
        <w:rPr>
          <w:b/>
          <w:sz w:val="26"/>
          <w:szCs w:val="26"/>
        </w:rPr>
        <w:t>Система физической культуры, спорта</w:t>
      </w:r>
    </w:p>
    <w:p w:rsidR="004616EA" w:rsidRPr="00EC2DBF" w:rsidRDefault="004616EA" w:rsidP="00EC2DBF">
      <w:pPr>
        <w:pStyle w:val="ab"/>
        <w:tabs>
          <w:tab w:val="left" w:pos="993"/>
        </w:tabs>
        <w:spacing w:before="0" w:after="0"/>
        <w:ind w:firstLine="709"/>
        <w:rPr>
          <w:sz w:val="26"/>
          <w:szCs w:val="26"/>
        </w:rPr>
      </w:pPr>
      <w:r w:rsidRPr="00EC2DBF">
        <w:rPr>
          <w:sz w:val="26"/>
          <w:szCs w:val="26"/>
        </w:rPr>
        <w:lastRenderedPageBreak/>
        <w:t>Численность граждан, систематически занимающихся физической культурой и спортом – 15,7 тыс. человек, что составляет 26% от общей численности населения городского округа.</w:t>
      </w:r>
    </w:p>
    <w:p w:rsidR="004616EA" w:rsidRPr="00EC2DBF" w:rsidRDefault="004616EA" w:rsidP="00EC2DBF">
      <w:pPr>
        <w:pStyle w:val="ab"/>
        <w:tabs>
          <w:tab w:val="left" w:pos="993"/>
        </w:tabs>
        <w:spacing w:before="0" w:after="0"/>
        <w:ind w:firstLine="709"/>
        <w:rPr>
          <w:sz w:val="26"/>
          <w:szCs w:val="26"/>
        </w:rPr>
      </w:pPr>
      <w:r w:rsidRPr="00EC2DBF">
        <w:rPr>
          <w:sz w:val="26"/>
          <w:szCs w:val="26"/>
        </w:rPr>
        <w:t xml:space="preserve">Оздоровление населения города Когалыма, организация здорового досуга, проведение спортивно-массовых мероприятий осуществляются на базе </w:t>
      </w:r>
      <w:r w:rsidRPr="00EC2DBF">
        <w:rPr>
          <w:sz w:val="26"/>
          <w:szCs w:val="26"/>
        </w:rPr>
        <w:lastRenderedPageBreak/>
        <w:t>спортивных сооружений.  Материально-техническую базу представляют физкультурно-спортивные залы на 17,3 тыс. кв. м общей площади, плоскостные сооружения на 45,0 тыс. кв. м общей площади, плавательные бассейны на 0,5 тыс. кв. м зеркала воды.</w:t>
      </w:r>
    </w:p>
    <w:p w:rsidR="004616EA" w:rsidRPr="00EC2DBF" w:rsidRDefault="004616EA" w:rsidP="00EC2DBF">
      <w:pPr>
        <w:pStyle w:val="ab"/>
        <w:tabs>
          <w:tab w:val="left" w:pos="993"/>
        </w:tabs>
        <w:spacing w:before="0" w:after="0"/>
        <w:ind w:firstLine="709"/>
        <w:rPr>
          <w:sz w:val="26"/>
          <w:szCs w:val="26"/>
        </w:rPr>
      </w:pPr>
      <w:r w:rsidRPr="00EC2DBF">
        <w:rPr>
          <w:sz w:val="26"/>
          <w:szCs w:val="26"/>
        </w:rPr>
        <w:t xml:space="preserve">На территории г. Когалыма функционирует шесть спортивных объектов: </w:t>
      </w:r>
      <w:r w:rsidRPr="00EC2DBF">
        <w:rPr>
          <w:sz w:val="26"/>
          <w:szCs w:val="26"/>
        </w:rPr>
        <w:lastRenderedPageBreak/>
        <w:t>лыжная база «Снежинка», крытый ледовый дворец «Айсберг», спортивный комплекс «Дворец спорта», «Сибирь», «Дружба» и спортивный центр «Юбилейный».</w:t>
      </w:r>
    </w:p>
    <w:p w:rsidR="004616EA" w:rsidRPr="00EC2DBF" w:rsidRDefault="004616EA" w:rsidP="00EC2DBF">
      <w:pPr>
        <w:pStyle w:val="ab"/>
        <w:tabs>
          <w:tab w:val="left" w:pos="993"/>
        </w:tabs>
        <w:spacing w:before="0" w:after="0"/>
        <w:ind w:firstLine="709"/>
        <w:rPr>
          <w:b/>
          <w:sz w:val="26"/>
          <w:szCs w:val="26"/>
        </w:rPr>
      </w:pPr>
      <w:r w:rsidRPr="00EC2DBF">
        <w:rPr>
          <w:b/>
          <w:sz w:val="26"/>
          <w:szCs w:val="26"/>
        </w:rPr>
        <w:t>Система учреждений молодёжной политики</w:t>
      </w:r>
    </w:p>
    <w:p w:rsidR="004616EA" w:rsidRPr="00EC2DBF" w:rsidRDefault="004616EA" w:rsidP="00EC2DBF">
      <w:pPr>
        <w:pStyle w:val="ab"/>
        <w:tabs>
          <w:tab w:val="left" w:pos="993"/>
        </w:tabs>
        <w:spacing w:before="0" w:after="0"/>
        <w:ind w:firstLine="709"/>
        <w:rPr>
          <w:sz w:val="26"/>
          <w:szCs w:val="26"/>
        </w:rPr>
      </w:pPr>
      <w:r w:rsidRPr="00EC2DBF">
        <w:rPr>
          <w:sz w:val="26"/>
          <w:szCs w:val="26"/>
        </w:rPr>
        <w:t xml:space="preserve">На территории г. Когалыма функционирует 1 учреждение молодёжной </w:t>
      </w:r>
      <w:r w:rsidRPr="00EC2DBF">
        <w:rPr>
          <w:sz w:val="26"/>
          <w:szCs w:val="26"/>
        </w:rPr>
        <w:lastRenderedPageBreak/>
        <w:t xml:space="preserve">политики мощностью 90 мест, осуществляющее организацию деятельности подростковых и молодёжных клубных формирований (клубов, секций, студий и других объединений); организацию и проведение массовых мероприятий, направленных на военно-патриотическое, культурное и </w:t>
      </w:r>
      <w:r w:rsidRPr="00EC2DBF">
        <w:rPr>
          <w:sz w:val="26"/>
          <w:szCs w:val="26"/>
        </w:rPr>
        <w:lastRenderedPageBreak/>
        <w:t>духовно-нравственное воспитание молодёжи; проведение лекций и консультаций правового характера; организацию временного трудоустройства несовершеннолетних граждан.</w:t>
      </w:r>
    </w:p>
    <w:p w:rsidR="004616EA" w:rsidRPr="00EC2DBF" w:rsidRDefault="004616EA" w:rsidP="00EC2DBF">
      <w:pPr>
        <w:pStyle w:val="ab"/>
        <w:tabs>
          <w:tab w:val="left" w:pos="993"/>
        </w:tabs>
        <w:spacing w:before="0" w:after="0"/>
        <w:ind w:firstLine="709"/>
        <w:rPr>
          <w:sz w:val="26"/>
          <w:szCs w:val="26"/>
        </w:rPr>
      </w:pPr>
      <w:r w:rsidRPr="00EC2DBF">
        <w:rPr>
          <w:sz w:val="26"/>
          <w:szCs w:val="26"/>
        </w:rPr>
        <w:t xml:space="preserve">В результате анализа уровня развития социальной инфраструктуры г. Когалыма можно выделить несколько ключевых сильных и слабых сторон </w:t>
      </w:r>
      <w:r w:rsidRPr="00EC2DBF">
        <w:rPr>
          <w:sz w:val="26"/>
          <w:szCs w:val="26"/>
        </w:rPr>
        <w:lastRenderedPageBreak/>
        <w:t>развития территории, а также ряд потенциальных возможностей и угроз:</w:t>
      </w:r>
    </w:p>
    <w:p w:rsidR="004616EA" w:rsidRPr="00EC2DBF" w:rsidRDefault="004616EA" w:rsidP="00EC2DBF">
      <w:pPr>
        <w:keepNext/>
        <w:keepLines/>
        <w:tabs>
          <w:tab w:val="left" w:pos="3198"/>
        </w:tabs>
        <w:spacing w:after="0" w:line="240" w:lineRule="auto"/>
        <w:ind w:firstLine="709"/>
        <w:jc w:val="both"/>
        <w:rPr>
          <w:rFonts w:ascii="Times New Roman" w:hAnsi="Times New Roman"/>
          <w:b/>
          <w:sz w:val="26"/>
          <w:szCs w:val="26"/>
        </w:rPr>
      </w:pPr>
      <w:r w:rsidRPr="00EC2DBF">
        <w:rPr>
          <w:rFonts w:ascii="Times New Roman" w:hAnsi="Times New Roman"/>
          <w:b/>
          <w:sz w:val="26"/>
          <w:szCs w:val="26"/>
        </w:rPr>
        <w:lastRenderedPageBreak/>
        <w:t>Сильные стороны</w:t>
      </w:r>
    </w:p>
    <w:p w:rsidR="004616EA" w:rsidRPr="00EC2DBF" w:rsidRDefault="004616EA" w:rsidP="00EC2DBF">
      <w:pPr>
        <w:keepNext/>
        <w:keepLines/>
        <w:tabs>
          <w:tab w:val="left" w:pos="3198"/>
        </w:tabs>
        <w:spacing w:after="0" w:line="240" w:lineRule="auto"/>
        <w:ind w:firstLine="709"/>
        <w:jc w:val="both"/>
        <w:rPr>
          <w:rFonts w:ascii="Times New Roman" w:hAnsi="Times New Roman"/>
          <w:b/>
          <w:i/>
          <w:sz w:val="26"/>
          <w:szCs w:val="26"/>
        </w:rPr>
      </w:pPr>
      <w:r w:rsidRPr="00EC2DBF">
        <w:rPr>
          <w:rFonts w:ascii="Times New Roman" w:hAnsi="Times New Roman"/>
          <w:b/>
          <w:sz w:val="26"/>
          <w:szCs w:val="26"/>
        </w:rPr>
        <w:t>Система образования и воспитания молодежи</w:t>
      </w:r>
      <w:r w:rsidRPr="00EC2DBF">
        <w:rPr>
          <w:rFonts w:ascii="Times New Roman" w:hAnsi="Times New Roman"/>
          <w:b/>
          <w:i/>
          <w:sz w:val="26"/>
          <w:szCs w:val="26"/>
        </w:rPr>
        <w:tab/>
      </w:r>
    </w:p>
    <w:p w:rsidR="004616EA" w:rsidRPr="00EC2DBF" w:rsidRDefault="004616EA" w:rsidP="00EC2DBF">
      <w:pPr>
        <w:keepNext/>
        <w:keepLines/>
        <w:numPr>
          <w:ilvl w:val="0"/>
          <w:numId w:val="35"/>
        </w:numPr>
        <w:tabs>
          <w:tab w:val="left" w:pos="0"/>
        </w:tabs>
        <w:spacing w:after="0" w:line="240" w:lineRule="auto"/>
        <w:ind w:left="0" w:firstLine="709"/>
        <w:jc w:val="both"/>
        <w:rPr>
          <w:rFonts w:ascii="Times New Roman" w:hAnsi="Times New Roman"/>
          <w:i/>
          <w:sz w:val="26"/>
          <w:szCs w:val="26"/>
        </w:rPr>
      </w:pPr>
      <w:r w:rsidRPr="00EC2DBF">
        <w:rPr>
          <w:rFonts w:ascii="Times New Roman" w:hAnsi="Times New Roman"/>
          <w:i/>
          <w:sz w:val="26"/>
          <w:szCs w:val="26"/>
        </w:rPr>
        <w:t>Высокая доля муниципальных общеобразовательных организаций, соответствующих современным требованиям обучения</w:t>
      </w:r>
    </w:p>
    <w:p w:rsidR="004616EA" w:rsidRPr="00EC2DBF" w:rsidRDefault="004616EA" w:rsidP="00EC2DBF">
      <w:pPr>
        <w:pStyle w:val="ab"/>
        <w:tabs>
          <w:tab w:val="left" w:pos="993"/>
        </w:tabs>
        <w:spacing w:before="0" w:after="0"/>
        <w:ind w:firstLine="709"/>
        <w:rPr>
          <w:sz w:val="26"/>
          <w:szCs w:val="26"/>
        </w:rPr>
      </w:pPr>
      <w:r w:rsidRPr="00EC2DBF">
        <w:rPr>
          <w:sz w:val="26"/>
          <w:szCs w:val="26"/>
        </w:rPr>
        <w:t xml:space="preserve">Все образовательные организации г. Когалыма расположены в типовых </w:t>
      </w:r>
      <w:r w:rsidRPr="00EC2DBF">
        <w:rPr>
          <w:sz w:val="26"/>
          <w:szCs w:val="26"/>
        </w:rPr>
        <w:lastRenderedPageBreak/>
        <w:t>зданиях, имеющих все виды благоустройства. На конец 2013 года в городе нет образовательных организаций, находящихся в аварийном состоянии. Во всех общеобразовательных организациях имеются библиотеки, мастерские, спортивные и актовые залы, медицинские кабинеты и пищеблоки.</w:t>
      </w:r>
    </w:p>
    <w:p w:rsidR="004616EA" w:rsidRPr="00EC2DBF" w:rsidRDefault="004616EA" w:rsidP="00EC2DBF">
      <w:pPr>
        <w:pStyle w:val="ab"/>
        <w:numPr>
          <w:ilvl w:val="0"/>
          <w:numId w:val="35"/>
        </w:numPr>
        <w:tabs>
          <w:tab w:val="left" w:pos="0"/>
        </w:tabs>
        <w:spacing w:before="0" w:after="0"/>
        <w:ind w:left="0" w:firstLine="709"/>
        <w:rPr>
          <w:i/>
          <w:sz w:val="26"/>
          <w:szCs w:val="26"/>
        </w:rPr>
      </w:pPr>
      <w:r w:rsidRPr="00EC2DBF">
        <w:rPr>
          <w:i/>
          <w:sz w:val="26"/>
          <w:szCs w:val="26"/>
        </w:rPr>
        <w:lastRenderedPageBreak/>
        <w:t>Достаточно высокий уровень качества образования</w:t>
      </w:r>
    </w:p>
    <w:p w:rsidR="004616EA" w:rsidRPr="00EC2DBF" w:rsidRDefault="004616EA" w:rsidP="00EC2DBF">
      <w:pPr>
        <w:pStyle w:val="ab"/>
        <w:tabs>
          <w:tab w:val="left" w:pos="993"/>
        </w:tabs>
        <w:spacing w:before="0" w:after="0"/>
        <w:ind w:firstLine="709"/>
        <w:rPr>
          <w:sz w:val="26"/>
          <w:szCs w:val="26"/>
        </w:rPr>
      </w:pPr>
      <w:r w:rsidRPr="00EC2DBF">
        <w:rPr>
          <w:sz w:val="26"/>
          <w:szCs w:val="26"/>
        </w:rPr>
        <w:t xml:space="preserve">Анализ общих показателей общеобразовательной деятельности школ г. Когалыма показал, что уровень средней успеваемости за последние 4 года увеличиваются (в 2012-2013 учебном году составил 46,6%), что говорит о </w:t>
      </w:r>
      <w:r w:rsidRPr="00EC2DBF">
        <w:rPr>
          <w:sz w:val="26"/>
          <w:szCs w:val="26"/>
        </w:rPr>
        <w:lastRenderedPageBreak/>
        <w:t>положительной динамике показателей качества общего образования.</w:t>
      </w:r>
    </w:p>
    <w:p w:rsidR="004616EA" w:rsidRPr="00EC2DBF" w:rsidRDefault="004616EA" w:rsidP="00EC2DBF">
      <w:pPr>
        <w:pStyle w:val="ab"/>
        <w:tabs>
          <w:tab w:val="left" w:pos="993"/>
        </w:tabs>
        <w:spacing w:before="0" w:after="0"/>
        <w:ind w:firstLine="709"/>
        <w:rPr>
          <w:sz w:val="26"/>
          <w:szCs w:val="26"/>
        </w:rPr>
      </w:pPr>
      <w:r w:rsidRPr="00EC2DBF">
        <w:rPr>
          <w:sz w:val="26"/>
          <w:szCs w:val="26"/>
        </w:rPr>
        <w:t>Содержательной основой для объективной и достоверной системы оценки качества образования является единый государственный экзамен (ЕГЭ).</w:t>
      </w:r>
    </w:p>
    <w:p w:rsidR="004616EA" w:rsidRPr="00EC2DBF" w:rsidRDefault="004616EA" w:rsidP="00EC2DBF">
      <w:pPr>
        <w:pStyle w:val="ab"/>
        <w:tabs>
          <w:tab w:val="left" w:pos="993"/>
        </w:tabs>
        <w:spacing w:before="0" w:after="0"/>
        <w:ind w:firstLine="709"/>
        <w:rPr>
          <w:sz w:val="26"/>
          <w:szCs w:val="26"/>
        </w:rPr>
      </w:pPr>
      <w:r w:rsidRPr="00EC2DBF">
        <w:rPr>
          <w:sz w:val="26"/>
          <w:szCs w:val="26"/>
        </w:rPr>
        <w:t xml:space="preserve">В 2013 году в ЕГЭ приняли участие 99,8% выпускников 11 классов. Доля </w:t>
      </w:r>
      <w:r w:rsidRPr="00EC2DBF">
        <w:rPr>
          <w:sz w:val="26"/>
          <w:szCs w:val="26"/>
        </w:rPr>
        <w:lastRenderedPageBreak/>
        <w:t xml:space="preserve">выпускников, успешно сдавших единый государственный экзамен, составляет по математике и русскому языку 99,8% (в 2012 году – 99,4%).  </w:t>
      </w:r>
    </w:p>
    <w:p w:rsidR="004616EA" w:rsidRPr="00EC2DBF" w:rsidRDefault="004616EA" w:rsidP="00EC2DBF">
      <w:pPr>
        <w:pStyle w:val="ab"/>
        <w:tabs>
          <w:tab w:val="left" w:pos="993"/>
        </w:tabs>
        <w:spacing w:before="0" w:after="0"/>
        <w:ind w:firstLine="709"/>
        <w:rPr>
          <w:sz w:val="26"/>
          <w:szCs w:val="26"/>
        </w:rPr>
      </w:pPr>
      <w:r w:rsidRPr="00EC2DBF">
        <w:rPr>
          <w:sz w:val="26"/>
          <w:szCs w:val="26"/>
        </w:rPr>
        <w:t xml:space="preserve">По результатам ЕГЭ 2013 года средний бал по географии, литературе, английскому языку в городе Когалыме выше среднеокружных показателей в целом. </w:t>
      </w:r>
    </w:p>
    <w:p w:rsidR="004616EA" w:rsidRPr="00EC2DBF" w:rsidRDefault="004616EA" w:rsidP="00EC2DBF">
      <w:pPr>
        <w:pStyle w:val="ab"/>
        <w:tabs>
          <w:tab w:val="left" w:pos="993"/>
        </w:tabs>
        <w:spacing w:before="0" w:after="0"/>
        <w:ind w:firstLine="709"/>
        <w:rPr>
          <w:sz w:val="26"/>
          <w:szCs w:val="26"/>
        </w:rPr>
      </w:pPr>
      <w:r w:rsidRPr="00EC2DBF">
        <w:rPr>
          <w:sz w:val="26"/>
          <w:szCs w:val="26"/>
        </w:rPr>
        <w:lastRenderedPageBreak/>
        <w:t>По результатам 2012-2013 учебного года выдано 25 аттестатов об основном общем образовании с отличием (4% от общей численности выпускников), 30 выпускников награждены медалями «За особые успехи в учении» (2011-2012 уч. г.- 35).</w:t>
      </w:r>
    </w:p>
    <w:p w:rsidR="004616EA" w:rsidRPr="00EC2DBF" w:rsidRDefault="004616EA" w:rsidP="00EC2DBF">
      <w:pPr>
        <w:pStyle w:val="ab"/>
        <w:tabs>
          <w:tab w:val="left" w:pos="993"/>
        </w:tabs>
        <w:spacing w:before="0" w:after="0"/>
        <w:ind w:firstLine="709"/>
        <w:rPr>
          <w:sz w:val="26"/>
          <w:szCs w:val="26"/>
        </w:rPr>
      </w:pPr>
      <w:r w:rsidRPr="00EC2DBF">
        <w:rPr>
          <w:sz w:val="26"/>
          <w:szCs w:val="26"/>
        </w:rPr>
        <w:t xml:space="preserve">Средний тестовый бал по предметам ЕГЭ за 2013 по Ханты-Мансийскому </w:t>
      </w:r>
      <w:r w:rsidRPr="00EC2DBF">
        <w:rPr>
          <w:sz w:val="26"/>
          <w:szCs w:val="26"/>
        </w:rPr>
        <w:lastRenderedPageBreak/>
        <w:t>автономному округу -Югре и городу Когалыму представлен ниже (</w:t>
      </w:r>
      <w:r w:rsidR="001977F4">
        <w:fldChar w:fldCharType="begin"/>
      </w:r>
      <w:r w:rsidR="001977F4">
        <w:instrText xml:space="preserve"> REF _Ref397019671 \h  \* MERGEFORMAT </w:instrText>
      </w:r>
      <w:r w:rsidR="001977F4">
        <w:fldChar w:fldCharType="separate"/>
      </w:r>
      <w:r w:rsidR="001977F4" w:rsidRPr="001977F4">
        <w:rPr>
          <w:sz w:val="26"/>
          <w:szCs w:val="26"/>
        </w:rPr>
        <w:t xml:space="preserve">Рисунок </w:t>
      </w:r>
      <w:r w:rsidR="001977F4" w:rsidRPr="001977F4">
        <w:rPr>
          <w:noProof/>
          <w:sz w:val="26"/>
          <w:szCs w:val="26"/>
        </w:rPr>
        <w:t>16</w:t>
      </w:r>
      <w:r w:rsidR="001977F4">
        <w:fldChar w:fldCharType="end"/>
      </w:r>
      <w:r w:rsidRPr="00EC2DBF">
        <w:rPr>
          <w:sz w:val="26"/>
          <w:szCs w:val="26"/>
        </w:rPr>
        <w:t>).</w:t>
      </w:r>
    </w:p>
    <w:p w:rsidR="004616EA" w:rsidRPr="00475E67" w:rsidRDefault="00E70A58" w:rsidP="005D2619">
      <w:pPr>
        <w:keepNext/>
        <w:spacing w:before="120"/>
        <w:jc w:val="center"/>
      </w:pPr>
      <w:r>
        <w:rPr>
          <w:rFonts w:ascii="Times New Roman" w:hAnsi="Times New Roman"/>
          <w:noProof/>
          <w:sz w:val="24"/>
          <w:szCs w:val="24"/>
          <w:lang w:eastAsia="ru-RU"/>
        </w:rPr>
        <w:lastRenderedPageBreak/>
        <w:drawing>
          <wp:inline distT="0" distB="0" distL="0" distR="0">
            <wp:extent cx="5311140" cy="2697480"/>
            <wp:effectExtent l="0" t="0" r="3810" b="7620"/>
            <wp:docPr id="1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41">
                      <a:extLst>
                        <a:ext uri="{28A0092B-C50C-407E-A947-70E740481C1C}">
                          <a14:useLocalDpi xmlns:a14="http://schemas.microsoft.com/office/drawing/2010/main" val="0"/>
                        </a:ext>
                      </a:extLst>
                    </a:blip>
                    <a:srcRect l="2504" r="26649" b="34755"/>
                    <a:stretch>
                      <a:fillRect/>
                    </a:stretch>
                  </pic:blipFill>
                  <pic:spPr bwMode="auto">
                    <a:xfrm>
                      <a:off x="0" y="0"/>
                      <a:ext cx="5311140" cy="2697480"/>
                    </a:xfrm>
                    <a:prstGeom prst="rect">
                      <a:avLst/>
                    </a:prstGeom>
                    <a:noFill/>
                    <a:ln>
                      <a:noFill/>
                    </a:ln>
                  </pic:spPr>
                </pic:pic>
              </a:graphicData>
            </a:graphic>
          </wp:inline>
        </w:drawing>
      </w:r>
    </w:p>
    <w:p w:rsidR="004616EA" w:rsidRPr="00475E67" w:rsidRDefault="004616EA" w:rsidP="005D2619">
      <w:pPr>
        <w:pStyle w:val="af1"/>
        <w:jc w:val="center"/>
        <w:rPr>
          <w:rFonts w:ascii="Times New Roman" w:hAnsi="Times New Roman"/>
          <w:b w:val="0"/>
          <w:color w:val="auto"/>
          <w:sz w:val="36"/>
          <w:szCs w:val="24"/>
        </w:rPr>
      </w:pPr>
      <w:bookmarkStart w:id="45" w:name="_Ref397019671"/>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16</w:t>
      </w:r>
      <w:r w:rsidRPr="00475E67">
        <w:rPr>
          <w:rFonts w:ascii="Times New Roman" w:hAnsi="Times New Roman"/>
          <w:b w:val="0"/>
          <w:color w:val="auto"/>
          <w:sz w:val="24"/>
        </w:rPr>
        <w:fldChar w:fldCharType="end"/>
      </w:r>
      <w:bookmarkEnd w:id="45"/>
      <w:r w:rsidRPr="00475E67">
        <w:rPr>
          <w:rFonts w:ascii="Times New Roman" w:hAnsi="Times New Roman"/>
          <w:b w:val="0"/>
          <w:color w:val="auto"/>
          <w:sz w:val="24"/>
        </w:rPr>
        <w:t xml:space="preserve"> - Средний тестовый бал по предметам ЕГЭ за 2013 по </w:t>
      </w:r>
      <w:r w:rsidRPr="000220A1">
        <w:rPr>
          <w:rFonts w:ascii="Times New Roman" w:hAnsi="Times New Roman"/>
          <w:b w:val="0"/>
          <w:color w:val="auto"/>
          <w:sz w:val="24"/>
        </w:rPr>
        <w:t xml:space="preserve">Ханты-Мансийскому автономному округу </w:t>
      </w:r>
      <w:r w:rsidRPr="00475E67">
        <w:rPr>
          <w:rFonts w:ascii="Times New Roman" w:hAnsi="Times New Roman"/>
          <w:b w:val="0"/>
          <w:color w:val="auto"/>
          <w:sz w:val="24"/>
        </w:rPr>
        <w:t>-Югре и г. Когалыму</w:t>
      </w:r>
    </w:p>
    <w:p w:rsidR="004616EA" w:rsidRPr="0096501D" w:rsidRDefault="004616EA" w:rsidP="0096501D">
      <w:pPr>
        <w:keepNext/>
        <w:keepLines/>
        <w:numPr>
          <w:ilvl w:val="0"/>
          <w:numId w:val="35"/>
        </w:numPr>
        <w:tabs>
          <w:tab w:val="left" w:pos="0"/>
        </w:tabs>
        <w:spacing w:after="0" w:line="240" w:lineRule="auto"/>
        <w:ind w:left="0" w:firstLine="709"/>
        <w:jc w:val="both"/>
        <w:rPr>
          <w:rFonts w:ascii="Times New Roman" w:hAnsi="Times New Roman"/>
          <w:i/>
          <w:sz w:val="26"/>
          <w:szCs w:val="26"/>
        </w:rPr>
      </w:pPr>
      <w:r w:rsidRPr="0096501D">
        <w:rPr>
          <w:rFonts w:ascii="Times New Roman" w:hAnsi="Times New Roman"/>
          <w:i/>
          <w:sz w:val="26"/>
          <w:szCs w:val="26"/>
        </w:rPr>
        <w:lastRenderedPageBreak/>
        <w:t>Создание условий для инклюзивного образования детей с ограниченными возможностями здоровья, детей-инвалидов</w:t>
      </w:r>
    </w:p>
    <w:p w:rsidR="004616EA" w:rsidRPr="0096501D" w:rsidRDefault="004616EA" w:rsidP="0096501D">
      <w:pPr>
        <w:pStyle w:val="ab"/>
        <w:tabs>
          <w:tab w:val="left" w:pos="993"/>
        </w:tabs>
        <w:spacing w:before="0" w:after="0"/>
        <w:ind w:firstLine="709"/>
        <w:rPr>
          <w:sz w:val="26"/>
          <w:szCs w:val="26"/>
        </w:rPr>
      </w:pPr>
      <w:r w:rsidRPr="0096501D">
        <w:rPr>
          <w:sz w:val="26"/>
          <w:szCs w:val="26"/>
        </w:rPr>
        <w:t xml:space="preserve">На базе образовательных организаций г. Когалыма реализуются образовательные программы общего образования, обеспечивающие совместное </w:t>
      </w:r>
      <w:r w:rsidRPr="0096501D">
        <w:rPr>
          <w:sz w:val="26"/>
          <w:szCs w:val="26"/>
        </w:rPr>
        <w:lastRenderedPageBreak/>
        <w:t xml:space="preserve">обучение инвалидов и лиц, не имеющих нарушений развития с целью обеспечения равного доступа к образованию для всех обучающихся с учетом разнообразия особых образовательных потребностей и индивидуальных возможностей. Доля зданий общеобразовательных организаций, в которых создана безбарьерная среда для </w:t>
      </w:r>
      <w:r w:rsidRPr="0096501D">
        <w:rPr>
          <w:sz w:val="26"/>
          <w:szCs w:val="26"/>
        </w:rPr>
        <w:lastRenderedPageBreak/>
        <w:t xml:space="preserve">детей с ограниченными возможностями здоровья в 2013 году увеличилась на 9%. Для расширения доступности образования для детей-инвалидов с 2011 года организовано обучение с использованием дистанционных образовательных технологий, т.е. обучения с применением информационных и телекоммуникационных технологий. </w:t>
      </w:r>
    </w:p>
    <w:p w:rsidR="004616EA" w:rsidRPr="0096501D" w:rsidRDefault="004616EA" w:rsidP="0096501D">
      <w:pPr>
        <w:pStyle w:val="ab"/>
        <w:tabs>
          <w:tab w:val="left" w:pos="993"/>
        </w:tabs>
        <w:spacing w:before="0" w:after="0"/>
        <w:ind w:firstLine="709"/>
        <w:rPr>
          <w:sz w:val="26"/>
          <w:szCs w:val="26"/>
        </w:rPr>
      </w:pPr>
      <w:r w:rsidRPr="0096501D">
        <w:rPr>
          <w:sz w:val="26"/>
          <w:szCs w:val="26"/>
        </w:rPr>
        <w:lastRenderedPageBreak/>
        <w:t>По состоянию на 01.01.2013 в банке данных Управления образования состояло 215 детей-инвалидов, это на 2 человека больше, чем за аналогичный период 2012 года. Из них детей-инвалидов школьного возраста 145 человек. В образовательных организациях г. Когалыма обучаются 90 детей-инва</w:t>
      </w:r>
      <w:r w:rsidRPr="0096501D">
        <w:rPr>
          <w:sz w:val="26"/>
          <w:szCs w:val="26"/>
        </w:rPr>
        <w:lastRenderedPageBreak/>
        <w:t>лидов и 10 человек учатся за пределами города (в т.ч. 7 в специальных (коррекционных) общеобразовательных учреждениях п. Излучинск, г. Бирск, г. Урай, п. Леуши.</w:t>
      </w:r>
    </w:p>
    <w:p w:rsidR="004616EA" w:rsidRPr="0096501D" w:rsidRDefault="004616EA" w:rsidP="0096501D">
      <w:pPr>
        <w:pStyle w:val="ab"/>
        <w:tabs>
          <w:tab w:val="left" w:pos="993"/>
        </w:tabs>
        <w:spacing w:before="0" w:after="0"/>
        <w:ind w:firstLine="709"/>
        <w:rPr>
          <w:sz w:val="26"/>
          <w:szCs w:val="26"/>
        </w:rPr>
      </w:pPr>
      <w:r w:rsidRPr="0096501D">
        <w:rPr>
          <w:sz w:val="26"/>
          <w:szCs w:val="26"/>
        </w:rPr>
        <w:t xml:space="preserve">Из общего числа обучающихся детей-инвалидов в общеобразовательных организациях города 53 человека получают общее образование в очной </w:t>
      </w:r>
      <w:r w:rsidRPr="0096501D">
        <w:rPr>
          <w:sz w:val="26"/>
          <w:szCs w:val="26"/>
        </w:rPr>
        <w:lastRenderedPageBreak/>
        <w:t>форме, 37 человек обучаются на дому по индивидуальным учебным планам.</w:t>
      </w:r>
    </w:p>
    <w:p w:rsidR="004616EA" w:rsidRPr="0096501D" w:rsidRDefault="004616EA" w:rsidP="0096501D">
      <w:pPr>
        <w:keepNext/>
        <w:keepLines/>
        <w:numPr>
          <w:ilvl w:val="0"/>
          <w:numId w:val="35"/>
        </w:numPr>
        <w:tabs>
          <w:tab w:val="left" w:pos="0"/>
        </w:tabs>
        <w:spacing w:after="0" w:line="240" w:lineRule="auto"/>
        <w:ind w:left="0" w:firstLine="709"/>
        <w:jc w:val="both"/>
        <w:rPr>
          <w:rFonts w:ascii="Times New Roman" w:hAnsi="Times New Roman"/>
          <w:i/>
          <w:sz w:val="26"/>
          <w:szCs w:val="26"/>
        </w:rPr>
      </w:pPr>
      <w:r w:rsidRPr="0096501D">
        <w:rPr>
          <w:rFonts w:ascii="Times New Roman" w:hAnsi="Times New Roman"/>
          <w:i/>
          <w:sz w:val="26"/>
          <w:szCs w:val="26"/>
        </w:rPr>
        <w:t xml:space="preserve">Высокая кадровая обеспеченность системы образования </w:t>
      </w:r>
    </w:p>
    <w:p w:rsidR="004616EA" w:rsidRPr="0096501D" w:rsidRDefault="004616EA" w:rsidP="0096501D">
      <w:pPr>
        <w:pStyle w:val="ab"/>
        <w:tabs>
          <w:tab w:val="left" w:pos="993"/>
        </w:tabs>
        <w:spacing w:before="0" w:after="0"/>
        <w:ind w:firstLine="709"/>
        <w:rPr>
          <w:sz w:val="26"/>
          <w:szCs w:val="26"/>
        </w:rPr>
      </w:pPr>
      <w:r w:rsidRPr="0096501D">
        <w:rPr>
          <w:sz w:val="26"/>
          <w:szCs w:val="26"/>
        </w:rPr>
        <w:t>На сегодняшний день все образовательные организации в г. Когалыме укомплектованы полностью. Доля учителей, имеющих высшее образова</w:t>
      </w:r>
      <w:r w:rsidRPr="0096501D">
        <w:rPr>
          <w:sz w:val="26"/>
          <w:szCs w:val="26"/>
        </w:rPr>
        <w:lastRenderedPageBreak/>
        <w:t>ние ежегодно увеличивается и на конец 2013 года составляла порядка 93%, из них 50% составляют педагоги с педагогическим стажем более 20 лет. Профессиональное мастерство педагогических и руководящих работников, их творческий потенциал совершенствуется посредством проведения кур</w:t>
      </w:r>
      <w:r w:rsidRPr="0096501D">
        <w:rPr>
          <w:sz w:val="26"/>
          <w:szCs w:val="26"/>
        </w:rPr>
        <w:lastRenderedPageBreak/>
        <w:t xml:space="preserve">сов повышения квалификации, проведения конкурсов профессионального мастерства, организации методического сопровождения педагогов и проведения методических мероприятий по диссеминации передового опыта (семинары, мастер-классы, открытые уроки). Ежегодно проводится более 55 </w:t>
      </w:r>
      <w:r w:rsidRPr="0096501D">
        <w:rPr>
          <w:sz w:val="26"/>
          <w:szCs w:val="26"/>
        </w:rPr>
        <w:lastRenderedPageBreak/>
        <w:t xml:space="preserve">методических мероприятий, в которых принимают участие более 80% педагогических и руководящих работников. В профессиональных конкурсах ежегодно участвует не менее 40% от общего количества педагогов, работающих в образовательных организациях города. Доля педагогического </w:t>
      </w:r>
      <w:r w:rsidRPr="0096501D">
        <w:rPr>
          <w:sz w:val="26"/>
          <w:szCs w:val="26"/>
        </w:rPr>
        <w:lastRenderedPageBreak/>
        <w:t>персонала общеобразовательных организаций, прошедшего подготовку или повышение квалификации в соответствии с федеральными государственными стандартами каждый год составляет не менее 33%.</w:t>
      </w:r>
    </w:p>
    <w:p w:rsidR="004616EA" w:rsidRPr="0096501D" w:rsidRDefault="004616EA" w:rsidP="0096501D">
      <w:pPr>
        <w:keepNext/>
        <w:keepLines/>
        <w:numPr>
          <w:ilvl w:val="0"/>
          <w:numId w:val="35"/>
        </w:numPr>
        <w:tabs>
          <w:tab w:val="left" w:pos="0"/>
        </w:tabs>
        <w:spacing w:after="0" w:line="240" w:lineRule="auto"/>
        <w:ind w:left="0" w:firstLine="709"/>
        <w:jc w:val="both"/>
        <w:rPr>
          <w:rFonts w:ascii="Times New Roman" w:hAnsi="Times New Roman"/>
          <w:i/>
          <w:sz w:val="26"/>
          <w:szCs w:val="26"/>
        </w:rPr>
      </w:pPr>
      <w:r w:rsidRPr="0096501D">
        <w:rPr>
          <w:rFonts w:ascii="Times New Roman" w:hAnsi="Times New Roman"/>
          <w:i/>
          <w:sz w:val="26"/>
          <w:szCs w:val="26"/>
        </w:rPr>
        <w:lastRenderedPageBreak/>
        <w:t>Выявление и поддержка талантливых, одаренных детей и молодежи</w:t>
      </w:r>
    </w:p>
    <w:p w:rsidR="004616EA" w:rsidRPr="0096501D" w:rsidRDefault="004616EA" w:rsidP="0096501D">
      <w:pPr>
        <w:pStyle w:val="ab"/>
        <w:tabs>
          <w:tab w:val="left" w:pos="993"/>
        </w:tabs>
        <w:spacing w:before="0" w:after="0"/>
        <w:ind w:firstLine="709"/>
        <w:rPr>
          <w:sz w:val="26"/>
          <w:szCs w:val="26"/>
        </w:rPr>
      </w:pPr>
      <w:r w:rsidRPr="0096501D">
        <w:rPr>
          <w:sz w:val="26"/>
          <w:szCs w:val="26"/>
        </w:rPr>
        <w:t>В г. Когалыме сложилась определенная система работы по поиску и поддержке талантливых детей и молодежи, которая формируется на основе различных ведомственных и межведомственных мероприятий (олимпи</w:t>
      </w:r>
      <w:r w:rsidRPr="0096501D">
        <w:rPr>
          <w:sz w:val="26"/>
          <w:szCs w:val="26"/>
        </w:rPr>
        <w:lastRenderedPageBreak/>
        <w:t xml:space="preserve">ады, конференции, спортивные соревнования). Реализация мероприятий по выявлению и поддержке талантливых и способных детей, мотивации и стимулированию победителей, способствовала ежегодному увеличению количества участников. Охват учащихся 5-11 классов, принимающих участие в олимпиадах, составляет порядка 53%. </w:t>
      </w:r>
      <w:r w:rsidRPr="0096501D">
        <w:rPr>
          <w:sz w:val="26"/>
          <w:szCs w:val="26"/>
        </w:rPr>
        <w:lastRenderedPageBreak/>
        <w:t>При этом, доля победителей и призёров в городских, окружных, всероссийских, международных творческих конкурсах (интеллектуальной, спортивной, экологической, творческой направленности) - 22%.</w:t>
      </w:r>
    </w:p>
    <w:p w:rsidR="004616EA" w:rsidRPr="0096501D" w:rsidRDefault="004616EA" w:rsidP="0096501D">
      <w:pPr>
        <w:pStyle w:val="ab"/>
        <w:numPr>
          <w:ilvl w:val="0"/>
          <w:numId w:val="35"/>
        </w:numPr>
        <w:tabs>
          <w:tab w:val="left" w:pos="0"/>
        </w:tabs>
        <w:spacing w:before="0" w:after="0"/>
        <w:ind w:left="0" w:firstLine="709"/>
        <w:rPr>
          <w:i/>
          <w:sz w:val="26"/>
          <w:szCs w:val="26"/>
        </w:rPr>
      </w:pPr>
      <w:r w:rsidRPr="0096501D">
        <w:rPr>
          <w:i/>
          <w:sz w:val="26"/>
          <w:szCs w:val="26"/>
        </w:rPr>
        <w:t xml:space="preserve">Наличие профессиональных образовательных организаций высшего и </w:t>
      </w:r>
      <w:r w:rsidRPr="0096501D">
        <w:rPr>
          <w:i/>
          <w:sz w:val="26"/>
          <w:szCs w:val="26"/>
        </w:rPr>
        <w:lastRenderedPageBreak/>
        <w:t>среднего профессионального образований</w:t>
      </w:r>
    </w:p>
    <w:p w:rsidR="004616EA" w:rsidRPr="0096501D" w:rsidRDefault="004616EA" w:rsidP="0096501D">
      <w:pPr>
        <w:pStyle w:val="ab"/>
        <w:tabs>
          <w:tab w:val="left" w:pos="993"/>
        </w:tabs>
        <w:spacing w:before="0" w:after="0"/>
        <w:ind w:firstLine="709"/>
        <w:rPr>
          <w:sz w:val="26"/>
          <w:szCs w:val="26"/>
        </w:rPr>
      </w:pPr>
      <w:r w:rsidRPr="0096501D">
        <w:rPr>
          <w:sz w:val="26"/>
          <w:szCs w:val="26"/>
        </w:rPr>
        <w:t xml:space="preserve">На сегодняшний день в г. Когалыме существует возможность получения населением полноценного профессионального образования, не выезжая за пределы городского округа. Наличие профессиональных образовательных организаций существенно повышает </w:t>
      </w:r>
      <w:r w:rsidRPr="0096501D">
        <w:rPr>
          <w:sz w:val="26"/>
          <w:szCs w:val="26"/>
        </w:rPr>
        <w:lastRenderedPageBreak/>
        <w:t>социальную привлекательность города. Кроме того, потребности населения городского округа в профессиональном образовании также удовлетворяются за счет учебных заведений, расположенных в г. Сургуте, г. Нижневартовске и г. Ханты-Мансийске.</w:t>
      </w:r>
    </w:p>
    <w:p w:rsidR="004616EA" w:rsidRPr="0096501D" w:rsidRDefault="004616EA" w:rsidP="0096501D">
      <w:pPr>
        <w:pStyle w:val="ab"/>
        <w:numPr>
          <w:ilvl w:val="0"/>
          <w:numId w:val="35"/>
        </w:numPr>
        <w:tabs>
          <w:tab w:val="left" w:pos="0"/>
        </w:tabs>
        <w:spacing w:before="0" w:after="0"/>
        <w:ind w:left="0" w:firstLine="709"/>
        <w:rPr>
          <w:i/>
          <w:sz w:val="26"/>
          <w:szCs w:val="26"/>
        </w:rPr>
      </w:pPr>
      <w:r w:rsidRPr="0096501D">
        <w:rPr>
          <w:i/>
          <w:sz w:val="26"/>
          <w:szCs w:val="26"/>
        </w:rPr>
        <w:lastRenderedPageBreak/>
        <w:t>Развитие предпрофильной подготовки и профильного обучения в общеобразовательных организациях</w:t>
      </w:r>
    </w:p>
    <w:p w:rsidR="004616EA" w:rsidRPr="0096501D" w:rsidRDefault="004616EA" w:rsidP="0096501D">
      <w:pPr>
        <w:pStyle w:val="ab"/>
        <w:tabs>
          <w:tab w:val="left" w:pos="993"/>
        </w:tabs>
        <w:spacing w:before="0" w:after="0"/>
        <w:ind w:firstLine="709"/>
        <w:rPr>
          <w:sz w:val="26"/>
          <w:szCs w:val="26"/>
        </w:rPr>
      </w:pPr>
      <w:r w:rsidRPr="0096501D">
        <w:rPr>
          <w:sz w:val="26"/>
          <w:szCs w:val="26"/>
        </w:rPr>
        <w:t xml:space="preserve">Во всех общеобразовательных организациях города реализуются программы предпрофильной подготовки. Среди учащихся 8 и 9 классов охват таким видом деятельности составляет 100%. Охват обучающихся 10 и 11 </w:t>
      </w:r>
      <w:r w:rsidRPr="0096501D">
        <w:rPr>
          <w:sz w:val="26"/>
          <w:szCs w:val="26"/>
        </w:rPr>
        <w:lastRenderedPageBreak/>
        <w:t>классов профильным обучением составляет 66,1% от общего количества обучающихся 10, 11 классов. Программы предпрофильной подготовки способствуют правильному выбору школьника будущей профессии.</w:t>
      </w:r>
    </w:p>
    <w:p w:rsidR="004616EA" w:rsidRPr="0096501D" w:rsidRDefault="004616EA" w:rsidP="0096501D">
      <w:pPr>
        <w:pStyle w:val="ab"/>
        <w:numPr>
          <w:ilvl w:val="0"/>
          <w:numId w:val="35"/>
        </w:numPr>
        <w:tabs>
          <w:tab w:val="left" w:pos="0"/>
        </w:tabs>
        <w:spacing w:before="0" w:after="0"/>
        <w:ind w:left="0" w:firstLine="709"/>
        <w:rPr>
          <w:i/>
          <w:sz w:val="26"/>
          <w:szCs w:val="26"/>
        </w:rPr>
      </w:pPr>
      <w:r w:rsidRPr="0096501D">
        <w:rPr>
          <w:i/>
          <w:sz w:val="26"/>
          <w:szCs w:val="26"/>
        </w:rPr>
        <w:lastRenderedPageBreak/>
        <w:t>Наличие широкого спектра направленностей программ дополнительного образования детей на базе общеобразовательных организаций</w:t>
      </w:r>
    </w:p>
    <w:p w:rsidR="004616EA" w:rsidRPr="0096501D" w:rsidRDefault="004616EA" w:rsidP="0096501D">
      <w:pPr>
        <w:pStyle w:val="ab"/>
        <w:tabs>
          <w:tab w:val="left" w:pos="993"/>
        </w:tabs>
        <w:spacing w:before="0" w:after="0"/>
        <w:ind w:firstLine="709"/>
        <w:rPr>
          <w:sz w:val="26"/>
          <w:szCs w:val="26"/>
        </w:rPr>
      </w:pPr>
      <w:r w:rsidRPr="0096501D">
        <w:rPr>
          <w:sz w:val="26"/>
          <w:szCs w:val="26"/>
        </w:rPr>
        <w:t xml:space="preserve">Численность детей, занимающихся в организациях дополнительного образования на конец 2013 года составляла порядка 1,5 тыс. детей. Дефицит мест в организациях дополнительного </w:t>
      </w:r>
      <w:r w:rsidRPr="0096501D">
        <w:rPr>
          <w:sz w:val="26"/>
          <w:szCs w:val="26"/>
        </w:rPr>
        <w:lastRenderedPageBreak/>
        <w:t xml:space="preserve">образования компенсируется внеурочной деятельностью творческих объединений, кружков и секций на базе общеобразовательных школ. </w:t>
      </w:r>
    </w:p>
    <w:p w:rsidR="004616EA" w:rsidRPr="0096501D" w:rsidRDefault="004616EA" w:rsidP="0096501D">
      <w:pPr>
        <w:pStyle w:val="ab"/>
        <w:tabs>
          <w:tab w:val="left" w:pos="993"/>
        </w:tabs>
        <w:spacing w:before="0" w:after="0"/>
        <w:ind w:firstLine="709"/>
        <w:rPr>
          <w:sz w:val="26"/>
          <w:szCs w:val="26"/>
        </w:rPr>
      </w:pPr>
      <w:r w:rsidRPr="0096501D">
        <w:rPr>
          <w:sz w:val="26"/>
          <w:szCs w:val="26"/>
        </w:rPr>
        <w:t xml:space="preserve">Охват детей дополнительным образованием в общеобразовательных организациях г. Когалыма составляет порядка 80%. В творческих объединениях, кружках и секциях занимаются </w:t>
      </w:r>
      <w:r w:rsidRPr="0096501D">
        <w:rPr>
          <w:sz w:val="26"/>
          <w:szCs w:val="26"/>
        </w:rPr>
        <w:lastRenderedPageBreak/>
        <w:t>5772 обучающихся. Система дополнительного образования детей развивается по 11 основным направлениям (</w:t>
      </w:r>
      <w:r w:rsidR="001977F4">
        <w:fldChar w:fldCharType="begin"/>
      </w:r>
      <w:r w:rsidR="001977F4">
        <w:instrText xml:space="preserve"> REF _Ref397019718 \h  \* MERGEFORMAT </w:instrText>
      </w:r>
      <w:r w:rsidR="001977F4">
        <w:fldChar w:fldCharType="separate"/>
      </w:r>
      <w:r w:rsidR="001977F4" w:rsidRPr="001977F4">
        <w:rPr>
          <w:sz w:val="26"/>
          <w:szCs w:val="26"/>
        </w:rPr>
        <w:t xml:space="preserve">Рисунок </w:t>
      </w:r>
      <w:r w:rsidR="001977F4" w:rsidRPr="001977F4">
        <w:rPr>
          <w:noProof/>
          <w:sz w:val="26"/>
          <w:szCs w:val="26"/>
        </w:rPr>
        <w:t>17</w:t>
      </w:r>
      <w:r w:rsidR="001977F4">
        <w:fldChar w:fldCharType="end"/>
      </w:r>
      <w:r w:rsidRPr="0096501D">
        <w:rPr>
          <w:sz w:val="26"/>
          <w:szCs w:val="26"/>
        </w:rPr>
        <w:t>).</w:t>
      </w:r>
    </w:p>
    <w:p w:rsidR="004616EA" w:rsidRPr="0096501D" w:rsidRDefault="00E70A58" w:rsidP="0096501D">
      <w:pPr>
        <w:pStyle w:val="ab"/>
        <w:keepNext/>
        <w:tabs>
          <w:tab w:val="left" w:pos="993"/>
        </w:tabs>
        <w:spacing w:before="0" w:after="0"/>
        <w:ind w:firstLine="709"/>
        <w:rPr>
          <w:sz w:val="26"/>
          <w:szCs w:val="26"/>
        </w:rPr>
      </w:pPr>
      <w:r>
        <w:rPr>
          <w:noProof/>
          <w:sz w:val="26"/>
          <w:szCs w:val="26"/>
        </w:rPr>
        <w:lastRenderedPageBreak/>
        <w:drawing>
          <wp:inline distT="0" distB="0" distL="0" distR="0">
            <wp:extent cx="5173980" cy="2842260"/>
            <wp:effectExtent l="0" t="0" r="7620" b="0"/>
            <wp:docPr id="1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42">
                      <a:extLst>
                        <a:ext uri="{28A0092B-C50C-407E-A947-70E740481C1C}">
                          <a14:useLocalDpi xmlns:a14="http://schemas.microsoft.com/office/drawing/2010/main" val="0"/>
                        </a:ext>
                      </a:extLst>
                    </a:blip>
                    <a:srcRect l="3920" t="4149" r="4845" b="2669"/>
                    <a:stretch>
                      <a:fillRect/>
                    </a:stretch>
                  </pic:blipFill>
                  <pic:spPr bwMode="auto">
                    <a:xfrm>
                      <a:off x="0" y="0"/>
                      <a:ext cx="5173980" cy="2842260"/>
                    </a:xfrm>
                    <a:prstGeom prst="rect">
                      <a:avLst/>
                    </a:prstGeom>
                    <a:noFill/>
                    <a:ln>
                      <a:noFill/>
                    </a:ln>
                  </pic:spPr>
                </pic:pic>
              </a:graphicData>
            </a:graphic>
          </wp:inline>
        </w:drawing>
      </w:r>
    </w:p>
    <w:p w:rsidR="004616EA" w:rsidRPr="00475E67" w:rsidRDefault="004616EA" w:rsidP="00B65856">
      <w:pPr>
        <w:pStyle w:val="af1"/>
        <w:jc w:val="center"/>
        <w:rPr>
          <w:rFonts w:ascii="Times New Roman" w:hAnsi="Times New Roman"/>
          <w:b w:val="0"/>
          <w:color w:val="auto"/>
          <w:sz w:val="24"/>
          <w:szCs w:val="24"/>
        </w:rPr>
      </w:pPr>
      <w:bookmarkStart w:id="46" w:name="_Ref397019718"/>
      <w:r w:rsidRPr="00475E67">
        <w:rPr>
          <w:rFonts w:ascii="Times New Roman" w:hAnsi="Times New Roman"/>
          <w:b w:val="0"/>
          <w:color w:val="auto"/>
          <w:sz w:val="24"/>
          <w:szCs w:val="24"/>
        </w:rPr>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sidR="001977F4">
        <w:rPr>
          <w:rFonts w:ascii="Times New Roman" w:hAnsi="Times New Roman"/>
          <w:b w:val="0"/>
          <w:noProof/>
          <w:color w:val="auto"/>
          <w:sz w:val="24"/>
          <w:szCs w:val="24"/>
        </w:rPr>
        <w:t>17</w:t>
      </w:r>
      <w:r w:rsidRPr="00475E67">
        <w:rPr>
          <w:rFonts w:ascii="Times New Roman" w:hAnsi="Times New Roman"/>
          <w:b w:val="0"/>
          <w:color w:val="auto"/>
          <w:sz w:val="24"/>
          <w:szCs w:val="24"/>
        </w:rPr>
        <w:fldChar w:fldCharType="end"/>
      </w:r>
      <w:bookmarkEnd w:id="46"/>
      <w:r w:rsidRPr="00475E67">
        <w:rPr>
          <w:rFonts w:ascii="Times New Roman" w:hAnsi="Times New Roman"/>
          <w:b w:val="0"/>
          <w:color w:val="auto"/>
          <w:sz w:val="24"/>
          <w:szCs w:val="24"/>
        </w:rPr>
        <w:t xml:space="preserve"> - Численность детей, занимающихся дополнительным образованием в разрезе 11 направлений, человек</w:t>
      </w:r>
    </w:p>
    <w:p w:rsidR="004616EA" w:rsidRPr="0096501D" w:rsidRDefault="004616EA" w:rsidP="0096501D">
      <w:pPr>
        <w:pStyle w:val="ab"/>
        <w:numPr>
          <w:ilvl w:val="0"/>
          <w:numId w:val="35"/>
        </w:numPr>
        <w:tabs>
          <w:tab w:val="left" w:pos="0"/>
        </w:tabs>
        <w:spacing w:before="0" w:after="0"/>
        <w:ind w:left="0" w:firstLine="709"/>
        <w:rPr>
          <w:i/>
          <w:sz w:val="26"/>
          <w:szCs w:val="26"/>
        </w:rPr>
      </w:pPr>
      <w:r w:rsidRPr="0096501D">
        <w:rPr>
          <w:i/>
          <w:sz w:val="26"/>
          <w:szCs w:val="26"/>
        </w:rPr>
        <w:lastRenderedPageBreak/>
        <w:t>Особое внимание к потребностям молодого поколения, решения проблем, существующих в молодёжной среде</w:t>
      </w:r>
    </w:p>
    <w:p w:rsidR="004616EA" w:rsidRPr="0096501D" w:rsidRDefault="004616EA" w:rsidP="0096501D">
      <w:pPr>
        <w:pStyle w:val="ab"/>
        <w:tabs>
          <w:tab w:val="left" w:pos="993"/>
        </w:tabs>
        <w:spacing w:before="0" w:after="0"/>
        <w:ind w:firstLine="709"/>
        <w:rPr>
          <w:sz w:val="26"/>
          <w:szCs w:val="26"/>
        </w:rPr>
      </w:pPr>
      <w:r w:rsidRPr="0096501D">
        <w:rPr>
          <w:sz w:val="26"/>
          <w:szCs w:val="26"/>
        </w:rPr>
        <w:t>Отделом молодёжной политики Управления культуры, спорта и молодёжной политики Администрации города Когалыма решаются вопросы ор</w:t>
      </w:r>
      <w:r w:rsidRPr="0096501D">
        <w:rPr>
          <w:sz w:val="26"/>
          <w:szCs w:val="26"/>
        </w:rPr>
        <w:lastRenderedPageBreak/>
        <w:t>ганизации временного трудоустройства безработных несовершеннолетних граждан, организации досуга жителей посредством занятий в творческих коллективах, студиях, клубах по интересам, а также проведение культурно-массовых мероприятий. Клубные формирования учреждения моло</w:t>
      </w:r>
      <w:r w:rsidRPr="0096501D">
        <w:rPr>
          <w:sz w:val="26"/>
          <w:szCs w:val="26"/>
        </w:rPr>
        <w:lastRenderedPageBreak/>
        <w:t>дёжной политики представлены следующими направлениями: гражданско-патриотическое, спортивно-техническое, информационное, вокальное, театральное, духовно-нравственное. Так, ежегодно МБУ «МКЦ «Феникс» и отдел молодёжной политики организовывают более 22 городских массо</w:t>
      </w:r>
      <w:r w:rsidRPr="0096501D">
        <w:rPr>
          <w:sz w:val="26"/>
          <w:szCs w:val="26"/>
        </w:rPr>
        <w:lastRenderedPageBreak/>
        <w:t xml:space="preserve">вых мероприятий, которыми охватывается более 30% от общего количества молодых людей в возрасте от 14 до 30 лет. </w:t>
      </w:r>
    </w:p>
    <w:p w:rsidR="004616EA" w:rsidRPr="0096501D" w:rsidRDefault="004616EA" w:rsidP="0096501D">
      <w:pPr>
        <w:pStyle w:val="ab"/>
        <w:numPr>
          <w:ilvl w:val="0"/>
          <w:numId w:val="35"/>
        </w:numPr>
        <w:tabs>
          <w:tab w:val="left" w:pos="0"/>
        </w:tabs>
        <w:spacing w:before="0" w:after="0"/>
        <w:ind w:left="0" w:firstLine="709"/>
        <w:rPr>
          <w:i/>
          <w:sz w:val="26"/>
          <w:szCs w:val="26"/>
        </w:rPr>
      </w:pPr>
      <w:r w:rsidRPr="0096501D">
        <w:rPr>
          <w:i/>
          <w:sz w:val="26"/>
          <w:szCs w:val="26"/>
        </w:rPr>
        <w:t>Реализация мероприятий по организации досуга и летнего отдыха детей</w:t>
      </w:r>
    </w:p>
    <w:p w:rsidR="004616EA" w:rsidRPr="0096501D" w:rsidRDefault="004616EA" w:rsidP="0096501D">
      <w:pPr>
        <w:pStyle w:val="ab"/>
        <w:tabs>
          <w:tab w:val="left" w:pos="993"/>
        </w:tabs>
        <w:spacing w:before="0" w:after="0"/>
        <w:ind w:firstLine="709"/>
        <w:rPr>
          <w:sz w:val="26"/>
          <w:szCs w:val="26"/>
        </w:rPr>
      </w:pPr>
      <w:r w:rsidRPr="0096501D">
        <w:rPr>
          <w:sz w:val="26"/>
          <w:szCs w:val="26"/>
        </w:rPr>
        <w:lastRenderedPageBreak/>
        <w:t>В целях организации оздоровления, отдыха и занятости детей, организовываются оздоровительные лагеря с дневным пребыванием детей, выездные лагеря (в Тюменской области, Краснодарском крае, г. Новоуральске, походы, экспедиции).</w:t>
      </w:r>
    </w:p>
    <w:p w:rsidR="004616EA" w:rsidRPr="0096501D" w:rsidRDefault="004616EA" w:rsidP="0096501D">
      <w:pPr>
        <w:pStyle w:val="ab"/>
        <w:tabs>
          <w:tab w:val="left" w:pos="993"/>
        </w:tabs>
        <w:spacing w:before="0" w:after="0"/>
        <w:ind w:firstLine="709"/>
        <w:rPr>
          <w:sz w:val="26"/>
          <w:szCs w:val="26"/>
        </w:rPr>
      </w:pPr>
      <w:r w:rsidRPr="0096501D">
        <w:rPr>
          <w:sz w:val="26"/>
          <w:szCs w:val="26"/>
        </w:rPr>
        <w:t xml:space="preserve">В 2012-2013 учебном году организованным отдыхом было охвачено 14483 </w:t>
      </w:r>
      <w:r w:rsidRPr="0096501D">
        <w:rPr>
          <w:sz w:val="26"/>
          <w:szCs w:val="26"/>
        </w:rPr>
        <w:lastRenderedPageBreak/>
        <w:t>человека, включая пришкольные (997 человек) и выездные (1005 человека) лагеря.</w:t>
      </w:r>
    </w:p>
    <w:p w:rsidR="004616EA" w:rsidRPr="0096501D" w:rsidRDefault="004616EA" w:rsidP="0096501D">
      <w:pPr>
        <w:pStyle w:val="ab"/>
        <w:tabs>
          <w:tab w:val="left" w:pos="993"/>
        </w:tabs>
        <w:spacing w:before="0" w:after="0"/>
        <w:ind w:firstLine="709"/>
        <w:rPr>
          <w:b/>
          <w:sz w:val="26"/>
          <w:szCs w:val="26"/>
        </w:rPr>
      </w:pPr>
      <w:r w:rsidRPr="0096501D">
        <w:rPr>
          <w:b/>
          <w:sz w:val="26"/>
          <w:szCs w:val="26"/>
        </w:rPr>
        <w:t>Система здравоохранения и социального обслуживания населения</w:t>
      </w:r>
    </w:p>
    <w:p w:rsidR="004616EA" w:rsidRPr="0096501D" w:rsidRDefault="004616EA" w:rsidP="0096501D">
      <w:pPr>
        <w:pStyle w:val="ab"/>
        <w:numPr>
          <w:ilvl w:val="0"/>
          <w:numId w:val="35"/>
        </w:numPr>
        <w:tabs>
          <w:tab w:val="left" w:pos="0"/>
        </w:tabs>
        <w:spacing w:before="0" w:after="0"/>
        <w:ind w:left="0" w:firstLine="709"/>
        <w:rPr>
          <w:i/>
          <w:sz w:val="26"/>
          <w:szCs w:val="26"/>
        </w:rPr>
      </w:pPr>
      <w:r w:rsidRPr="0096501D">
        <w:rPr>
          <w:i/>
          <w:sz w:val="26"/>
          <w:szCs w:val="26"/>
        </w:rPr>
        <w:t>Решение вопросов социальной поддержки граждан пожилого возраста и инвалидов, семей, женщин, детей </w:t>
      </w:r>
    </w:p>
    <w:p w:rsidR="004616EA" w:rsidRPr="0096501D" w:rsidRDefault="004616EA" w:rsidP="0096501D">
      <w:pPr>
        <w:pStyle w:val="ab"/>
        <w:tabs>
          <w:tab w:val="left" w:pos="993"/>
        </w:tabs>
        <w:spacing w:before="0" w:after="0"/>
        <w:ind w:firstLine="709"/>
        <w:rPr>
          <w:sz w:val="26"/>
          <w:szCs w:val="26"/>
        </w:rPr>
      </w:pPr>
      <w:r w:rsidRPr="0096501D">
        <w:rPr>
          <w:sz w:val="26"/>
          <w:szCs w:val="26"/>
        </w:rPr>
        <w:lastRenderedPageBreak/>
        <w:t>В г. Когалыме на базе БУ Ханты-Мансийского автономного округа - Югры «Комплексный центр социального обслуживания населения «Жемчужина» осуществляется социальная поддержка граждан, обратившихся за помощью; оказание психолого-педагогической помощи льготным катего</w:t>
      </w:r>
      <w:r w:rsidRPr="0096501D">
        <w:rPr>
          <w:sz w:val="26"/>
          <w:szCs w:val="26"/>
        </w:rPr>
        <w:lastRenderedPageBreak/>
        <w:t>риям граждан; социально-психологическая реабилитация несовершеннолетних, оказавшихся в трудной жизненной ситуации; социальная реабилитация граждан пожилого возраста и инвалидов; улучшение их физического и психологического здоровья.</w:t>
      </w:r>
    </w:p>
    <w:p w:rsidR="004616EA" w:rsidRPr="0096501D" w:rsidRDefault="004616EA" w:rsidP="0096501D">
      <w:pPr>
        <w:pStyle w:val="ab"/>
        <w:tabs>
          <w:tab w:val="left" w:pos="993"/>
        </w:tabs>
        <w:spacing w:before="0" w:after="0"/>
        <w:ind w:firstLine="709"/>
        <w:rPr>
          <w:sz w:val="26"/>
          <w:szCs w:val="26"/>
        </w:rPr>
      </w:pPr>
      <w:r w:rsidRPr="0096501D">
        <w:rPr>
          <w:sz w:val="26"/>
          <w:szCs w:val="26"/>
        </w:rPr>
        <w:t xml:space="preserve">Для улучшения ситуации на рынке услуг по социальному обслуживанию </w:t>
      </w:r>
      <w:r w:rsidRPr="0096501D">
        <w:rPr>
          <w:sz w:val="26"/>
          <w:szCs w:val="26"/>
        </w:rPr>
        <w:lastRenderedPageBreak/>
        <w:t>населения на территории автономного округа действует План мероприятий («Дорожная карта») «Повышение эффективности и качества услуг в сфере социального обслуживания населения Ханты-Мансийского автономного округа – Югры (2013-2018 годы)» и Перспективная схема развития и раз</w:t>
      </w:r>
      <w:r w:rsidRPr="0096501D">
        <w:rPr>
          <w:sz w:val="26"/>
          <w:szCs w:val="26"/>
        </w:rPr>
        <w:lastRenderedPageBreak/>
        <w:t>мещения учреждений социального обслуживания населения на территории Ханты-Мансийского автономного округа – Югры на 2014-2020 годы.</w:t>
      </w:r>
    </w:p>
    <w:p w:rsidR="004616EA" w:rsidRPr="0096501D" w:rsidRDefault="004616EA" w:rsidP="0096501D">
      <w:pPr>
        <w:pStyle w:val="ab"/>
        <w:numPr>
          <w:ilvl w:val="0"/>
          <w:numId w:val="35"/>
        </w:numPr>
        <w:tabs>
          <w:tab w:val="left" w:pos="0"/>
        </w:tabs>
        <w:spacing w:before="0" w:after="0"/>
        <w:ind w:left="0" w:firstLine="709"/>
        <w:rPr>
          <w:i/>
          <w:sz w:val="26"/>
          <w:szCs w:val="26"/>
        </w:rPr>
      </w:pPr>
      <w:r w:rsidRPr="0096501D">
        <w:rPr>
          <w:i/>
          <w:sz w:val="26"/>
          <w:szCs w:val="26"/>
        </w:rPr>
        <w:t>Высокая обеспеченность лечебно-профилактическими организациями, оказывающими медицинскую помощь в амбулаторных условиях</w:t>
      </w:r>
    </w:p>
    <w:p w:rsidR="004616EA" w:rsidRPr="0096501D" w:rsidRDefault="004616EA" w:rsidP="0096501D">
      <w:pPr>
        <w:pStyle w:val="ab"/>
        <w:tabs>
          <w:tab w:val="left" w:pos="993"/>
        </w:tabs>
        <w:spacing w:before="0" w:after="0"/>
        <w:ind w:firstLine="709"/>
        <w:rPr>
          <w:sz w:val="26"/>
          <w:szCs w:val="26"/>
        </w:rPr>
      </w:pPr>
      <w:r w:rsidRPr="0096501D">
        <w:rPr>
          <w:sz w:val="26"/>
          <w:szCs w:val="26"/>
        </w:rPr>
        <w:lastRenderedPageBreak/>
        <w:t>В состав амбулаторно-поликлинических подразделений БУ Ханты-Мансийского автономного округа – Югры «Когалымская городская больница» входят: поликлиника по обслуживанию взрослого населения, стоматологическая поликлиника, детская поликлиника, женская консультация. Сум</w:t>
      </w:r>
      <w:r w:rsidRPr="0096501D">
        <w:rPr>
          <w:sz w:val="26"/>
          <w:szCs w:val="26"/>
        </w:rPr>
        <w:lastRenderedPageBreak/>
        <w:t xml:space="preserve">марная мощность амбулаторно-поликлинических подразделений составляет порядка 1,6 тыс. посещений в смену. При нормативе обеспеченности лечебно-профилактическими организациями, оказывающими медицинскую помощь в амбулаторных условиях -  181,5 посещений в смену на 10 тыс. человек, уровень обеспеченности </w:t>
      </w:r>
      <w:r w:rsidRPr="0096501D">
        <w:rPr>
          <w:sz w:val="26"/>
          <w:szCs w:val="26"/>
        </w:rPr>
        <w:lastRenderedPageBreak/>
        <w:t>медицинскими организациями в посещениях в смену превышает нормативную потребность на 45%.</w:t>
      </w:r>
    </w:p>
    <w:p w:rsidR="004616EA" w:rsidRPr="0096501D" w:rsidRDefault="004616EA" w:rsidP="0096501D">
      <w:pPr>
        <w:pStyle w:val="ab"/>
        <w:numPr>
          <w:ilvl w:val="0"/>
          <w:numId w:val="35"/>
        </w:numPr>
        <w:tabs>
          <w:tab w:val="left" w:pos="0"/>
        </w:tabs>
        <w:spacing w:before="0" w:after="0"/>
        <w:ind w:left="0" w:firstLine="709"/>
        <w:rPr>
          <w:i/>
          <w:sz w:val="26"/>
          <w:szCs w:val="26"/>
        </w:rPr>
      </w:pPr>
      <w:r w:rsidRPr="0096501D">
        <w:rPr>
          <w:i/>
          <w:sz w:val="26"/>
          <w:szCs w:val="26"/>
        </w:rPr>
        <w:t xml:space="preserve">Проведение мероприятий по повышению доступности стационарной медицинской помощи </w:t>
      </w:r>
    </w:p>
    <w:p w:rsidR="004616EA" w:rsidRPr="0096501D" w:rsidRDefault="004616EA" w:rsidP="0096501D">
      <w:pPr>
        <w:pStyle w:val="ab"/>
        <w:tabs>
          <w:tab w:val="left" w:pos="993"/>
        </w:tabs>
        <w:spacing w:before="0" w:after="0"/>
        <w:ind w:firstLine="709"/>
        <w:rPr>
          <w:sz w:val="26"/>
          <w:szCs w:val="26"/>
        </w:rPr>
      </w:pPr>
      <w:r w:rsidRPr="0096501D">
        <w:rPr>
          <w:sz w:val="26"/>
          <w:szCs w:val="26"/>
        </w:rPr>
        <w:t>Доступность стационарной медицинской помощи населению обеспечи</w:t>
      </w:r>
      <w:r w:rsidRPr="0096501D">
        <w:rPr>
          <w:sz w:val="26"/>
          <w:szCs w:val="26"/>
        </w:rPr>
        <w:lastRenderedPageBreak/>
        <w:t xml:space="preserve">вается за счет сокращения случаев необоснованных госпитализаций, дифференциации коечного фонда по степени интенсивности лечебного процесса. Структура и мощность коечного фонда БУ Ханты-Мансийского автономного округа – Югры «Когалымская городская больница» приведены в соответствие со структурой и </w:t>
      </w:r>
      <w:r w:rsidRPr="0096501D">
        <w:rPr>
          <w:sz w:val="26"/>
          <w:szCs w:val="26"/>
        </w:rPr>
        <w:lastRenderedPageBreak/>
        <w:t>заболеваемостью населения города Когалыма.</w:t>
      </w:r>
    </w:p>
    <w:p w:rsidR="004616EA" w:rsidRPr="0096501D" w:rsidRDefault="004616EA" w:rsidP="0096501D">
      <w:pPr>
        <w:pStyle w:val="ab"/>
        <w:tabs>
          <w:tab w:val="left" w:pos="993"/>
        </w:tabs>
        <w:spacing w:before="0" w:after="0"/>
        <w:ind w:firstLine="709"/>
        <w:rPr>
          <w:sz w:val="26"/>
          <w:szCs w:val="26"/>
        </w:rPr>
      </w:pPr>
      <w:r w:rsidRPr="0096501D">
        <w:rPr>
          <w:sz w:val="26"/>
          <w:szCs w:val="26"/>
        </w:rPr>
        <w:t xml:space="preserve">Кроме того, мощность коечного фонда на сегодняшний день является достаточной для обеспечения доступности и качества медицинской помощи, что связано с особенностями </w:t>
      </w:r>
      <w:r w:rsidRPr="0096501D">
        <w:rPr>
          <w:sz w:val="26"/>
          <w:szCs w:val="26"/>
        </w:rPr>
        <w:lastRenderedPageBreak/>
        <w:t xml:space="preserve">структуры населения города Когалыма, характеризующейся низкой долей лиц старше 60 лет. </w:t>
      </w:r>
    </w:p>
    <w:p w:rsidR="004616EA" w:rsidRPr="0096501D" w:rsidRDefault="004616EA" w:rsidP="0096501D">
      <w:pPr>
        <w:pStyle w:val="ab"/>
        <w:tabs>
          <w:tab w:val="left" w:pos="993"/>
        </w:tabs>
        <w:spacing w:before="0" w:after="0"/>
        <w:ind w:firstLine="709"/>
        <w:rPr>
          <w:b/>
          <w:sz w:val="26"/>
          <w:szCs w:val="26"/>
        </w:rPr>
      </w:pPr>
      <w:r w:rsidRPr="0096501D">
        <w:rPr>
          <w:b/>
          <w:sz w:val="26"/>
          <w:szCs w:val="26"/>
        </w:rPr>
        <w:t>Система учреждений культуры и искусства</w:t>
      </w:r>
    </w:p>
    <w:p w:rsidR="004616EA" w:rsidRPr="0096501D" w:rsidRDefault="004616EA" w:rsidP="0096501D">
      <w:pPr>
        <w:pStyle w:val="a7"/>
        <w:keepNext/>
        <w:keepLines/>
        <w:numPr>
          <w:ilvl w:val="0"/>
          <w:numId w:val="35"/>
        </w:numPr>
        <w:tabs>
          <w:tab w:val="left" w:pos="0"/>
        </w:tabs>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lastRenderedPageBreak/>
        <w:t>Функционирование центров общественного доступа на базе общедоступных библиотек</w:t>
      </w:r>
    </w:p>
    <w:p w:rsidR="004616EA" w:rsidRPr="0096501D" w:rsidRDefault="004616EA" w:rsidP="0096501D">
      <w:pPr>
        <w:pStyle w:val="ab"/>
        <w:tabs>
          <w:tab w:val="left" w:pos="993"/>
        </w:tabs>
        <w:spacing w:before="0" w:after="0"/>
        <w:ind w:firstLine="709"/>
        <w:rPr>
          <w:sz w:val="26"/>
          <w:szCs w:val="26"/>
        </w:rPr>
      </w:pPr>
      <w:r w:rsidRPr="0096501D">
        <w:rPr>
          <w:sz w:val="26"/>
          <w:szCs w:val="26"/>
        </w:rPr>
        <w:t>Наблюдается активное развитие информатизации библиотек в г. Когалыме. Оснащение библиотек персональными компьютерами составляет 100%. На базе библиотек действуют центры общественного доступа.</w:t>
      </w:r>
    </w:p>
    <w:p w:rsidR="004616EA" w:rsidRPr="0096501D" w:rsidRDefault="004616EA" w:rsidP="0096501D">
      <w:pPr>
        <w:pStyle w:val="ab"/>
        <w:tabs>
          <w:tab w:val="left" w:pos="993"/>
        </w:tabs>
        <w:spacing w:before="0" w:after="0"/>
        <w:ind w:firstLine="709"/>
        <w:rPr>
          <w:sz w:val="26"/>
          <w:szCs w:val="26"/>
        </w:rPr>
      </w:pPr>
      <w:r w:rsidRPr="0096501D">
        <w:rPr>
          <w:sz w:val="26"/>
          <w:szCs w:val="26"/>
        </w:rPr>
        <w:lastRenderedPageBreak/>
        <w:t xml:space="preserve">Центры и пункты общественного доступа на базе общедоступных библиотек обеспечивают на безвозмездной основе возможности доступа к информации граждан, организаций, государственных органов и общественных организаций к стандартному набору информационных и коммуникационных ресурсов и сервисов сети </w:t>
      </w:r>
      <w:r w:rsidRPr="0096501D">
        <w:rPr>
          <w:sz w:val="26"/>
          <w:szCs w:val="26"/>
        </w:rPr>
        <w:lastRenderedPageBreak/>
        <w:t>Интернет, включая организацию доступа к отдельным муниципальным, окружным и федеральным информационным ресурсам, в первую очередь социальной, образовательной, правовой, юридической, культурной и научной направленности.</w:t>
      </w:r>
    </w:p>
    <w:p w:rsidR="004616EA" w:rsidRPr="0096501D" w:rsidRDefault="004616EA" w:rsidP="0096501D">
      <w:pPr>
        <w:pStyle w:val="ab"/>
        <w:tabs>
          <w:tab w:val="left" w:pos="993"/>
        </w:tabs>
        <w:spacing w:before="0" w:after="0"/>
        <w:ind w:firstLine="709"/>
        <w:rPr>
          <w:b/>
          <w:sz w:val="26"/>
          <w:szCs w:val="26"/>
        </w:rPr>
      </w:pPr>
      <w:r w:rsidRPr="0096501D">
        <w:rPr>
          <w:b/>
          <w:sz w:val="26"/>
          <w:szCs w:val="26"/>
        </w:rPr>
        <w:t>Система физической культуры, спорта</w:t>
      </w:r>
    </w:p>
    <w:p w:rsidR="004616EA" w:rsidRPr="0096501D" w:rsidRDefault="004616EA" w:rsidP="0096501D">
      <w:pPr>
        <w:pStyle w:val="a7"/>
        <w:keepNext/>
        <w:keepLines/>
        <w:numPr>
          <w:ilvl w:val="0"/>
          <w:numId w:val="35"/>
        </w:numPr>
        <w:tabs>
          <w:tab w:val="left" w:pos="0"/>
        </w:tabs>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lastRenderedPageBreak/>
        <w:t>Совершенствование подготовки спортсменов высокого класса, спортивного резерва и повышение конкурентоспособности на всероссийской и международной спортивной арене</w:t>
      </w:r>
    </w:p>
    <w:p w:rsidR="004616EA" w:rsidRPr="0096501D" w:rsidRDefault="004616EA" w:rsidP="0096501D">
      <w:pPr>
        <w:pStyle w:val="ab"/>
        <w:tabs>
          <w:tab w:val="left" w:pos="993"/>
        </w:tabs>
        <w:spacing w:before="0" w:after="0"/>
        <w:ind w:firstLine="709"/>
        <w:rPr>
          <w:sz w:val="26"/>
          <w:szCs w:val="26"/>
        </w:rPr>
      </w:pPr>
      <w:r w:rsidRPr="0096501D">
        <w:rPr>
          <w:sz w:val="26"/>
          <w:szCs w:val="26"/>
        </w:rPr>
        <w:t xml:space="preserve">В г. Когалыме развивается более 25 видов спорта, ежегодно проводится </w:t>
      </w:r>
      <w:r w:rsidRPr="0096501D">
        <w:rPr>
          <w:sz w:val="26"/>
          <w:szCs w:val="26"/>
        </w:rPr>
        <w:lastRenderedPageBreak/>
        <w:t xml:space="preserve">порядка 130 спортивных мероприятий, в том числе мероприятия окружного уровня. Каждое спортивное мероприятие способствует развитию массового спорта. </w:t>
      </w:r>
    </w:p>
    <w:p w:rsidR="004616EA" w:rsidRPr="0096501D" w:rsidRDefault="004616EA" w:rsidP="0096501D">
      <w:pPr>
        <w:pStyle w:val="ab"/>
        <w:tabs>
          <w:tab w:val="left" w:pos="993"/>
        </w:tabs>
        <w:spacing w:before="0" w:after="0"/>
        <w:ind w:firstLine="709"/>
        <w:rPr>
          <w:sz w:val="26"/>
          <w:szCs w:val="26"/>
        </w:rPr>
      </w:pPr>
      <w:r w:rsidRPr="0096501D">
        <w:rPr>
          <w:sz w:val="26"/>
          <w:szCs w:val="26"/>
        </w:rPr>
        <w:t>Спортсмены городского округа город Когалым активно и успешно при</w:t>
      </w:r>
      <w:r w:rsidRPr="0096501D">
        <w:rPr>
          <w:sz w:val="26"/>
          <w:szCs w:val="26"/>
        </w:rPr>
        <w:lastRenderedPageBreak/>
        <w:t>нимают участие в окружных, Всероссийских и международных соревнованиях.</w:t>
      </w:r>
    </w:p>
    <w:p w:rsidR="004616EA" w:rsidRPr="0096501D" w:rsidRDefault="004616EA" w:rsidP="0096501D">
      <w:pPr>
        <w:pStyle w:val="ab"/>
        <w:tabs>
          <w:tab w:val="left" w:pos="993"/>
        </w:tabs>
        <w:spacing w:before="0" w:after="0"/>
        <w:ind w:firstLine="709"/>
        <w:rPr>
          <w:sz w:val="26"/>
          <w:szCs w:val="26"/>
        </w:rPr>
      </w:pPr>
      <w:r w:rsidRPr="0096501D">
        <w:rPr>
          <w:sz w:val="26"/>
          <w:szCs w:val="26"/>
        </w:rPr>
        <w:t xml:space="preserve">По итогам 2013 года количество спортсменов, принявших участие в официальных окружных, всероссийских и международных соревнованиях по видам спорта составило порядка 1,5 </w:t>
      </w:r>
      <w:r w:rsidRPr="0096501D">
        <w:rPr>
          <w:sz w:val="26"/>
          <w:szCs w:val="26"/>
        </w:rPr>
        <w:lastRenderedPageBreak/>
        <w:t xml:space="preserve">тыс. человек; количество спортсменов, имеющих спортивное звание: массовые разряды, кандидат в мастера спорта, мастер спорта России – 220 человек. При этом, количество спортсменов городского округа, входящих в состав спортивных сборных команд Ханты-Мансийского автономного </w:t>
      </w:r>
      <w:r w:rsidRPr="0096501D">
        <w:rPr>
          <w:sz w:val="26"/>
          <w:szCs w:val="26"/>
        </w:rPr>
        <w:lastRenderedPageBreak/>
        <w:t>округа -Югры – 26 человек, количество завоеванных спортсменами города Когалыма на официальных окружных, всероссийских и официальных международных соревнованиях медалей по итогам 2013 года – 291.</w:t>
      </w:r>
    </w:p>
    <w:p w:rsidR="004616EA" w:rsidRPr="0096501D" w:rsidRDefault="004616EA" w:rsidP="0096501D">
      <w:pPr>
        <w:keepNext/>
        <w:keepLines/>
        <w:spacing w:after="0" w:line="240" w:lineRule="auto"/>
        <w:ind w:firstLine="709"/>
        <w:jc w:val="both"/>
        <w:rPr>
          <w:rFonts w:ascii="Times New Roman" w:hAnsi="Times New Roman"/>
          <w:b/>
          <w:sz w:val="26"/>
          <w:szCs w:val="26"/>
        </w:rPr>
      </w:pPr>
      <w:r w:rsidRPr="0096501D">
        <w:rPr>
          <w:rFonts w:ascii="Times New Roman" w:hAnsi="Times New Roman"/>
          <w:b/>
          <w:sz w:val="26"/>
          <w:szCs w:val="26"/>
        </w:rPr>
        <w:lastRenderedPageBreak/>
        <w:t>Слабые стороны</w:t>
      </w:r>
    </w:p>
    <w:p w:rsidR="004616EA" w:rsidRPr="0096501D" w:rsidRDefault="004616EA" w:rsidP="0096501D">
      <w:pPr>
        <w:pStyle w:val="a7"/>
        <w:keepNext/>
        <w:keepLines/>
        <w:numPr>
          <w:ilvl w:val="0"/>
          <w:numId w:val="38"/>
        </w:numPr>
        <w:tabs>
          <w:tab w:val="left" w:pos="0"/>
        </w:tabs>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 xml:space="preserve">Низкий уровень обеспеченности организациями дополнительного образования детей </w:t>
      </w:r>
    </w:p>
    <w:p w:rsidR="004616EA" w:rsidRPr="0096501D" w:rsidRDefault="004616EA" w:rsidP="0096501D">
      <w:pPr>
        <w:keepNext/>
        <w:keepLines/>
        <w:tabs>
          <w:tab w:val="left" w:pos="993"/>
          <w:tab w:val="left" w:pos="1134"/>
        </w:tabs>
        <w:spacing w:after="0" w:line="240" w:lineRule="auto"/>
        <w:ind w:firstLine="709"/>
        <w:jc w:val="both"/>
        <w:rPr>
          <w:rFonts w:ascii="Times New Roman" w:hAnsi="Times New Roman"/>
          <w:sz w:val="26"/>
          <w:szCs w:val="26"/>
        </w:rPr>
      </w:pPr>
      <w:r w:rsidRPr="0096501D">
        <w:rPr>
          <w:rFonts w:ascii="Times New Roman" w:hAnsi="Times New Roman"/>
          <w:sz w:val="26"/>
          <w:szCs w:val="26"/>
        </w:rPr>
        <w:lastRenderedPageBreak/>
        <w:t xml:space="preserve">На конец 2013 года суммарная проектная мощность организаций дополнительного образования составила 1,5 тыс. мест, в то время как нормативная потребность с учетом численности детей возраста от 5 до 18 лет составила 5 тыс. мест. Таким образом, существующие мощности действующих объектов не покрывают потребность городского </w:t>
      </w:r>
      <w:r w:rsidRPr="0096501D">
        <w:rPr>
          <w:rFonts w:ascii="Times New Roman" w:hAnsi="Times New Roman"/>
          <w:sz w:val="26"/>
          <w:szCs w:val="26"/>
        </w:rPr>
        <w:lastRenderedPageBreak/>
        <w:t>округа в организациях дополнительного образования.</w:t>
      </w:r>
    </w:p>
    <w:p w:rsidR="004616EA" w:rsidRPr="0096501D" w:rsidRDefault="004616EA" w:rsidP="0096501D">
      <w:pPr>
        <w:pStyle w:val="a7"/>
        <w:keepNext/>
        <w:keepLines/>
        <w:numPr>
          <w:ilvl w:val="0"/>
          <w:numId w:val="38"/>
        </w:numPr>
        <w:tabs>
          <w:tab w:val="left" w:pos="0"/>
        </w:tabs>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Недостаточный уровень обеспеченности общеобразовательными организациями</w:t>
      </w:r>
    </w:p>
    <w:p w:rsidR="004616EA" w:rsidRPr="0096501D" w:rsidRDefault="004616EA" w:rsidP="0096501D">
      <w:pPr>
        <w:keepNext/>
        <w:keepLines/>
        <w:tabs>
          <w:tab w:val="num" w:pos="0"/>
          <w:tab w:val="left" w:pos="3198"/>
        </w:tabs>
        <w:spacing w:after="0" w:line="240" w:lineRule="auto"/>
        <w:ind w:firstLine="709"/>
        <w:jc w:val="both"/>
        <w:rPr>
          <w:rFonts w:ascii="Times New Roman" w:hAnsi="Times New Roman"/>
          <w:sz w:val="26"/>
          <w:szCs w:val="26"/>
        </w:rPr>
      </w:pPr>
      <w:r w:rsidRPr="0096501D">
        <w:rPr>
          <w:rFonts w:ascii="Times New Roman" w:hAnsi="Times New Roman"/>
          <w:sz w:val="26"/>
          <w:szCs w:val="26"/>
        </w:rPr>
        <w:lastRenderedPageBreak/>
        <w:t xml:space="preserve">На конец 2013 года суммарная мощность общеобразовательных школ составила 5,1 тыс. мест, в то время как нормативная потребность с учетом численности детей школьного возраста составила 6,8 тыс. мест. Таким образом, существующие мощности действующих общеобразовательных </w:t>
      </w:r>
      <w:r w:rsidRPr="0096501D">
        <w:rPr>
          <w:rFonts w:ascii="Times New Roman" w:hAnsi="Times New Roman"/>
          <w:sz w:val="26"/>
          <w:szCs w:val="26"/>
        </w:rPr>
        <w:lastRenderedPageBreak/>
        <w:t>школ не в полной мере покрывают потребность городского округа в общеобразовательных услугах, о чем свидетельствует достаточно высокая доля обучающихся во вторую смену – 32,6%. Показатель средней наполняемости классов растет и в 2013 году составил – 22,9. Большинство общеобра</w:t>
      </w:r>
      <w:r w:rsidRPr="0096501D">
        <w:rPr>
          <w:rFonts w:ascii="Times New Roman" w:hAnsi="Times New Roman"/>
          <w:sz w:val="26"/>
          <w:szCs w:val="26"/>
        </w:rPr>
        <w:lastRenderedPageBreak/>
        <w:t>зовательных организаций перегружены, при этом средний процент загруженности составляет – 132 %.</w:t>
      </w:r>
    </w:p>
    <w:p w:rsidR="004616EA" w:rsidRPr="0096501D" w:rsidRDefault="004616EA" w:rsidP="0096501D">
      <w:pPr>
        <w:keepNext/>
        <w:keepLines/>
        <w:numPr>
          <w:ilvl w:val="0"/>
          <w:numId w:val="38"/>
        </w:numPr>
        <w:tabs>
          <w:tab w:val="left" w:pos="0"/>
        </w:tabs>
        <w:spacing w:after="0" w:line="240" w:lineRule="auto"/>
        <w:ind w:left="0" w:firstLine="709"/>
        <w:jc w:val="both"/>
        <w:rPr>
          <w:rFonts w:ascii="Times New Roman" w:hAnsi="Times New Roman"/>
          <w:i/>
          <w:sz w:val="26"/>
          <w:szCs w:val="26"/>
        </w:rPr>
      </w:pPr>
      <w:r w:rsidRPr="0096501D">
        <w:rPr>
          <w:rFonts w:ascii="Times New Roman" w:hAnsi="Times New Roman"/>
          <w:i/>
          <w:sz w:val="26"/>
          <w:szCs w:val="26"/>
        </w:rPr>
        <w:t>Неполное соответствие нормативному уровню обеспеченности мощностей дошкольных образовательных организаций</w:t>
      </w:r>
    </w:p>
    <w:p w:rsidR="004616EA" w:rsidRPr="0096501D" w:rsidRDefault="004616EA" w:rsidP="0096501D">
      <w:pPr>
        <w:pStyle w:val="ab"/>
        <w:spacing w:before="0" w:after="0"/>
        <w:ind w:firstLine="709"/>
        <w:rPr>
          <w:sz w:val="26"/>
          <w:szCs w:val="26"/>
        </w:rPr>
      </w:pPr>
      <w:r w:rsidRPr="0096501D">
        <w:rPr>
          <w:sz w:val="26"/>
          <w:szCs w:val="26"/>
        </w:rPr>
        <w:t xml:space="preserve">По данным Управления образования Администрации города Когалыма, </w:t>
      </w:r>
      <w:r w:rsidRPr="0096501D">
        <w:rPr>
          <w:sz w:val="26"/>
          <w:szCs w:val="26"/>
        </w:rPr>
        <w:lastRenderedPageBreak/>
        <w:t>число детей, стоящих в очереди в дошкольные образовательные организации на 28.08.2013 г. составило 1827 человек (</w:t>
      </w:r>
      <w:r w:rsidR="001977F4">
        <w:fldChar w:fldCharType="begin"/>
      </w:r>
      <w:r w:rsidR="001977F4">
        <w:instrText xml:space="preserve"> REF _Ref397019773 \h  \* MERGEFORMAT </w:instrText>
      </w:r>
      <w:r w:rsidR="001977F4">
        <w:fldChar w:fldCharType="separate"/>
      </w:r>
      <w:r w:rsidR="001977F4" w:rsidRPr="001977F4">
        <w:rPr>
          <w:sz w:val="26"/>
          <w:szCs w:val="26"/>
        </w:rPr>
        <w:t xml:space="preserve">Рисунок </w:t>
      </w:r>
      <w:r w:rsidR="001977F4" w:rsidRPr="001977F4">
        <w:rPr>
          <w:noProof/>
          <w:sz w:val="26"/>
          <w:szCs w:val="26"/>
        </w:rPr>
        <w:t>18</w:t>
      </w:r>
      <w:r w:rsidR="001977F4">
        <w:fldChar w:fldCharType="end"/>
      </w:r>
      <w:r w:rsidRPr="0096501D">
        <w:rPr>
          <w:sz w:val="26"/>
          <w:szCs w:val="26"/>
        </w:rPr>
        <w:t xml:space="preserve">). </w:t>
      </w:r>
    </w:p>
    <w:p w:rsidR="004616EA" w:rsidRPr="0096501D" w:rsidRDefault="004616EA" w:rsidP="0096501D">
      <w:pPr>
        <w:pStyle w:val="ab"/>
        <w:spacing w:before="0" w:after="0"/>
        <w:ind w:firstLine="709"/>
        <w:rPr>
          <w:sz w:val="26"/>
          <w:szCs w:val="26"/>
        </w:rPr>
      </w:pPr>
    </w:p>
    <w:p w:rsidR="004616EA" w:rsidRPr="00475E67" w:rsidRDefault="00E70A58" w:rsidP="0096501D">
      <w:pPr>
        <w:pStyle w:val="ab"/>
        <w:keepNext/>
        <w:spacing w:before="0" w:after="0"/>
        <w:ind w:firstLine="709"/>
      </w:pPr>
      <w:r>
        <w:rPr>
          <w:noProof/>
          <w:sz w:val="26"/>
          <w:szCs w:val="26"/>
        </w:rPr>
        <w:lastRenderedPageBreak/>
        <w:drawing>
          <wp:inline distT="0" distB="0" distL="0" distR="0">
            <wp:extent cx="4480560" cy="2743200"/>
            <wp:effectExtent l="0" t="0" r="0" b="0"/>
            <wp:docPr id="1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480560" cy="2743200"/>
                    </a:xfrm>
                    <a:prstGeom prst="rect">
                      <a:avLst/>
                    </a:prstGeom>
                    <a:noFill/>
                    <a:ln>
                      <a:noFill/>
                    </a:ln>
                  </pic:spPr>
                </pic:pic>
              </a:graphicData>
            </a:graphic>
          </wp:inline>
        </w:drawing>
      </w:r>
    </w:p>
    <w:p w:rsidR="004616EA" w:rsidRPr="00475E67" w:rsidRDefault="004616EA" w:rsidP="00B65856">
      <w:pPr>
        <w:pStyle w:val="af1"/>
        <w:jc w:val="center"/>
        <w:rPr>
          <w:rFonts w:ascii="Times New Roman" w:hAnsi="Times New Roman"/>
          <w:b w:val="0"/>
          <w:color w:val="auto"/>
          <w:sz w:val="24"/>
          <w:szCs w:val="24"/>
        </w:rPr>
      </w:pPr>
      <w:bookmarkStart w:id="47" w:name="_Ref397019773"/>
      <w:r w:rsidRPr="00475E67">
        <w:rPr>
          <w:rFonts w:ascii="Times New Roman" w:hAnsi="Times New Roman"/>
          <w:b w:val="0"/>
          <w:color w:val="auto"/>
          <w:sz w:val="24"/>
          <w:szCs w:val="24"/>
        </w:rPr>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sidR="001977F4">
        <w:rPr>
          <w:rFonts w:ascii="Times New Roman" w:hAnsi="Times New Roman"/>
          <w:b w:val="0"/>
          <w:noProof/>
          <w:color w:val="auto"/>
          <w:sz w:val="24"/>
          <w:szCs w:val="24"/>
        </w:rPr>
        <w:t>18</w:t>
      </w:r>
      <w:r w:rsidRPr="00475E67">
        <w:rPr>
          <w:rFonts w:ascii="Times New Roman" w:hAnsi="Times New Roman"/>
          <w:b w:val="0"/>
          <w:color w:val="auto"/>
          <w:sz w:val="24"/>
          <w:szCs w:val="24"/>
        </w:rPr>
        <w:fldChar w:fldCharType="end"/>
      </w:r>
      <w:bookmarkEnd w:id="47"/>
      <w:r w:rsidRPr="00475E67">
        <w:rPr>
          <w:rFonts w:ascii="Times New Roman" w:hAnsi="Times New Roman"/>
          <w:b w:val="0"/>
          <w:color w:val="auto"/>
          <w:sz w:val="24"/>
          <w:szCs w:val="24"/>
        </w:rPr>
        <w:t xml:space="preserve"> - Количество детей, стоящих в очереди в дошкольные образовательные организации в разрезе возрастных групп, человек</w:t>
      </w:r>
    </w:p>
    <w:p w:rsidR="004616EA" w:rsidRPr="0096501D" w:rsidRDefault="004616EA" w:rsidP="0096501D">
      <w:pPr>
        <w:pStyle w:val="ab"/>
        <w:spacing w:before="0" w:after="0"/>
        <w:ind w:firstLine="709"/>
        <w:rPr>
          <w:sz w:val="26"/>
          <w:szCs w:val="26"/>
        </w:rPr>
      </w:pPr>
      <w:r w:rsidRPr="0096501D">
        <w:rPr>
          <w:sz w:val="26"/>
          <w:szCs w:val="26"/>
        </w:rPr>
        <w:lastRenderedPageBreak/>
        <w:t>При нормативе обеспеченности 85 мест на 100 детей дошкольного возраста (от 1,5 до 7 лет) – 4,3 тыс. мест и суммарной мощности дошкольных образовательных организаций городского округа – 4,1 тыс. мест, уровень обеспеченности дошкольными образовательными организациями составил 95%.</w:t>
      </w:r>
    </w:p>
    <w:p w:rsidR="004616EA" w:rsidRPr="0096501D" w:rsidRDefault="004616EA" w:rsidP="0096501D">
      <w:pPr>
        <w:autoSpaceDE w:val="0"/>
        <w:autoSpaceDN w:val="0"/>
        <w:adjustRightInd w:val="0"/>
        <w:spacing w:after="0" w:line="240" w:lineRule="auto"/>
        <w:ind w:firstLine="709"/>
        <w:jc w:val="both"/>
        <w:rPr>
          <w:rFonts w:ascii="Times New Roman" w:hAnsi="Times New Roman"/>
          <w:sz w:val="26"/>
          <w:szCs w:val="26"/>
        </w:rPr>
      </w:pPr>
      <w:r w:rsidRPr="0096501D">
        <w:rPr>
          <w:rFonts w:ascii="Times New Roman" w:hAnsi="Times New Roman"/>
          <w:sz w:val="26"/>
          <w:szCs w:val="26"/>
        </w:rPr>
        <w:lastRenderedPageBreak/>
        <w:t xml:space="preserve">В условиях дефицита мест продолжается работа по использованию альтернативных форм организации дошкольного образования: группы кратковременного пребывания на базе имеющихся детских садов, развитие негосударственного образовательного сектора. </w:t>
      </w:r>
    </w:p>
    <w:p w:rsidR="004616EA" w:rsidRPr="0096501D" w:rsidRDefault="004616EA" w:rsidP="0096501D">
      <w:pPr>
        <w:keepNext/>
        <w:keepLines/>
        <w:numPr>
          <w:ilvl w:val="0"/>
          <w:numId w:val="38"/>
        </w:numPr>
        <w:tabs>
          <w:tab w:val="left" w:pos="0"/>
        </w:tabs>
        <w:spacing w:after="0" w:line="240" w:lineRule="auto"/>
        <w:ind w:left="0" w:firstLine="709"/>
        <w:jc w:val="both"/>
        <w:rPr>
          <w:rFonts w:ascii="Times New Roman" w:hAnsi="Times New Roman"/>
          <w:i/>
          <w:sz w:val="26"/>
          <w:szCs w:val="26"/>
        </w:rPr>
      </w:pPr>
      <w:r w:rsidRPr="0096501D">
        <w:rPr>
          <w:rFonts w:ascii="Times New Roman" w:hAnsi="Times New Roman"/>
          <w:i/>
          <w:sz w:val="26"/>
          <w:szCs w:val="26"/>
        </w:rPr>
        <w:lastRenderedPageBreak/>
        <w:t>Отсутствие устойчивой связи системы профессионального образования г. Когалыма с рынком труда</w:t>
      </w:r>
    </w:p>
    <w:p w:rsidR="004616EA" w:rsidRPr="0096501D" w:rsidRDefault="004616EA" w:rsidP="0096501D">
      <w:pPr>
        <w:pStyle w:val="ab"/>
        <w:spacing w:before="0" w:after="0"/>
        <w:ind w:firstLine="709"/>
        <w:rPr>
          <w:sz w:val="26"/>
          <w:szCs w:val="26"/>
        </w:rPr>
      </w:pPr>
      <w:r w:rsidRPr="0096501D">
        <w:rPr>
          <w:sz w:val="26"/>
          <w:szCs w:val="26"/>
        </w:rPr>
        <w:t xml:space="preserve">Спектр сложившихся направлений подготовки в системе профессионального образования не в полной мере соответствует перечню востребованных специальностей в городе Когалыме, а </w:t>
      </w:r>
      <w:r w:rsidRPr="0096501D">
        <w:rPr>
          <w:sz w:val="26"/>
          <w:szCs w:val="26"/>
        </w:rPr>
        <w:lastRenderedPageBreak/>
        <w:t xml:space="preserve">также, есть ряд направлений, по которым обучение не осуществляется. Таким образом, наблюдается дисбаланс спроса и предложения рабочей силы. Ведомственная подчиненность образовательных организаций другим субъектам Российской Федерации приводит к тому, что не в полной мере </w:t>
      </w:r>
      <w:r w:rsidRPr="0096501D">
        <w:rPr>
          <w:sz w:val="26"/>
          <w:szCs w:val="26"/>
        </w:rPr>
        <w:lastRenderedPageBreak/>
        <w:t xml:space="preserve">учитываются интересы муниципального образования при определении плана набора и подготовки специалистов, формы обучения студентов, соотношения бюджетных и коммерческих мест между филиалом и головным учреждением и др. </w:t>
      </w:r>
    </w:p>
    <w:p w:rsidR="004616EA" w:rsidRPr="0096501D" w:rsidRDefault="004616EA" w:rsidP="0096501D">
      <w:pPr>
        <w:keepNext/>
        <w:keepLines/>
        <w:numPr>
          <w:ilvl w:val="0"/>
          <w:numId w:val="38"/>
        </w:numPr>
        <w:tabs>
          <w:tab w:val="left" w:pos="0"/>
        </w:tabs>
        <w:spacing w:after="0" w:line="240" w:lineRule="auto"/>
        <w:ind w:left="0" w:firstLine="709"/>
        <w:jc w:val="both"/>
        <w:rPr>
          <w:rFonts w:ascii="Times New Roman" w:hAnsi="Times New Roman"/>
          <w:i/>
          <w:sz w:val="26"/>
          <w:szCs w:val="26"/>
        </w:rPr>
      </w:pPr>
      <w:r w:rsidRPr="0096501D">
        <w:rPr>
          <w:rFonts w:ascii="Times New Roman" w:hAnsi="Times New Roman"/>
          <w:i/>
          <w:sz w:val="26"/>
          <w:szCs w:val="26"/>
        </w:rPr>
        <w:lastRenderedPageBreak/>
        <w:t>Недостаточный уровень обеспеченности лечебно-профилактическими организациями, оказывающих медицинскую помощь в стационарных условиях</w:t>
      </w:r>
    </w:p>
    <w:p w:rsidR="004616EA" w:rsidRPr="0096501D" w:rsidRDefault="004616EA" w:rsidP="0096501D">
      <w:pPr>
        <w:pStyle w:val="ab"/>
        <w:spacing w:before="0" w:after="0"/>
        <w:ind w:firstLine="709"/>
        <w:rPr>
          <w:sz w:val="26"/>
          <w:szCs w:val="26"/>
        </w:rPr>
      </w:pPr>
      <w:r w:rsidRPr="0096501D">
        <w:rPr>
          <w:sz w:val="26"/>
          <w:szCs w:val="26"/>
        </w:rPr>
        <w:t xml:space="preserve">Структура коечного фонда городского округа составляет 320 коек (кроме того, 6 реанимационных и 20 </w:t>
      </w:r>
      <w:r w:rsidRPr="0096501D">
        <w:rPr>
          <w:sz w:val="26"/>
          <w:szCs w:val="26"/>
        </w:rPr>
        <w:lastRenderedPageBreak/>
        <w:t xml:space="preserve">коек для новорожденных). Потребность населения городского округа в коечном фонде при нормативе 134,7 коек на 1 тыс. человек составляет 0,8 тыс. коек. Таким образом, уровень обеспеченности лечебно-профилактическими организациями, оказывающими медицинскую помощь в стационарных условиях, составляет всего </w:t>
      </w:r>
      <w:r w:rsidRPr="0096501D">
        <w:rPr>
          <w:sz w:val="26"/>
          <w:szCs w:val="26"/>
        </w:rPr>
        <w:lastRenderedPageBreak/>
        <w:t>39% от нормативного значения. Объем стационарной медицинской помощи, оказываемой населению города Когалыма, ниже показателей по Ханты-Мансийскому автономному округу – Югре в целом (73% от нормативного значения).</w:t>
      </w:r>
    </w:p>
    <w:p w:rsidR="004616EA" w:rsidRPr="0096501D" w:rsidRDefault="004616EA" w:rsidP="0096501D">
      <w:pPr>
        <w:keepNext/>
        <w:keepLines/>
        <w:numPr>
          <w:ilvl w:val="0"/>
          <w:numId w:val="38"/>
        </w:numPr>
        <w:tabs>
          <w:tab w:val="left" w:pos="0"/>
        </w:tabs>
        <w:spacing w:after="0" w:line="240" w:lineRule="auto"/>
        <w:ind w:left="0" w:firstLine="709"/>
        <w:jc w:val="both"/>
        <w:rPr>
          <w:rFonts w:ascii="Times New Roman" w:hAnsi="Times New Roman"/>
          <w:i/>
          <w:sz w:val="26"/>
          <w:szCs w:val="26"/>
        </w:rPr>
      </w:pPr>
      <w:r w:rsidRPr="0096501D">
        <w:rPr>
          <w:rFonts w:ascii="Times New Roman" w:hAnsi="Times New Roman"/>
          <w:i/>
          <w:sz w:val="26"/>
          <w:szCs w:val="26"/>
        </w:rPr>
        <w:lastRenderedPageBreak/>
        <w:t>Низкий уровень обеспеченности учреждениями культуры и искусства</w:t>
      </w:r>
    </w:p>
    <w:p w:rsidR="004616EA" w:rsidRPr="0096501D" w:rsidRDefault="004616EA" w:rsidP="0096501D">
      <w:pPr>
        <w:pStyle w:val="ab"/>
        <w:spacing w:before="0" w:after="0"/>
        <w:ind w:firstLine="709"/>
        <w:rPr>
          <w:sz w:val="26"/>
          <w:szCs w:val="26"/>
        </w:rPr>
      </w:pPr>
      <w:r w:rsidRPr="0096501D">
        <w:rPr>
          <w:sz w:val="26"/>
          <w:szCs w:val="26"/>
        </w:rPr>
        <w:t>Уровень обеспеченности г. Когалыма детскими библиотеками составляет 50% от нормативного значения, массовыми – 33%. Книгообеспеченность в г. Когалыме составляет 2,2 эк</w:t>
      </w:r>
      <w:r w:rsidRPr="0096501D">
        <w:rPr>
          <w:sz w:val="26"/>
          <w:szCs w:val="26"/>
        </w:rPr>
        <w:lastRenderedPageBreak/>
        <w:t xml:space="preserve">земпляра на одного жителя (нормативно этот показатель составляет 5 книг на одного жителя). </w:t>
      </w:r>
    </w:p>
    <w:p w:rsidR="004616EA" w:rsidRPr="0096501D" w:rsidRDefault="004616EA" w:rsidP="0096501D">
      <w:pPr>
        <w:pStyle w:val="ab"/>
        <w:spacing w:before="0" w:after="0"/>
        <w:ind w:firstLine="709"/>
        <w:rPr>
          <w:sz w:val="26"/>
          <w:szCs w:val="26"/>
        </w:rPr>
      </w:pPr>
      <w:r w:rsidRPr="0096501D">
        <w:rPr>
          <w:sz w:val="26"/>
          <w:szCs w:val="26"/>
        </w:rPr>
        <w:t xml:space="preserve">При нормативе обеспеченности 30 посетительских мест на 1000 жителей и суммарной мощности учреждений клубного типа – 1,37 тыс. мест, уровень обеспеченности учреждениями </w:t>
      </w:r>
      <w:r w:rsidRPr="0096501D">
        <w:rPr>
          <w:sz w:val="26"/>
          <w:szCs w:val="26"/>
        </w:rPr>
        <w:lastRenderedPageBreak/>
        <w:t xml:space="preserve">данного вида в г. Когалыме составляет порядка 75%. </w:t>
      </w:r>
    </w:p>
    <w:p w:rsidR="004616EA" w:rsidRPr="0096501D" w:rsidRDefault="004616EA" w:rsidP="0096501D">
      <w:pPr>
        <w:pStyle w:val="ab"/>
        <w:spacing w:before="0" w:after="0"/>
        <w:ind w:firstLine="709"/>
        <w:rPr>
          <w:sz w:val="26"/>
          <w:szCs w:val="26"/>
        </w:rPr>
      </w:pPr>
      <w:r w:rsidRPr="0096501D">
        <w:rPr>
          <w:sz w:val="26"/>
          <w:szCs w:val="26"/>
        </w:rPr>
        <w:t xml:space="preserve">Недостаточная обеспеченность учреждениями культуры усугубляется высоким процентом зданий, требующих капитального ремонта. Техническое оснащение культурно-досуговых учреждений требует существенного обновления с учётом современных </w:t>
      </w:r>
      <w:r w:rsidRPr="0096501D">
        <w:rPr>
          <w:sz w:val="26"/>
          <w:szCs w:val="26"/>
        </w:rPr>
        <w:lastRenderedPageBreak/>
        <w:t>требований к технике и технологиям. Необходимо отметить, что большинство учреждений культуры находится в приспособленных помещениях.</w:t>
      </w:r>
    </w:p>
    <w:p w:rsidR="004616EA" w:rsidRPr="0096501D" w:rsidRDefault="004616EA" w:rsidP="0096501D">
      <w:pPr>
        <w:keepNext/>
        <w:keepLines/>
        <w:numPr>
          <w:ilvl w:val="0"/>
          <w:numId w:val="38"/>
        </w:numPr>
        <w:tabs>
          <w:tab w:val="left" w:pos="993"/>
          <w:tab w:val="left" w:pos="1134"/>
        </w:tabs>
        <w:spacing w:after="0" w:line="240" w:lineRule="auto"/>
        <w:ind w:left="0" w:firstLine="709"/>
        <w:jc w:val="both"/>
        <w:rPr>
          <w:rFonts w:ascii="Times New Roman" w:hAnsi="Times New Roman"/>
          <w:i/>
          <w:sz w:val="26"/>
          <w:szCs w:val="26"/>
        </w:rPr>
      </w:pPr>
      <w:r w:rsidRPr="0096501D">
        <w:rPr>
          <w:rFonts w:ascii="Times New Roman" w:hAnsi="Times New Roman"/>
          <w:i/>
          <w:sz w:val="26"/>
          <w:szCs w:val="26"/>
        </w:rPr>
        <w:t>Низкий уровень обеспеченности физкультурно-спортивными сооружениями</w:t>
      </w:r>
    </w:p>
    <w:p w:rsidR="004616EA" w:rsidRPr="0096501D" w:rsidRDefault="004616EA" w:rsidP="0096501D">
      <w:pPr>
        <w:pStyle w:val="af6"/>
        <w:spacing w:after="0"/>
        <w:ind w:left="0" w:firstLine="709"/>
        <w:jc w:val="both"/>
      </w:pPr>
      <w:r w:rsidRPr="0096501D">
        <w:t xml:space="preserve">На сегодняшний день в городском округе обеспеченность спортивными </w:t>
      </w:r>
      <w:r w:rsidRPr="0096501D">
        <w:lastRenderedPageBreak/>
        <w:t>сооружениями в процентном отношении от норматива, установленного в Российской Федерации, составляет:</w:t>
      </w:r>
    </w:p>
    <w:p w:rsidR="004616EA" w:rsidRPr="0096501D" w:rsidRDefault="004616EA" w:rsidP="0096501D">
      <w:pPr>
        <w:widowControl w:val="0"/>
        <w:spacing w:after="0" w:line="240" w:lineRule="auto"/>
        <w:ind w:firstLine="709"/>
        <w:jc w:val="both"/>
        <w:rPr>
          <w:rFonts w:ascii="Times New Roman" w:hAnsi="Times New Roman"/>
          <w:sz w:val="26"/>
          <w:szCs w:val="26"/>
        </w:rPr>
      </w:pPr>
      <w:r w:rsidRPr="0096501D">
        <w:rPr>
          <w:rFonts w:ascii="Times New Roman" w:hAnsi="Times New Roman"/>
          <w:sz w:val="26"/>
          <w:szCs w:val="26"/>
        </w:rPr>
        <w:t>- плоскостными сооружениями – 38,4%;</w:t>
      </w:r>
    </w:p>
    <w:p w:rsidR="004616EA" w:rsidRPr="0096501D" w:rsidRDefault="004616EA" w:rsidP="0096501D">
      <w:pPr>
        <w:widowControl w:val="0"/>
        <w:spacing w:after="0" w:line="240" w:lineRule="auto"/>
        <w:ind w:firstLine="709"/>
        <w:jc w:val="both"/>
        <w:rPr>
          <w:rFonts w:ascii="Times New Roman" w:hAnsi="Times New Roman"/>
          <w:sz w:val="26"/>
          <w:szCs w:val="26"/>
        </w:rPr>
      </w:pPr>
      <w:r w:rsidRPr="0096501D">
        <w:rPr>
          <w:rFonts w:ascii="Times New Roman" w:hAnsi="Times New Roman"/>
          <w:sz w:val="26"/>
          <w:szCs w:val="26"/>
        </w:rPr>
        <w:t>- физкультурно-спортивными залами - 82%;</w:t>
      </w:r>
    </w:p>
    <w:p w:rsidR="004616EA" w:rsidRPr="0096501D" w:rsidRDefault="004616EA" w:rsidP="0096501D">
      <w:pPr>
        <w:widowControl w:val="0"/>
        <w:spacing w:after="0" w:line="240" w:lineRule="auto"/>
        <w:ind w:firstLine="709"/>
        <w:jc w:val="both"/>
        <w:rPr>
          <w:rFonts w:ascii="Times New Roman" w:hAnsi="Times New Roman"/>
          <w:sz w:val="26"/>
          <w:szCs w:val="26"/>
        </w:rPr>
      </w:pPr>
      <w:r w:rsidRPr="0096501D">
        <w:rPr>
          <w:rFonts w:ascii="Times New Roman" w:hAnsi="Times New Roman"/>
          <w:sz w:val="26"/>
          <w:szCs w:val="26"/>
        </w:rPr>
        <w:t>- плавательными бассейнами -11%.</w:t>
      </w:r>
    </w:p>
    <w:p w:rsidR="004616EA" w:rsidRPr="0096501D" w:rsidRDefault="004616EA" w:rsidP="0096501D">
      <w:pPr>
        <w:widowControl w:val="0"/>
        <w:spacing w:after="0" w:line="240" w:lineRule="auto"/>
        <w:ind w:firstLine="709"/>
        <w:jc w:val="both"/>
        <w:rPr>
          <w:rFonts w:ascii="Times New Roman" w:hAnsi="Times New Roman"/>
          <w:sz w:val="26"/>
          <w:szCs w:val="26"/>
        </w:rPr>
      </w:pPr>
      <w:r w:rsidRPr="0096501D">
        <w:rPr>
          <w:rFonts w:ascii="Times New Roman" w:hAnsi="Times New Roman"/>
          <w:sz w:val="26"/>
          <w:szCs w:val="26"/>
        </w:rPr>
        <w:t xml:space="preserve">В настоящее время в г. Когалыме </w:t>
      </w:r>
      <w:r w:rsidRPr="0096501D">
        <w:rPr>
          <w:rFonts w:ascii="Times New Roman" w:hAnsi="Times New Roman"/>
          <w:sz w:val="26"/>
          <w:szCs w:val="26"/>
        </w:rPr>
        <w:lastRenderedPageBreak/>
        <w:t>необходимо дальнейшее развитие детско-юношеского спорта и спорта высших достижений. Обеспеченность тренерским составом в процентах от норматива Российской Федерации (26 человек на 10 тысяч населения) составляет 32,69% или 51 человек.</w:t>
      </w:r>
    </w:p>
    <w:p w:rsidR="004616EA" w:rsidRPr="0096501D" w:rsidRDefault="004616EA" w:rsidP="0096501D">
      <w:pPr>
        <w:keepNext/>
        <w:keepLines/>
        <w:numPr>
          <w:ilvl w:val="0"/>
          <w:numId w:val="38"/>
        </w:numPr>
        <w:tabs>
          <w:tab w:val="left" w:pos="993"/>
          <w:tab w:val="left" w:pos="1134"/>
        </w:tabs>
        <w:spacing w:after="0" w:line="240" w:lineRule="auto"/>
        <w:ind w:left="0" w:firstLine="709"/>
        <w:jc w:val="both"/>
        <w:rPr>
          <w:rFonts w:ascii="Times New Roman" w:hAnsi="Times New Roman"/>
          <w:i/>
          <w:sz w:val="26"/>
          <w:szCs w:val="26"/>
        </w:rPr>
      </w:pPr>
      <w:r w:rsidRPr="0096501D">
        <w:rPr>
          <w:rFonts w:ascii="Times New Roman" w:hAnsi="Times New Roman"/>
          <w:i/>
          <w:sz w:val="26"/>
          <w:szCs w:val="26"/>
        </w:rPr>
        <w:lastRenderedPageBreak/>
        <w:t>Недостаточное привлечение взрослого населения, детей и подростков к регулярным занятиям физической культурой и спортом</w:t>
      </w:r>
    </w:p>
    <w:p w:rsidR="004616EA" w:rsidRPr="0096501D" w:rsidRDefault="004616EA" w:rsidP="0096501D">
      <w:pPr>
        <w:pStyle w:val="ab"/>
        <w:spacing w:before="0" w:after="0"/>
        <w:ind w:firstLine="709"/>
        <w:rPr>
          <w:sz w:val="26"/>
          <w:szCs w:val="26"/>
        </w:rPr>
      </w:pPr>
      <w:r w:rsidRPr="0096501D">
        <w:rPr>
          <w:sz w:val="26"/>
          <w:szCs w:val="26"/>
        </w:rPr>
        <w:t xml:space="preserve">На конец 2013 года удельный вес граждан г. Когалыма, систематически занимающегося физической культурой и спортом составлял 26,1% от общей численности населения (15,7 тыс. </w:t>
      </w:r>
      <w:r w:rsidRPr="0096501D">
        <w:rPr>
          <w:sz w:val="26"/>
          <w:szCs w:val="26"/>
        </w:rPr>
        <w:lastRenderedPageBreak/>
        <w:t>человек). К числу систематически занимающихся относятся только те, кто занимается физической культурой и спортом не менее 2-х раз в неделю, при объеме двигательной активности не менее 6 часов.</w:t>
      </w:r>
    </w:p>
    <w:p w:rsidR="004616EA" w:rsidRPr="0096501D" w:rsidRDefault="004616EA" w:rsidP="0096501D">
      <w:pPr>
        <w:keepNext/>
        <w:keepLines/>
        <w:numPr>
          <w:ilvl w:val="0"/>
          <w:numId w:val="38"/>
        </w:numPr>
        <w:tabs>
          <w:tab w:val="left" w:pos="993"/>
          <w:tab w:val="left" w:pos="1134"/>
        </w:tabs>
        <w:spacing w:after="0" w:line="240" w:lineRule="auto"/>
        <w:ind w:left="0" w:firstLine="709"/>
        <w:jc w:val="both"/>
        <w:rPr>
          <w:rFonts w:ascii="Times New Roman" w:hAnsi="Times New Roman"/>
          <w:i/>
          <w:sz w:val="26"/>
          <w:szCs w:val="26"/>
        </w:rPr>
      </w:pPr>
      <w:r w:rsidRPr="0096501D">
        <w:rPr>
          <w:rFonts w:ascii="Times New Roman" w:hAnsi="Times New Roman"/>
          <w:i/>
          <w:sz w:val="26"/>
          <w:szCs w:val="26"/>
        </w:rPr>
        <w:lastRenderedPageBreak/>
        <w:t>Дефицит квалифицированных кадров в социальной сфере</w:t>
      </w:r>
    </w:p>
    <w:p w:rsidR="004616EA" w:rsidRPr="0096501D" w:rsidRDefault="004616EA" w:rsidP="0096501D">
      <w:pPr>
        <w:pStyle w:val="ab"/>
        <w:spacing w:before="0" w:after="0"/>
        <w:ind w:firstLine="709"/>
        <w:rPr>
          <w:sz w:val="26"/>
          <w:szCs w:val="26"/>
        </w:rPr>
      </w:pPr>
      <w:r w:rsidRPr="0096501D">
        <w:rPr>
          <w:sz w:val="26"/>
          <w:szCs w:val="26"/>
        </w:rPr>
        <w:t xml:space="preserve">Следует отметить проблему нехватки работников в отраслях социальной сферы (образование, здравоохранение, культура и искусство, физическая культура и спорт, молодёжная политика), в особенности молодых </w:t>
      </w:r>
      <w:r w:rsidRPr="0096501D">
        <w:rPr>
          <w:sz w:val="26"/>
          <w:szCs w:val="26"/>
        </w:rPr>
        <w:lastRenderedPageBreak/>
        <w:t>и квалифицированных кадров.  Проблема нехватки квалифицированных кадров особенно остро ощущается в сфере здравоохранения. </w:t>
      </w:r>
    </w:p>
    <w:p w:rsidR="004616EA" w:rsidRPr="0096501D" w:rsidRDefault="004616EA" w:rsidP="0096501D">
      <w:pPr>
        <w:pStyle w:val="ab"/>
        <w:spacing w:before="0" w:after="0"/>
        <w:ind w:firstLine="709"/>
        <w:rPr>
          <w:sz w:val="26"/>
          <w:szCs w:val="26"/>
        </w:rPr>
      </w:pPr>
      <w:r w:rsidRPr="0096501D">
        <w:rPr>
          <w:sz w:val="26"/>
          <w:szCs w:val="26"/>
        </w:rPr>
        <w:t>Проблема обусловлена, прежде всего, отсутствием жилья, недостаточным финансированием отраслей социальной сферы из внебюджетных ис</w:t>
      </w:r>
      <w:r w:rsidRPr="0096501D">
        <w:rPr>
          <w:sz w:val="26"/>
          <w:szCs w:val="26"/>
        </w:rPr>
        <w:lastRenderedPageBreak/>
        <w:t xml:space="preserve">точников, отсутствием социально-бытовых условий для молодых специалистов. </w:t>
      </w:r>
    </w:p>
    <w:p w:rsidR="004616EA" w:rsidRPr="0096501D" w:rsidRDefault="004616EA" w:rsidP="0096501D">
      <w:pPr>
        <w:pStyle w:val="ab"/>
        <w:spacing w:before="0" w:after="0"/>
        <w:ind w:firstLine="709"/>
        <w:rPr>
          <w:sz w:val="26"/>
          <w:szCs w:val="26"/>
        </w:rPr>
      </w:pPr>
      <w:r w:rsidRPr="0096501D">
        <w:rPr>
          <w:sz w:val="26"/>
          <w:szCs w:val="26"/>
        </w:rPr>
        <w:t xml:space="preserve">В настоящее время в г. Когалыме в развитии нуждается детско-юношеский спорт и спорт высших достижений. Обеспеченность тренерским составом в процентах от норматива Российской Федерации (26 человек на 10 </w:t>
      </w:r>
      <w:r w:rsidRPr="0096501D">
        <w:rPr>
          <w:sz w:val="26"/>
          <w:szCs w:val="26"/>
        </w:rPr>
        <w:lastRenderedPageBreak/>
        <w:t>тысяч населения) составляет 31,37% или 48 человек.</w:t>
      </w:r>
    </w:p>
    <w:p w:rsidR="004616EA" w:rsidRPr="0096501D" w:rsidRDefault="004616EA" w:rsidP="0096501D">
      <w:pPr>
        <w:pStyle w:val="ab"/>
        <w:spacing w:before="0" w:after="0"/>
        <w:ind w:firstLine="709"/>
        <w:rPr>
          <w:sz w:val="26"/>
          <w:szCs w:val="26"/>
        </w:rPr>
      </w:pPr>
      <w:r w:rsidRPr="0096501D">
        <w:rPr>
          <w:sz w:val="26"/>
          <w:szCs w:val="26"/>
        </w:rPr>
        <w:t>Имеются проблемы в области повышения квалификации тренеров, учителей физической культуры общеобразовательных школ и инструкторов по физической культуре дошкольных образовательных организаций.</w:t>
      </w:r>
    </w:p>
    <w:p w:rsidR="004616EA" w:rsidRPr="0096501D" w:rsidRDefault="004616EA" w:rsidP="0096501D">
      <w:pPr>
        <w:pStyle w:val="ab"/>
        <w:spacing w:before="0" w:after="0"/>
        <w:ind w:firstLine="709"/>
        <w:rPr>
          <w:sz w:val="26"/>
          <w:szCs w:val="26"/>
        </w:rPr>
      </w:pPr>
      <w:r w:rsidRPr="0096501D">
        <w:rPr>
          <w:sz w:val="26"/>
          <w:szCs w:val="26"/>
        </w:rPr>
        <w:lastRenderedPageBreak/>
        <w:t>Несмотря на то, что на сегодняшний день все образовательные организации в г. Когалыме укомплектованы полностью, проблема нехватки специалистов уже встает, так как большая часть учителей – это люди пожилого возраста, и смены им нет. Особо остро данная проблема существует по таким предметам, как физика и математика.</w:t>
      </w:r>
    </w:p>
    <w:p w:rsidR="004616EA" w:rsidRPr="0096501D" w:rsidRDefault="004616EA" w:rsidP="0096501D">
      <w:pPr>
        <w:keepNext/>
        <w:keepLines/>
        <w:numPr>
          <w:ilvl w:val="0"/>
          <w:numId w:val="38"/>
        </w:numPr>
        <w:tabs>
          <w:tab w:val="left" w:pos="0"/>
        </w:tabs>
        <w:spacing w:after="0" w:line="240" w:lineRule="auto"/>
        <w:ind w:left="0" w:firstLine="709"/>
        <w:jc w:val="both"/>
        <w:rPr>
          <w:rFonts w:ascii="Times New Roman" w:hAnsi="Times New Roman"/>
          <w:i/>
          <w:sz w:val="26"/>
          <w:szCs w:val="26"/>
        </w:rPr>
      </w:pPr>
      <w:r w:rsidRPr="0096501D">
        <w:rPr>
          <w:rFonts w:ascii="Times New Roman" w:hAnsi="Times New Roman"/>
          <w:i/>
          <w:sz w:val="26"/>
          <w:szCs w:val="26"/>
        </w:rPr>
        <w:lastRenderedPageBreak/>
        <w:t>Недостаточный уровень доступности объектов социальной инфраструктуры для инвалидов и других маломобильных групп населения</w:t>
      </w:r>
    </w:p>
    <w:p w:rsidR="004616EA" w:rsidRPr="0096501D" w:rsidRDefault="004616EA" w:rsidP="0096501D">
      <w:pPr>
        <w:pStyle w:val="ab"/>
        <w:spacing w:before="0" w:after="0"/>
        <w:ind w:firstLine="709"/>
        <w:rPr>
          <w:sz w:val="26"/>
          <w:szCs w:val="26"/>
        </w:rPr>
      </w:pPr>
      <w:r w:rsidRPr="0096501D">
        <w:rPr>
          <w:sz w:val="26"/>
          <w:szCs w:val="26"/>
        </w:rPr>
        <w:t>При численности постоянного населения в г. Когалыме на конец 2013 года 61,1 тыс. человек, инвалидами являются – 0,9 тыс. человек (5%); пенсио</w:t>
      </w:r>
      <w:r w:rsidRPr="0096501D">
        <w:rPr>
          <w:sz w:val="26"/>
          <w:szCs w:val="26"/>
        </w:rPr>
        <w:lastRenderedPageBreak/>
        <w:t xml:space="preserve">нерами – 12,0 тыс. (20%). Также, маломобильными группами населения являются временно нетрудоспособные граждане, граждане, использующие детские коляски и беременные женщины. </w:t>
      </w:r>
    </w:p>
    <w:p w:rsidR="004616EA" w:rsidRPr="0096501D" w:rsidRDefault="004616EA" w:rsidP="0096501D">
      <w:pPr>
        <w:pStyle w:val="ab"/>
        <w:spacing w:before="0" w:after="0"/>
        <w:ind w:firstLine="709"/>
        <w:rPr>
          <w:sz w:val="26"/>
          <w:szCs w:val="26"/>
        </w:rPr>
      </w:pPr>
      <w:r w:rsidRPr="0096501D">
        <w:rPr>
          <w:sz w:val="26"/>
          <w:szCs w:val="26"/>
        </w:rPr>
        <w:t>Проблемой инвалидов и других маломобильных групп населения явля</w:t>
      </w:r>
      <w:r w:rsidRPr="0096501D">
        <w:rPr>
          <w:sz w:val="26"/>
          <w:szCs w:val="26"/>
        </w:rPr>
        <w:lastRenderedPageBreak/>
        <w:t xml:space="preserve">ется передвижение по улицам, недостаточное количество пандусных съездов на входах и поручней внутри зданий. Все это создает непреодолимую преграду для лиц с ограниченными возможностями. </w:t>
      </w:r>
    </w:p>
    <w:p w:rsidR="004616EA" w:rsidRPr="0096501D" w:rsidRDefault="004616EA" w:rsidP="0096501D">
      <w:pPr>
        <w:pStyle w:val="ab"/>
        <w:spacing w:before="0" w:after="0"/>
        <w:ind w:firstLine="709"/>
        <w:rPr>
          <w:sz w:val="26"/>
          <w:szCs w:val="26"/>
        </w:rPr>
      </w:pPr>
      <w:r w:rsidRPr="0096501D">
        <w:rPr>
          <w:sz w:val="26"/>
          <w:szCs w:val="26"/>
        </w:rPr>
        <w:t>В 2013 году с целью изучения степени удовлетворенности уровнем до</w:t>
      </w:r>
      <w:r w:rsidRPr="0096501D">
        <w:rPr>
          <w:sz w:val="26"/>
          <w:szCs w:val="26"/>
        </w:rPr>
        <w:lastRenderedPageBreak/>
        <w:t xml:space="preserve">ступности объектов социальной инфраструктуры города Когалыма для инвалидов и других маломобильных групп населения был опрошен 201 человек из числа инвалидов. По результатам проведенного исследования, в целом 87,6% от общего числа опрошенных инвалидов удовлетворены </w:t>
      </w:r>
      <w:r w:rsidRPr="0096501D">
        <w:rPr>
          <w:sz w:val="26"/>
          <w:szCs w:val="26"/>
        </w:rPr>
        <w:lastRenderedPageBreak/>
        <w:t>полностью или частично уровнем доступности объектов социальной инфраструктуры города Когалыма.</w:t>
      </w:r>
    </w:p>
    <w:p w:rsidR="004616EA" w:rsidRPr="0096501D" w:rsidRDefault="004616EA" w:rsidP="0096501D">
      <w:pPr>
        <w:pStyle w:val="ab"/>
        <w:spacing w:before="0" w:after="0"/>
        <w:ind w:firstLine="709"/>
        <w:rPr>
          <w:sz w:val="26"/>
          <w:szCs w:val="26"/>
        </w:rPr>
      </w:pPr>
      <w:r w:rsidRPr="0096501D">
        <w:rPr>
          <w:sz w:val="26"/>
          <w:szCs w:val="26"/>
        </w:rPr>
        <w:t xml:space="preserve">Не менее актуальным остается вопрос привлечения к активным занятиям физической культурой и спортом лиц с ограниченными возможностями. Количество занимающихся инвалидов </w:t>
      </w:r>
      <w:r w:rsidRPr="0096501D">
        <w:rPr>
          <w:sz w:val="26"/>
          <w:szCs w:val="26"/>
        </w:rPr>
        <w:lastRenderedPageBreak/>
        <w:t>на сегодняшний день в г. Когалыме составляет всего 315 человек, так как не созданы все необходимые условия для занятий спортом этой категории жителей.</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Возможности</w:t>
      </w:r>
    </w:p>
    <w:p w:rsidR="004616EA" w:rsidRPr="0096501D" w:rsidRDefault="004616EA" w:rsidP="0096501D">
      <w:pPr>
        <w:pStyle w:val="a9"/>
        <w:numPr>
          <w:ilvl w:val="0"/>
          <w:numId w:val="36"/>
        </w:numPr>
        <w:tabs>
          <w:tab w:val="left" w:pos="993"/>
        </w:tabs>
        <w:spacing w:after="0"/>
        <w:ind w:left="0" w:firstLine="709"/>
        <w:rPr>
          <w:sz w:val="26"/>
          <w:szCs w:val="26"/>
        </w:rPr>
      </w:pPr>
      <w:r w:rsidRPr="0096501D">
        <w:rPr>
          <w:sz w:val="26"/>
          <w:szCs w:val="26"/>
        </w:rPr>
        <w:lastRenderedPageBreak/>
        <w:t>более эффективное использование имеющихся финансовых и материально-технических ресурсов организаций социальной инфраструктуры;</w:t>
      </w:r>
    </w:p>
    <w:p w:rsidR="004616EA" w:rsidRPr="0096501D" w:rsidRDefault="004616EA" w:rsidP="0096501D">
      <w:pPr>
        <w:pStyle w:val="a9"/>
        <w:numPr>
          <w:ilvl w:val="0"/>
          <w:numId w:val="36"/>
        </w:numPr>
        <w:tabs>
          <w:tab w:val="left" w:pos="993"/>
        </w:tabs>
        <w:spacing w:after="0"/>
        <w:ind w:left="0" w:firstLine="709"/>
        <w:rPr>
          <w:sz w:val="26"/>
          <w:szCs w:val="26"/>
        </w:rPr>
      </w:pPr>
      <w:r w:rsidRPr="0096501D">
        <w:rPr>
          <w:sz w:val="26"/>
          <w:szCs w:val="26"/>
        </w:rPr>
        <w:t xml:space="preserve">развитие и расширение целостной сети учреждений социальной инфраструктуры (строительство новых, реконструкция и капитальный ремонт </w:t>
      </w:r>
      <w:r w:rsidRPr="0096501D">
        <w:rPr>
          <w:sz w:val="26"/>
          <w:szCs w:val="26"/>
        </w:rPr>
        <w:lastRenderedPageBreak/>
        <w:t>действующих), и как следствие достижение нормативной обеспеченности объектами;</w:t>
      </w:r>
    </w:p>
    <w:p w:rsidR="004616EA" w:rsidRPr="0096501D" w:rsidRDefault="004616EA" w:rsidP="0096501D">
      <w:pPr>
        <w:pStyle w:val="a9"/>
        <w:numPr>
          <w:ilvl w:val="0"/>
          <w:numId w:val="36"/>
        </w:numPr>
        <w:tabs>
          <w:tab w:val="left" w:pos="993"/>
        </w:tabs>
        <w:spacing w:after="0"/>
        <w:ind w:left="0" w:firstLine="709"/>
        <w:rPr>
          <w:sz w:val="26"/>
          <w:szCs w:val="26"/>
        </w:rPr>
      </w:pPr>
      <w:r w:rsidRPr="0096501D">
        <w:rPr>
          <w:sz w:val="26"/>
          <w:szCs w:val="26"/>
        </w:rPr>
        <w:t>укрепление материально-технической базы сети учреждений социальной инфраструктуры (приобретение компьютерных программ и оборудования, мебели спортивного инвентаря и т.д.);</w:t>
      </w:r>
    </w:p>
    <w:p w:rsidR="004616EA" w:rsidRPr="0096501D" w:rsidRDefault="004616EA" w:rsidP="0096501D">
      <w:pPr>
        <w:pStyle w:val="a9"/>
        <w:numPr>
          <w:ilvl w:val="0"/>
          <w:numId w:val="36"/>
        </w:numPr>
        <w:tabs>
          <w:tab w:val="left" w:pos="993"/>
        </w:tabs>
        <w:spacing w:after="0"/>
        <w:ind w:left="0" w:firstLine="709"/>
        <w:rPr>
          <w:sz w:val="26"/>
          <w:szCs w:val="26"/>
        </w:rPr>
      </w:pPr>
      <w:r w:rsidRPr="0096501D">
        <w:rPr>
          <w:sz w:val="26"/>
          <w:szCs w:val="26"/>
        </w:rPr>
        <w:lastRenderedPageBreak/>
        <w:t>пропаганда здорового, активного отдыха и стиля жизни, проведение массовых спортивных мероприятий (спартакиад, универсиад, соревнований и т.д.);</w:t>
      </w:r>
    </w:p>
    <w:p w:rsidR="004616EA" w:rsidRPr="0096501D" w:rsidRDefault="004616EA" w:rsidP="0096501D">
      <w:pPr>
        <w:pStyle w:val="a9"/>
        <w:numPr>
          <w:ilvl w:val="0"/>
          <w:numId w:val="36"/>
        </w:numPr>
        <w:tabs>
          <w:tab w:val="left" w:pos="993"/>
        </w:tabs>
        <w:spacing w:after="0"/>
        <w:ind w:left="0" w:firstLine="709"/>
        <w:rPr>
          <w:sz w:val="26"/>
          <w:szCs w:val="26"/>
        </w:rPr>
      </w:pPr>
      <w:r w:rsidRPr="0096501D">
        <w:rPr>
          <w:sz w:val="26"/>
          <w:szCs w:val="26"/>
        </w:rPr>
        <w:t>повышения эффективности использования имеющихся и возводи</w:t>
      </w:r>
      <w:r w:rsidRPr="0096501D">
        <w:rPr>
          <w:sz w:val="26"/>
          <w:szCs w:val="26"/>
        </w:rPr>
        <w:lastRenderedPageBreak/>
        <w:t>мых объектов, сохранение и повышение качества управления в социальной инфраструктуре;</w:t>
      </w:r>
    </w:p>
    <w:p w:rsidR="004616EA" w:rsidRPr="0096501D" w:rsidRDefault="004616EA" w:rsidP="0096501D">
      <w:pPr>
        <w:pStyle w:val="a9"/>
        <w:numPr>
          <w:ilvl w:val="0"/>
          <w:numId w:val="36"/>
        </w:numPr>
        <w:tabs>
          <w:tab w:val="left" w:pos="993"/>
        </w:tabs>
        <w:spacing w:after="0"/>
        <w:ind w:left="0" w:firstLine="709"/>
        <w:rPr>
          <w:sz w:val="26"/>
          <w:szCs w:val="26"/>
        </w:rPr>
      </w:pPr>
      <w:r w:rsidRPr="0096501D">
        <w:rPr>
          <w:sz w:val="26"/>
          <w:szCs w:val="26"/>
        </w:rPr>
        <w:t>качественное и количественное укомплектование квалифицированными кадрами организаций образования, здравоохранения, культуры и искусства, физкультуры и спорта, увели</w:t>
      </w:r>
      <w:r w:rsidRPr="0096501D">
        <w:rPr>
          <w:sz w:val="26"/>
          <w:szCs w:val="26"/>
        </w:rPr>
        <w:lastRenderedPageBreak/>
        <w:t>чение объемов подготовки и переподготовки (повышение квалификации) работников;</w:t>
      </w:r>
    </w:p>
    <w:p w:rsidR="004616EA" w:rsidRPr="0096501D" w:rsidRDefault="004616EA" w:rsidP="0096501D">
      <w:pPr>
        <w:pStyle w:val="a9"/>
        <w:numPr>
          <w:ilvl w:val="0"/>
          <w:numId w:val="36"/>
        </w:numPr>
        <w:tabs>
          <w:tab w:val="left" w:pos="993"/>
        </w:tabs>
        <w:spacing w:after="0"/>
        <w:ind w:left="0" w:firstLine="709"/>
        <w:rPr>
          <w:sz w:val="26"/>
          <w:szCs w:val="26"/>
        </w:rPr>
      </w:pPr>
      <w:r w:rsidRPr="0096501D">
        <w:rPr>
          <w:sz w:val="26"/>
          <w:szCs w:val="26"/>
        </w:rPr>
        <w:t>привлечение молодых специалистов, создание условий для их закрепления;</w:t>
      </w:r>
    </w:p>
    <w:p w:rsidR="004616EA" w:rsidRPr="0096501D" w:rsidRDefault="004616EA" w:rsidP="0096501D">
      <w:pPr>
        <w:pStyle w:val="a9"/>
        <w:numPr>
          <w:ilvl w:val="0"/>
          <w:numId w:val="36"/>
        </w:numPr>
        <w:tabs>
          <w:tab w:val="left" w:pos="993"/>
        </w:tabs>
        <w:spacing w:after="0"/>
        <w:ind w:left="0" w:firstLine="709"/>
        <w:rPr>
          <w:sz w:val="26"/>
          <w:szCs w:val="26"/>
        </w:rPr>
      </w:pPr>
      <w:r w:rsidRPr="0096501D">
        <w:rPr>
          <w:sz w:val="26"/>
          <w:szCs w:val="26"/>
        </w:rPr>
        <w:t>рост оплаты труда работников учреждений социальной сферы;</w:t>
      </w:r>
    </w:p>
    <w:p w:rsidR="004616EA" w:rsidRPr="0096501D" w:rsidRDefault="004616EA" w:rsidP="0096501D">
      <w:pPr>
        <w:pStyle w:val="a9"/>
        <w:numPr>
          <w:ilvl w:val="0"/>
          <w:numId w:val="36"/>
        </w:numPr>
        <w:tabs>
          <w:tab w:val="left" w:pos="993"/>
        </w:tabs>
        <w:spacing w:after="0"/>
        <w:ind w:left="0" w:firstLine="709"/>
        <w:rPr>
          <w:sz w:val="26"/>
          <w:szCs w:val="26"/>
        </w:rPr>
      </w:pPr>
      <w:r w:rsidRPr="0096501D">
        <w:rPr>
          <w:sz w:val="26"/>
          <w:szCs w:val="26"/>
        </w:rPr>
        <w:lastRenderedPageBreak/>
        <w:t>обеспечение равного доступа всех категорий населения к получению различных услуг социальной сферы: организация обучения и воспитания детей с ограниченными возможностями здоровья, организация культурных и спортивных мероприятий для инвалидов и других маломобильных групп населения;</w:t>
      </w:r>
    </w:p>
    <w:p w:rsidR="004616EA" w:rsidRPr="0096501D" w:rsidRDefault="004616EA" w:rsidP="0096501D">
      <w:pPr>
        <w:pStyle w:val="a9"/>
        <w:numPr>
          <w:ilvl w:val="0"/>
          <w:numId w:val="36"/>
        </w:numPr>
        <w:tabs>
          <w:tab w:val="left" w:pos="993"/>
        </w:tabs>
        <w:spacing w:after="0"/>
        <w:ind w:left="0" w:firstLine="709"/>
        <w:rPr>
          <w:sz w:val="26"/>
          <w:szCs w:val="26"/>
        </w:rPr>
      </w:pPr>
      <w:r w:rsidRPr="0096501D">
        <w:rPr>
          <w:sz w:val="26"/>
          <w:szCs w:val="26"/>
        </w:rPr>
        <w:lastRenderedPageBreak/>
        <w:t>развитие платных услуг;</w:t>
      </w:r>
    </w:p>
    <w:p w:rsidR="004616EA" w:rsidRPr="0096501D" w:rsidRDefault="004616EA" w:rsidP="0096501D">
      <w:pPr>
        <w:pStyle w:val="a9"/>
        <w:numPr>
          <w:ilvl w:val="0"/>
          <w:numId w:val="36"/>
        </w:numPr>
        <w:tabs>
          <w:tab w:val="left" w:pos="993"/>
        </w:tabs>
        <w:spacing w:after="0"/>
        <w:ind w:left="0" w:firstLine="709"/>
        <w:rPr>
          <w:sz w:val="26"/>
          <w:szCs w:val="26"/>
        </w:rPr>
      </w:pPr>
      <w:r w:rsidRPr="0096501D">
        <w:rPr>
          <w:sz w:val="26"/>
          <w:szCs w:val="26"/>
        </w:rPr>
        <w:t>реализация мероприятий долгосрочных целевых программ в области образования, здравоохранения, культуры и спорта.</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Угрозы</w:t>
      </w:r>
    </w:p>
    <w:p w:rsidR="004616EA" w:rsidRPr="0096501D" w:rsidRDefault="004616EA" w:rsidP="0096501D">
      <w:pPr>
        <w:pStyle w:val="a9"/>
        <w:numPr>
          <w:ilvl w:val="0"/>
          <w:numId w:val="36"/>
        </w:numPr>
        <w:tabs>
          <w:tab w:val="left" w:pos="993"/>
        </w:tabs>
        <w:spacing w:after="0"/>
        <w:ind w:left="0" w:firstLine="709"/>
        <w:rPr>
          <w:sz w:val="26"/>
          <w:szCs w:val="26"/>
        </w:rPr>
      </w:pPr>
      <w:r w:rsidRPr="0096501D">
        <w:rPr>
          <w:sz w:val="26"/>
          <w:szCs w:val="26"/>
        </w:rPr>
        <w:lastRenderedPageBreak/>
        <w:t>снижение качества обслуживания в сферах образования, здравоохранения, культуры и искусства, физической культуры и спорта, и как следствие, снижение уровня удовлетворённости населения;</w:t>
      </w:r>
    </w:p>
    <w:p w:rsidR="004616EA" w:rsidRPr="0096501D" w:rsidRDefault="004616EA" w:rsidP="0096501D">
      <w:pPr>
        <w:pStyle w:val="a9"/>
        <w:numPr>
          <w:ilvl w:val="0"/>
          <w:numId w:val="36"/>
        </w:numPr>
        <w:tabs>
          <w:tab w:val="left" w:pos="993"/>
        </w:tabs>
        <w:spacing w:after="0"/>
        <w:ind w:left="0" w:firstLine="709"/>
        <w:rPr>
          <w:sz w:val="26"/>
          <w:szCs w:val="26"/>
        </w:rPr>
      </w:pPr>
      <w:r w:rsidRPr="0096501D">
        <w:rPr>
          <w:sz w:val="26"/>
          <w:szCs w:val="26"/>
        </w:rPr>
        <w:t xml:space="preserve">рост миграционной убыли населения, прежде всего отток талантливой и одаренной молодежи из городского </w:t>
      </w:r>
      <w:r w:rsidRPr="0096501D">
        <w:rPr>
          <w:sz w:val="26"/>
          <w:szCs w:val="26"/>
        </w:rPr>
        <w:lastRenderedPageBreak/>
        <w:t>округа ввиду недостаточного разнообразия услуг в сфере досуга, низкого уровня обеспеченности образовательными организациями, спортивными сооружениями, учреждениями культуры и искусства;</w:t>
      </w:r>
    </w:p>
    <w:p w:rsidR="004616EA" w:rsidRPr="0096501D" w:rsidRDefault="004616EA" w:rsidP="0096501D">
      <w:pPr>
        <w:pStyle w:val="a9"/>
        <w:numPr>
          <w:ilvl w:val="0"/>
          <w:numId w:val="36"/>
        </w:numPr>
        <w:tabs>
          <w:tab w:val="left" w:pos="993"/>
        </w:tabs>
        <w:spacing w:after="0"/>
        <w:ind w:left="0" w:firstLine="709"/>
        <w:rPr>
          <w:sz w:val="26"/>
          <w:szCs w:val="26"/>
        </w:rPr>
      </w:pPr>
      <w:r w:rsidRPr="0096501D">
        <w:rPr>
          <w:sz w:val="26"/>
          <w:szCs w:val="26"/>
        </w:rPr>
        <w:t xml:space="preserve">износ материально-технической базы: рост ветхих и аварийных зданий, </w:t>
      </w:r>
      <w:r w:rsidRPr="0096501D">
        <w:rPr>
          <w:sz w:val="26"/>
          <w:szCs w:val="26"/>
        </w:rPr>
        <w:lastRenderedPageBreak/>
        <w:t>не отвечающих санитарно-эпидемиологическим нормам;</w:t>
      </w:r>
    </w:p>
    <w:p w:rsidR="004616EA" w:rsidRPr="0096501D" w:rsidRDefault="004616EA" w:rsidP="0096501D">
      <w:pPr>
        <w:pStyle w:val="a9"/>
        <w:numPr>
          <w:ilvl w:val="0"/>
          <w:numId w:val="36"/>
        </w:numPr>
        <w:tabs>
          <w:tab w:val="left" w:pos="993"/>
        </w:tabs>
        <w:spacing w:after="0"/>
        <w:ind w:left="0" w:firstLine="709"/>
        <w:rPr>
          <w:sz w:val="26"/>
          <w:szCs w:val="26"/>
        </w:rPr>
      </w:pPr>
      <w:r w:rsidRPr="0096501D">
        <w:rPr>
          <w:sz w:val="26"/>
          <w:szCs w:val="26"/>
        </w:rPr>
        <w:t>рост кадрового дефицита с точки зрения требований, предъявляемых к опыту и квалификации специалистов или руководителей;</w:t>
      </w:r>
    </w:p>
    <w:p w:rsidR="004616EA" w:rsidRPr="0096501D" w:rsidRDefault="004616EA" w:rsidP="0096501D">
      <w:pPr>
        <w:pStyle w:val="a9"/>
        <w:numPr>
          <w:ilvl w:val="0"/>
          <w:numId w:val="36"/>
        </w:numPr>
        <w:tabs>
          <w:tab w:val="left" w:pos="993"/>
        </w:tabs>
        <w:spacing w:after="0"/>
        <w:ind w:left="0" w:firstLine="709"/>
        <w:rPr>
          <w:sz w:val="26"/>
          <w:szCs w:val="26"/>
        </w:rPr>
      </w:pPr>
      <w:r w:rsidRPr="0096501D">
        <w:rPr>
          <w:sz w:val="26"/>
          <w:szCs w:val="26"/>
        </w:rPr>
        <w:t xml:space="preserve">сокращение объемов финансовых средств на обеспечение реализации программных мероприятий в отраслях </w:t>
      </w:r>
      <w:r w:rsidRPr="0096501D">
        <w:rPr>
          <w:sz w:val="26"/>
          <w:szCs w:val="26"/>
        </w:rPr>
        <w:lastRenderedPageBreak/>
        <w:t>социальной сферы, и как следствие снижение уровня обеспеченности населения основными видами объектов социальной сферы;</w:t>
      </w:r>
    </w:p>
    <w:p w:rsidR="004616EA" w:rsidRPr="0096501D" w:rsidRDefault="004616EA" w:rsidP="0096501D">
      <w:pPr>
        <w:pStyle w:val="a9"/>
        <w:numPr>
          <w:ilvl w:val="0"/>
          <w:numId w:val="36"/>
        </w:numPr>
        <w:tabs>
          <w:tab w:val="left" w:pos="993"/>
        </w:tabs>
        <w:spacing w:after="0"/>
        <w:ind w:left="0" w:firstLine="709"/>
        <w:rPr>
          <w:sz w:val="26"/>
          <w:szCs w:val="26"/>
        </w:rPr>
      </w:pPr>
      <w:r w:rsidRPr="0096501D">
        <w:rPr>
          <w:sz w:val="26"/>
          <w:szCs w:val="26"/>
        </w:rPr>
        <w:t>рост уровня заболеваемости вследствие неэффективности проводимых мероприятий;</w:t>
      </w:r>
    </w:p>
    <w:p w:rsidR="004616EA" w:rsidRPr="0096501D" w:rsidRDefault="004616EA" w:rsidP="0096501D">
      <w:pPr>
        <w:pStyle w:val="a9"/>
        <w:numPr>
          <w:ilvl w:val="0"/>
          <w:numId w:val="36"/>
        </w:numPr>
        <w:tabs>
          <w:tab w:val="left" w:pos="993"/>
        </w:tabs>
        <w:spacing w:after="0"/>
        <w:ind w:left="0" w:firstLine="709"/>
        <w:rPr>
          <w:sz w:val="26"/>
          <w:szCs w:val="26"/>
        </w:rPr>
      </w:pPr>
      <w:r w:rsidRPr="0096501D">
        <w:rPr>
          <w:sz w:val="26"/>
          <w:szCs w:val="26"/>
        </w:rPr>
        <w:lastRenderedPageBreak/>
        <w:t>распространение различных форм девиантного поведения среди молодежи, рост правонарушений и преступлений среди несовершеннолетних в случае отсутствия системного планирования действий и использования ресурсов развития системы отдыха и оздоровления детей.</w:t>
      </w:r>
    </w:p>
    <w:p w:rsidR="004616EA" w:rsidRPr="0096501D" w:rsidRDefault="004616EA" w:rsidP="0096501D">
      <w:pPr>
        <w:pStyle w:val="3"/>
        <w:spacing w:line="240" w:lineRule="auto"/>
        <w:ind w:firstLine="709"/>
        <w:rPr>
          <w:sz w:val="26"/>
        </w:rPr>
      </w:pPr>
      <w:bookmarkStart w:id="48" w:name="_Toc387238995"/>
      <w:r w:rsidRPr="0096501D">
        <w:rPr>
          <w:sz w:val="26"/>
        </w:rPr>
        <w:lastRenderedPageBreak/>
        <w:tab/>
      </w:r>
      <w:bookmarkStart w:id="49" w:name="_Toc397081509"/>
      <w:bookmarkStart w:id="50" w:name="_Toc405805491"/>
      <w:bookmarkStart w:id="51" w:name="_Toc387238996"/>
      <w:bookmarkEnd w:id="48"/>
      <w:r w:rsidRPr="0096501D">
        <w:rPr>
          <w:sz w:val="26"/>
        </w:rPr>
        <w:t>2.6 Уровень развития инженерной инфраструктуры</w:t>
      </w:r>
      <w:bookmarkEnd w:id="49"/>
      <w:bookmarkEnd w:id="50"/>
    </w:p>
    <w:p w:rsidR="004616EA" w:rsidRPr="0096501D" w:rsidRDefault="004616EA" w:rsidP="0096501D">
      <w:pPr>
        <w:pStyle w:val="ab"/>
        <w:spacing w:before="0" w:after="0"/>
        <w:ind w:firstLine="709"/>
        <w:rPr>
          <w:sz w:val="26"/>
          <w:szCs w:val="26"/>
        </w:rPr>
      </w:pPr>
      <w:bookmarkStart w:id="52" w:name="_Toc296440886"/>
      <w:bookmarkStart w:id="53" w:name="_Toc296440888"/>
      <w:r w:rsidRPr="0096501D">
        <w:rPr>
          <w:sz w:val="26"/>
          <w:szCs w:val="26"/>
        </w:rPr>
        <w:t>Анализ современного состояния инженерной инфраструктуры города Когалыма позволяет выделить несколько ключевых сильных и слабых сторон развития территории, а также ряд потенциальных возможностей и угроз.</w:t>
      </w:r>
    </w:p>
    <w:p w:rsidR="004616EA" w:rsidRPr="0096501D" w:rsidRDefault="004616EA" w:rsidP="0096501D">
      <w:pPr>
        <w:pStyle w:val="3"/>
        <w:spacing w:line="240" w:lineRule="auto"/>
        <w:ind w:firstLine="709"/>
        <w:rPr>
          <w:sz w:val="26"/>
          <w:lang w:eastAsia="ru-RU"/>
        </w:rPr>
      </w:pPr>
      <w:r w:rsidRPr="0096501D">
        <w:rPr>
          <w:sz w:val="26"/>
          <w:lang w:eastAsia="ru-RU"/>
        </w:rPr>
        <w:lastRenderedPageBreak/>
        <w:tab/>
      </w:r>
      <w:bookmarkStart w:id="54" w:name="_Toc397081510"/>
      <w:bookmarkStart w:id="55" w:name="_Toc405805492"/>
      <w:r w:rsidRPr="0096501D">
        <w:rPr>
          <w:sz w:val="26"/>
          <w:lang w:eastAsia="ru-RU"/>
        </w:rPr>
        <w:t>2.6.1 Водоснабжение</w:t>
      </w:r>
      <w:bookmarkEnd w:id="52"/>
      <w:bookmarkEnd w:id="54"/>
      <w:bookmarkEnd w:id="55"/>
    </w:p>
    <w:bookmarkEnd w:id="53"/>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Сильные стороны</w:t>
      </w:r>
    </w:p>
    <w:p w:rsidR="004616EA" w:rsidRPr="0096501D" w:rsidRDefault="004616EA" w:rsidP="0096501D">
      <w:pPr>
        <w:pStyle w:val="a7"/>
        <w:numPr>
          <w:ilvl w:val="0"/>
          <w:numId w:val="41"/>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Высокая обеспеченность централизованной системой водоснабжения</w:t>
      </w:r>
    </w:p>
    <w:p w:rsidR="004616EA" w:rsidRPr="0096501D" w:rsidRDefault="004616EA" w:rsidP="0096501D">
      <w:pPr>
        <w:pStyle w:val="ab"/>
        <w:spacing w:before="0" w:after="0"/>
        <w:ind w:firstLine="709"/>
        <w:rPr>
          <w:sz w:val="26"/>
          <w:szCs w:val="26"/>
        </w:rPr>
      </w:pPr>
      <w:r w:rsidRPr="0096501D">
        <w:rPr>
          <w:sz w:val="26"/>
          <w:szCs w:val="26"/>
        </w:rPr>
        <w:t>Уровень обеспеченности централизованной системой водоснабжения составляет 100% (по состоянию на 2013 год).</w:t>
      </w:r>
    </w:p>
    <w:p w:rsidR="004616EA" w:rsidRPr="0096501D" w:rsidRDefault="004616EA" w:rsidP="0096501D">
      <w:pPr>
        <w:pStyle w:val="a7"/>
        <w:numPr>
          <w:ilvl w:val="0"/>
          <w:numId w:val="41"/>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Высокое качество питьевой воды</w:t>
      </w:r>
    </w:p>
    <w:p w:rsidR="004616EA" w:rsidRPr="0096501D" w:rsidRDefault="004616EA" w:rsidP="0096501D">
      <w:pPr>
        <w:pStyle w:val="ab"/>
        <w:spacing w:before="0" w:after="0"/>
        <w:ind w:firstLine="709"/>
        <w:rPr>
          <w:sz w:val="26"/>
          <w:szCs w:val="26"/>
        </w:rPr>
      </w:pPr>
      <w:r w:rsidRPr="0096501D">
        <w:rPr>
          <w:sz w:val="26"/>
          <w:szCs w:val="26"/>
        </w:rPr>
        <w:lastRenderedPageBreak/>
        <w:t>Доля населения, обеспеченного качественной питьевой водой, составляет 100 %. Качество очищенной воды по основным показателям, включая микробиологические, удовлетворяет требованиям СанПиН 2.1.4.1074-01.</w:t>
      </w:r>
    </w:p>
    <w:p w:rsidR="004616EA" w:rsidRPr="0096501D" w:rsidRDefault="004616EA" w:rsidP="0096501D">
      <w:pPr>
        <w:pStyle w:val="a7"/>
        <w:numPr>
          <w:ilvl w:val="0"/>
          <w:numId w:val="41"/>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Значительный запас водных ресурсов</w:t>
      </w:r>
    </w:p>
    <w:p w:rsidR="004616EA" w:rsidRPr="0096501D" w:rsidRDefault="004616EA" w:rsidP="0096501D">
      <w:pPr>
        <w:pStyle w:val="ab"/>
        <w:spacing w:before="0" w:after="0"/>
        <w:ind w:firstLine="709"/>
        <w:rPr>
          <w:sz w:val="26"/>
          <w:szCs w:val="26"/>
        </w:rPr>
      </w:pPr>
      <w:r w:rsidRPr="0096501D">
        <w:rPr>
          <w:sz w:val="26"/>
          <w:szCs w:val="26"/>
        </w:rPr>
        <w:lastRenderedPageBreak/>
        <w:t>Эксплуатационные запасы пресных подземных вод по Когалымскому месторождению переоценены в 2000 г. и утверждены на ср</w:t>
      </w:r>
      <w:r>
        <w:rPr>
          <w:sz w:val="26"/>
          <w:szCs w:val="26"/>
        </w:rPr>
        <w:t>ок 25 лет. Согласно Протоколу №</w:t>
      </w:r>
      <w:r w:rsidRPr="0096501D">
        <w:rPr>
          <w:sz w:val="26"/>
          <w:szCs w:val="26"/>
        </w:rPr>
        <w:t xml:space="preserve">635 ГКЗ от 23.03.2001 по участку Когалымского городского водозабора эксплуатационные запасы по всем категориям составляют 60,8 тыс. м3/сут. Эксплуатационные запасы </w:t>
      </w:r>
      <w:r w:rsidRPr="0096501D">
        <w:rPr>
          <w:sz w:val="26"/>
          <w:szCs w:val="26"/>
        </w:rPr>
        <w:lastRenderedPageBreak/>
        <w:t>утверждены с перспективой развития городского водозабора.</w:t>
      </w:r>
    </w:p>
    <w:p w:rsidR="004616EA" w:rsidRPr="0096501D" w:rsidRDefault="004616EA" w:rsidP="0096501D">
      <w:pPr>
        <w:pStyle w:val="a7"/>
        <w:numPr>
          <w:ilvl w:val="0"/>
          <w:numId w:val="41"/>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Резерв мощности головных сооружений</w:t>
      </w:r>
    </w:p>
    <w:p w:rsidR="004616EA" w:rsidRPr="0096501D" w:rsidRDefault="004616EA" w:rsidP="0096501D">
      <w:pPr>
        <w:pStyle w:val="ab"/>
        <w:spacing w:before="0" w:after="0"/>
        <w:ind w:firstLine="709"/>
        <w:rPr>
          <w:sz w:val="26"/>
          <w:szCs w:val="26"/>
        </w:rPr>
      </w:pPr>
      <w:r w:rsidRPr="0096501D">
        <w:rPr>
          <w:sz w:val="26"/>
          <w:szCs w:val="26"/>
        </w:rPr>
        <w:t xml:space="preserve">Водозаборные и водопроводные очистные сооружения (далее ВОС) обладают достаточным резервом мощности для подключения планируемых </w:t>
      </w:r>
      <w:r w:rsidRPr="0096501D">
        <w:rPr>
          <w:sz w:val="26"/>
          <w:szCs w:val="26"/>
        </w:rPr>
        <w:lastRenderedPageBreak/>
        <w:t>потребителей. Объем реализации холодной воды в 2013 году составил 3736,18 тыс. м3/год (10,23 тыс. м3/сут.). Полная фактическая производительность ВОС - 60 тыс. м3/сут. Резерв мощности ВОС 73%.</w:t>
      </w:r>
    </w:p>
    <w:p w:rsidR="004616EA" w:rsidRPr="0096501D" w:rsidRDefault="004616EA" w:rsidP="0096501D">
      <w:pPr>
        <w:pStyle w:val="a7"/>
        <w:numPr>
          <w:ilvl w:val="0"/>
          <w:numId w:val="41"/>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Высокая обеспеченность приборами коммерческого учета</w:t>
      </w:r>
    </w:p>
    <w:p w:rsidR="004616EA" w:rsidRPr="0096501D" w:rsidRDefault="004616EA" w:rsidP="0096501D">
      <w:pPr>
        <w:pStyle w:val="ab"/>
        <w:spacing w:before="0" w:after="0"/>
        <w:ind w:firstLine="709"/>
        <w:rPr>
          <w:sz w:val="26"/>
          <w:szCs w:val="26"/>
        </w:rPr>
      </w:pPr>
      <w:r w:rsidRPr="0096501D">
        <w:rPr>
          <w:sz w:val="26"/>
          <w:szCs w:val="26"/>
        </w:rPr>
        <w:lastRenderedPageBreak/>
        <w:t xml:space="preserve">В городе Когалыме в соответствии с Федеральным законом Российской Федерации от 23 ноября 2009 года №261-ФЗ «Об энергосбережении и о повышении энергетической эффективности, и о внесении изменений в отдельные законодательные акты Российской Федерации» обеспеченность </w:t>
      </w:r>
      <w:r w:rsidRPr="0096501D">
        <w:rPr>
          <w:sz w:val="26"/>
          <w:szCs w:val="26"/>
        </w:rPr>
        <w:lastRenderedPageBreak/>
        <w:t xml:space="preserve">общедомовыми приборами учета составляет 100%. Так же приборы учета установлены на основных направлениях подачи воды. </w:t>
      </w:r>
    </w:p>
    <w:p w:rsidR="004616EA" w:rsidRPr="0096501D" w:rsidRDefault="004616EA" w:rsidP="0096501D">
      <w:pPr>
        <w:pStyle w:val="ab"/>
        <w:spacing w:before="0" w:after="0"/>
        <w:ind w:firstLine="709"/>
        <w:rPr>
          <w:sz w:val="26"/>
          <w:szCs w:val="26"/>
        </w:rPr>
      </w:pPr>
      <w:r w:rsidRPr="0096501D">
        <w:rPr>
          <w:sz w:val="26"/>
          <w:szCs w:val="26"/>
        </w:rPr>
        <w:t>Охват абонентов приборами учета представлен ниже (</w:t>
      </w:r>
      <w:r w:rsidR="001977F4">
        <w:fldChar w:fldCharType="begin"/>
      </w:r>
      <w:r w:rsidR="001977F4">
        <w:instrText xml:space="preserve"> REF _Ref401047837 \h  \* MERGEFORMAT </w:instrText>
      </w:r>
      <w:r w:rsidR="001977F4">
        <w:fldChar w:fldCharType="separate"/>
      </w:r>
      <w:r w:rsidR="001977F4" w:rsidRPr="0096501D">
        <w:rPr>
          <w:sz w:val="26"/>
          <w:szCs w:val="26"/>
        </w:rPr>
        <w:t xml:space="preserve">Таблица </w:t>
      </w:r>
      <w:r w:rsidR="001977F4" w:rsidRPr="001977F4">
        <w:rPr>
          <w:sz w:val="26"/>
          <w:szCs w:val="26"/>
        </w:rPr>
        <w:t>4</w:t>
      </w:r>
      <w:r w:rsidR="001977F4">
        <w:fldChar w:fldCharType="end"/>
      </w:r>
      <w:r w:rsidRPr="0096501D">
        <w:rPr>
          <w:sz w:val="26"/>
          <w:szCs w:val="26"/>
        </w:rPr>
        <w:t>).</w:t>
      </w:r>
    </w:p>
    <w:p w:rsidR="004616EA" w:rsidRPr="0096501D" w:rsidRDefault="004616EA" w:rsidP="0096501D">
      <w:pPr>
        <w:pStyle w:val="af1"/>
        <w:keepNext/>
        <w:spacing w:after="0"/>
        <w:ind w:firstLine="709"/>
        <w:jc w:val="both"/>
        <w:rPr>
          <w:rFonts w:ascii="Times New Roman" w:hAnsi="Times New Roman"/>
          <w:b w:val="0"/>
          <w:color w:val="auto"/>
          <w:sz w:val="26"/>
          <w:szCs w:val="26"/>
        </w:rPr>
      </w:pPr>
      <w:bookmarkStart w:id="56" w:name="_Ref401047837"/>
      <w:bookmarkStart w:id="57" w:name="_Ref397019842"/>
      <w:r w:rsidRPr="0096501D">
        <w:rPr>
          <w:rFonts w:ascii="Times New Roman" w:hAnsi="Times New Roman"/>
          <w:b w:val="0"/>
          <w:color w:val="auto"/>
          <w:sz w:val="26"/>
          <w:szCs w:val="26"/>
        </w:rPr>
        <w:t xml:space="preserve">Таблица </w:t>
      </w:r>
      <w:r w:rsidRPr="0096501D">
        <w:rPr>
          <w:rFonts w:ascii="Times New Roman" w:hAnsi="Times New Roman"/>
          <w:b w:val="0"/>
          <w:color w:val="auto"/>
          <w:sz w:val="26"/>
          <w:szCs w:val="26"/>
        </w:rPr>
        <w:fldChar w:fldCharType="begin"/>
      </w:r>
      <w:r w:rsidRPr="0096501D">
        <w:rPr>
          <w:rFonts w:ascii="Times New Roman" w:hAnsi="Times New Roman"/>
          <w:b w:val="0"/>
          <w:color w:val="auto"/>
          <w:sz w:val="26"/>
          <w:szCs w:val="26"/>
        </w:rPr>
        <w:instrText xml:space="preserve"> SEQ Таблица \* ARABIC </w:instrText>
      </w:r>
      <w:r w:rsidRPr="0096501D">
        <w:rPr>
          <w:rFonts w:ascii="Times New Roman" w:hAnsi="Times New Roman"/>
          <w:b w:val="0"/>
          <w:color w:val="auto"/>
          <w:sz w:val="26"/>
          <w:szCs w:val="26"/>
        </w:rPr>
        <w:fldChar w:fldCharType="separate"/>
      </w:r>
      <w:r w:rsidR="001977F4">
        <w:rPr>
          <w:rFonts w:ascii="Times New Roman" w:hAnsi="Times New Roman"/>
          <w:b w:val="0"/>
          <w:noProof/>
          <w:color w:val="auto"/>
          <w:sz w:val="26"/>
          <w:szCs w:val="26"/>
        </w:rPr>
        <w:t>4</w:t>
      </w:r>
      <w:r w:rsidRPr="0096501D">
        <w:rPr>
          <w:rFonts w:ascii="Times New Roman" w:hAnsi="Times New Roman"/>
          <w:b w:val="0"/>
          <w:color w:val="auto"/>
          <w:sz w:val="26"/>
          <w:szCs w:val="26"/>
        </w:rPr>
        <w:fldChar w:fldCharType="end"/>
      </w:r>
      <w:bookmarkEnd w:id="56"/>
      <w:r w:rsidRPr="0096501D">
        <w:rPr>
          <w:rFonts w:ascii="Times New Roman" w:hAnsi="Times New Roman"/>
          <w:b w:val="0"/>
          <w:color w:val="auto"/>
          <w:sz w:val="26"/>
          <w:szCs w:val="26"/>
        </w:rPr>
        <w:t xml:space="preserve"> - Охват абонентов приборами учета</w:t>
      </w:r>
      <w:bookmarkEnd w:id="57"/>
    </w:p>
    <w:tbl>
      <w:tblPr>
        <w:tblW w:w="42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74"/>
        <w:gridCol w:w="1160"/>
      </w:tblGrid>
      <w:tr w:rsidR="004616EA" w:rsidRPr="00475E67" w:rsidTr="007F3724">
        <w:trPr>
          <w:trHeight w:val="20"/>
          <w:jc w:val="center"/>
        </w:trPr>
        <w:tc>
          <w:tcPr>
            <w:tcW w:w="4250" w:type="pct"/>
            <w:vAlign w:val="center"/>
          </w:tcPr>
          <w:p w:rsidR="004616EA" w:rsidRPr="00475E67" w:rsidRDefault="004616EA" w:rsidP="006A4598">
            <w:pPr>
              <w:spacing w:after="0" w:line="360" w:lineRule="auto"/>
              <w:ind w:firstLine="567"/>
              <w:jc w:val="center"/>
              <w:rPr>
                <w:rFonts w:ascii="Times New Roman" w:hAnsi="Times New Roman"/>
              </w:rPr>
            </w:pPr>
            <w:r w:rsidRPr="00475E67">
              <w:rPr>
                <w:rFonts w:ascii="Times New Roman" w:hAnsi="Times New Roman"/>
              </w:rPr>
              <w:t>Охват абонентов приборами учета (доля абонентов с приборами учета по отношению к общему числу абонентов)</w:t>
            </w:r>
          </w:p>
        </w:tc>
        <w:tc>
          <w:tcPr>
            <w:tcW w:w="750" w:type="pct"/>
            <w:noWrap/>
            <w:vAlign w:val="center"/>
          </w:tcPr>
          <w:p w:rsidR="004616EA" w:rsidRPr="00475E67" w:rsidRDefault="004616EA" w:rsidP="006A4598">
            <w:pPr>
              <w:spacing w:after="0" w:line="360" w:lineRule="auto"/>
              <w:ind w:firstLine="567"/>
              <w:jc w:val="center"/>
              <w:rPr>
                <w:rFonts w:cs="Calibri"/>
                <w:b/>
              </w:rPr>
            </w:pPr>
            <w:r w:rsidRPr="00475E67">
              <w:rPr>
                <w:rFonts w:cs="Calibri"/>
                <w:b/>
              </w:rPr>
              <w:t>%</w:t>
            </w:r>
          </w:p>
        </w:tc>
      </w:tr>
      <w:tr w:rsidR="004616EA" w:rsidRPr="00475E67" w:rsidTr="007F3724">
        <w:trPr>
          <w:trHeight w:val="20"/>
          <w:jc w:val="center"/>
        </w:trPr>
        <w:tc>
          <w:tcPr>
            <w:tcW w:w="4250" w:type="pct"/>
            <w:noWrap/>
            <w:vAlign w:val="center"/>
          </w:tcPr>
          <w:p w:rsidR="004616EA" w:rsidRPr="00475E67" w:rsidRDefault="004616EA" w:rsidP="006A4598">
            <w:pPr>
              <w:spacing w:after="0" w:line="360" w:lineRule="auto"/>
              <w:ind w:firstLine="567"/>
              <w:jc w:val="center"/>
              <w:rPr>
                <w:rFonts w:ascii="Times New Roman" w:hAnsi="Times New Roman"/>
              </w:rPr>
            </w:pPr>
            <w:r w:rsidRPr="00475E67">
              <w:rPr>
                <w:rFonts w:ascii="Times New Roman" w:hAnsi="Times New Roman"/>
              </w:rPr>
              <w:lastRenderedPageBreak/>
              <w:t>население</w:t>
            </w:r>
          </w:p>
        </w:tc>
        <w:tc>
          <w:tcPr>
            <w:tcW w:w="750" w:type="pct"/>
            <w:noWrap/>
            <w:vAlign w:val="center"/>
          </w:tcPr>
          <w:p w:rsidR="004616EA" w:rsidRPr="00475E67" w:rsidRDefault="004616EA" w:rsidP="006A4598">
            <w:pPr>
              <w:spacing w:after="0" w:line="360" w:lineRule="auto"/>
              <w:ind w:firstLine="567"/>
              <w:jc w:val="center"/>
              <w:rPr>
                <w:rFonts w:ascii="Times New Roman" w:hAnsi="Times New Roman"/>
              </w:rPr>
            </w:pPr>
            <w:r w:rsidRPr="00475E67">
              <w:rPr>
                <w:rFonts w:ascii="Times New Roman" w:hAnsi="Times New Roman"/>
              </w:rPr>
              <w:t>88*</w:t>
            </w:r>
          </w:p>
        </w:tc>
      </w:tr>
      <w:tr w:rsidR="004616EA" w:rsidRPr="00475E67" w:rsidTr="007F3724">
        <w:trPr>
          <w:trHeight w:val="20"/>
          <w:jc w:val="center"/>
        </w:trPr>
        <w:tc>
          <w:tcPr>
            <w:tcW w:w="4250" w:type="pct"/>
            <w:noWrap/>
            <w:vAlign w:val="center"/>
          </w:tcPr>
          <w:p w:rsidR="004616EA" w:rsidRPr="00475E67" w:rsidRDefault="004616EA" w:rsidP="006A4598">
            <w:pPr>
              <w:spacing w:after="0" w:line="360" w:lineRule="auto"/>
              <w:ind w:firstLine="567"/>
              <w:jc w:val="center"/>
              <w:rPr>
                <w:rFonts w:ascii="Times New Roman" w:hAnsi="Times New Roman"/>
              </w:rPr>
            </w:pPr>
            <w:r w:rsidRPr="00475E67">
              <w:rPr>
                <w:rFonts w:ascii="Times New Roman" w:hAnsi="Times New Roman"/>
              </w:rPr>
              <w:t>промышленные объекты</w:t>
            </w:r>
          </w:p>
        </w:tc>
        <w:tc>
          <w:tcPr>
            <w:tcW w:w="750" w:type="pct"/>
            <w:noWrap/>
            <w:vAlign w:val="center"/>
          </w:tcPr>
          <w:p w:rsidR="004616EA" w:rsidRPr="00475E67" w:rsidRDefault="004616EA" w:rsidP="006A4598">
            <w:pPr>
              <w:spacing w:after="0" w:line="360" w:lineRule="auto"/>
              <w:ind w:firstLine="567"/>
              <w:jc w:val="center"/>
              <w:rPr>
                <w:rFonts w:ascii="Times New Roman" w:hAnsi="Times New Roman"/>
              </w:rPr>
            </w:pPr>
            <w:r w:rsidRPr="00475E67">
              <w:rPr>
                <w:rFonts w:ascii="Times New Roman" w:hAnsi="Times New Roman"/>
              </w:rPr>
              <w:t>100</w:t>
            </w:r>
          </w:p>
        </w:tc>
      </w:tr>
      <w:tr w:rsidR="004616EA" w:rsidRPr="00475E67" w:rsidTr="007F3724">
        <w:trPr>
          <w:trHeight w:val="20"/>
          <w:jc w:val="center"/>
        </w:trPr>
        <w:tc>
          <w:tcPr>
            <w:tcW w:w="4250" w:type="pct"/>
            <w:vAlign w:val="center"/>
          </w:tcPr>
          <w:p w:rsidR="004616EA" w:rsidRPr="00475E67" w:rsidRDefault="004616EA" w:rsidP="006A4598">
            <w:pPr>
              <w:spacing w:after="0" w:line="360" w:lineRule="auto"/>
              <w:ind w:firstLine="567"/>
              <w:jc w:val="center"/>
              <w:rPr>
                <w:rFonts w:ascii="Times New Roman" w:hAnsi="Times New Roman"/>
              </w:rPr>
            </w:pPr>
            <w:r w:rsidRPr="00475E67">
              <w:rPr>
                <w:rFonts w:ascii="Times New Roman" w:hAnsi="Times New Roman"/>
              </w:rPr>
              <w:t>объекты социально-культурного и бытового назначения</w:t>
            </w:r>
          </w:p>
        </w:tc>
        <w:tc>
          <w:tcPr>
            <w:tcW w:w="750" w:type="pct"/>
            <w:noWrap/>
            <w:vAlign w:val="center"/>
          </w:tcPr>
          <w:p w:rsidR="004616EA" w:rsidRPr="00475E67" w:rsidRDefault="004616EA" w:rsidP="006A4598">
            <w:pPr>
              <w:spacing w:after="0" w:line="360" w:lineRule="auto"/>
              <w:ind w:firstLine="567"/>
              <w:jc w:val="center"/>
              <w:rPr>
                <w:rFonts w:ascii="Times New Roman" w:hAnsi="Times New Roman"/>
              </w:rPr>
            </w:pPr>
            <w:r w:rsidRPr="00475E67">
              <w:rPr>
                <w:rFonts w:ascii="Times New Roman" w:hAnsi="Times New Roman"/>
              </w:rPr>
              <w:t>100</w:t>
            </w:r>
          </w:p>
        </w:tc>
      </w:tr>
    </w:tbl>
    <w:p w:rsidR="004616EA" w:rsidRPr="00475E67" w:rsidRDefault="004616EA" w:rsidP="0096501D">
      <w:pPr>
        <w:pStyle w:val="ab"/>
        <w:spacing w:before="0" w:after="0"/>
      </w:pPr>
      <w:r w:rsidRPr="00475E67">
        <w:t xml:space="preserve">* </w:t>
      </w:r>
      <w:r w:rsidRPr="00475E67">
        <w:rPr>
          <w:sz w:val="20"/>
        </w:rPr>
        <w:t>обеспеченность населения приборами коммерческого учета в размере 88% связана с наличием ветхого и аварийного жилого фонда, который не подлежит оснащению приборами коммерческого учета</w:t>
      </w:r>
      <w:r w:rsidRPr="00475E67">
        <w:t>.</w:t>
      </w:r>
    </w:p>
    <w:p w:rsidR="004616EA" w:rsidRPr="0096501D" w:rsidRDefault="004616EA" w:rsidP="0096501D">
      <w:pPr>
        <w:pStyle w:val="ab"/>
        <w:spacing w:before="0" w:after="0"/>
        <w:ind w:firstLine="709"/>
        <w:rPr>
          <w:b/>
          <w:i/>
          <w:sz w:val="26"/>
          <w:szCs w:val="26"/>
        </w:rPr>
      </w:pPr>
      <w:r w:rsidRPr="0096501D">
        <w:rPr>
          <w:b/>
          <w:sz w:val="26"/>
          <w:szCs w:val="26"/>
        </w:rPr>
        <w:t>Слабые стороны</w:t>
      </w:r>
    </w:p>
    <w:p w:rsidR="004616EA" w:rsidRPr="0096501D" w:rsidRDefault="004616EA" w:rsidP="0096501D">
      <w:pPr>
        <w:pStyle w:val="a7"/>
        <w:numPr>
          <w:ilvl w:val="0"/>
          <w:numId w:val="92"/>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Значительный износ сооружений и сетей</w:t>
      </w:r>
    </w:p>
    <w:p w:rsidR="004616EA" w:rsidRPr="0096501D" w:rsidRDefault="004616EA" w:rsidP="0096501D">
      <w:pPr>
        <w:pStyle w:val="ab"/>
        <w:spacing w:before="0" w:after="0"/>
        <w:ind w:firstLine="709"/>
        <w:rPr>
          <w:sz w:val="26"/>
          <w:szCs w:val="26"/>
        </w:rPr>
      </w:pPr>
      <w:r w:rsidRPr="0096501D">
        <w:rPr>
          <w:sz w:val="26"/>
          <w:szCs w:val="26"/>
        </w:rPr>
        <w:lastRenderedPageBreak/>
        <w:t>Износ водозаборных сооружений составляет 61%, водопроводных сетей - 50%, с учетом левобережной части городского округа. В настоящее время в рамках реализации Инвестиционной программы ООО «Горводоканал» ведутся активные работы по реконструкции, модернизации и развитию систем водоснабжения.</w:t>
      </w:r>
    </w:p>
    <w:p w:rsidR="004616EA" w:rsidRPr="0096501D" w:rsidRDefault="004616EA" w:rsidP="0096501D">
      <w:pPr>
        <w:pStyle w:val="a7"/>
        <w:numPr>
          <w:ilvl w:val="0"/>
          <w:numId w:val="92"/>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lastRenderedPageBreak/>
        <w:t>Высокий уровень потерь воды питьевого качества при транспортировке</w:t>
      </w:r>
    </w:p>
    <w:p w:rsidR="004616EA" w:rsidRPr="0096501D" w:rsidRDefault="004616EA" w:rsidP="0096501D">
      <w:pPr>
        <w:pStyle w:val="ab"/>
        <w:spacing w:before="0" w:after="0"/>
        <w:ind w:firstLine="709"/>
        <w:rPr>
          <w:sz w:val="26"/>
          <w:szCs w:val="26"/>
        </w:rPr>
      </w:pPr>
      <w:r w:rsidRPr="0096501D">
        <w:rPr>
          <w:sz w:val="26"/>
          <w:szCs w:val="26"/>
        </w:rPr>
        <w:t>В 2013 году потери воды в сетях хозяйственно-питьевого водопровода составили 1154,03 тыс. м3 или 23,6%.</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Возможности</w:t>
      </w:r>
    </w:p>
    <w:p w:rsidR="004616EA" w:rsidRPr="0096501D" w:rsidRDefault="004616EA" w:rsidP="0096501D">
      <w:pPr>
        <w:pStyle w:val="a9"/>
        <w:numPr>
          <w:ilvl w:val="0"/>
          <w:numId w:val="40"/>
        </w:numPr>
        <w:tabs>
          <w:tab w:val="left" w:pos="993"/>
        </w:tabs>
        <w:spacing w:after="0"/>
        <w:ind w:left="0" w:firstLine="709"/>
        <w:rPr>
          <w:sz w:val="26"/>
          <w:szCs w:val="26"/>
        </w:rPr>
      </w:pPr>
      <w:r w:rsidRPr="0096501D">
        <w:rPr>
          <w:sz w:val="26"/>
          <w:szCs w:val="26"/>
        </w:rPr>
        <w:lastRenderedPageBreak/>
        <w:t>обеспечение экологической безопасности и защиты источников питьевого водоснабжения от возможного загрязнения за счет организации зон санитарной охраны;</w:t>
      </w:r>
    </w:p>
    <w:p w:rsidR="004616EA" w:rsidRPr="0096501D" w:rsidRDefault="004616EA" w:rsidP="0096501D">
      <w:pPr>
        <w:pStyle w:val="a9"/>
        <w:numPr>
          <w:ilvl w:val="0"/>
          <w:numId w:val="40"/>
        </w:numPr>
        <w:tabs>
          <w:tab w:val="left" w:pos="993"/>
        </w:tabs>
        <w:spacing w:after="0"/>
        <w:ind w:left="0" w:firstLine="709"/>
        <w:rPr>
          <w:sz w:val="26"/>
          <w:szCs w:val="26"/>
        </w:rPr>
      </w:pPr>
      <w:r w:rsidRPr="0096501D">
        <w:rPr>
          <w:sz w:val="26"/>
          <w:szCs w:val="26"/>
        </w:rPr>
        <w:t>обеспечение водоснабжением планируемых потребителей за счет развития водопроводной сети в перспективных районах города;</w:t>
      </w:r>
    </w:p>
    <w:p w:rsidR="004616EA" w:rsidRPr="0096501D" w:rsidRDefault="004616EA" w:rsidP="0096501D">
      <w:pPr>
        <w:pStyle w:val="a9"/>
        <w:numPr>
          <w:ilvl w:val="0"/>
          <w:numId w:val="40"/>
        </w:numPr>
        <w:tabs>
          <w:tab w:val="left" w:pos="993"/>
        </w:tabs>
        <w:spacing w:after="0"/>
        <w:ind w:left="0" w:firstLine="709"/>
        <w:rPr>
          <w:sz w:val="26"/>
          <w:szCs w:val="26"/>
        </w:rPr>
      </w:pPr>
      <w:r w:rsidRPr="0096501D">
        <w:rPr>
          <w:sz w:val="26"/>
          <w:szCs w:val="26"/>
        </w:rPr>
        <w:lastRenderedPageBreak/>
        <w:t>повышение качества оказываемых услуг за счет поэтапной реконструкции сетей, нуждающихся замене;</w:t>
      </w:r>
    </w:p>
    <w:p w:rsidR="004616EA" w:rsidRPr="0096501D" w:rsidRDefault="004616EA" w:rsidP="0096501D">
      <w:pPr>
        <w:pStyle w:val="a9"/>
        <w:numPr>
          <w:ilvl w:val="0"/>
          <w:numId w:val="40"/>
        </w:numPr>
        <w:tabs>
          <w:tab w:val="left" w:pos="993"/>
        </w:tabs>
        <w:spacing w:after="0"/>
        <w:ind w:left="0" w:firstLine="709"/>
        <w:rPr>
          <w:sz w:val="26"/>
          <w:szCs w:val="26"/>
        </w:rPr>
      </w:pPr>
      <w:r w:rsidRPr="0096501D">
        <w:rPr>
          <w:sz w:val="26"/>
          <w:szCs w:val="26"/>
        </w:rPr>
        <w:t>сокращение потерь и нерационального использования питьевой воды за счет комплекса водосберегающих мероприятий;</w:t>
      </w:r>
    </w:p>
    <w:p w:rsidR="004616EA" w:rsidRDefault="004616EA" w:rsidP="0096501D">
      <w:pPr>
        <w:pStyle w:val="a9"/>
        <w:numPr>
          <w:ilvl w:val="0"/>
          <w:numId w:val="40"/>
        </w:numPr>
        <w:tabs>
          <w:tab w:val="left" w:pos="993"/>
        </w:tabs>
        <w:spacing w:after="0"/>
        <w:ind w:left="0" w:firstLine="709"/>
        <w:rPr>
          <w:sz w:val="26"/>
          <w:szCs w:val="26"/>
        </w:rPr>
      </w:pPr>
      <w:r w:rsidRPr="0096501D">
        <w:rPr>
          <w:sz w:val="26"/>
          <w:szCs w:val="26"/>
        </w:rPr>
        <w:lastRenderedPageBreak/>
        <w:t>комплексная автоматизация деятельности эксплуатирующего предприятия за счет автоматизации управления технологическими и производственными процессами системы водоснабжения.</w:t>
      </w:r>
    </w:p>
    <w:p w:rsidR="004616EA" w:rsidRPr="0096501D" w:rsidRDefault="004616EA" w:rsidP="0096501D">
      <w:pPr>
        <w:pStyle w:val="a9"/>
        <w:tabs>
          <w:tab w:val="left" w:pos="993"/>
        </w:tabs>
        <w:spacing w:after="0"/>
        <w:rPr>
          <w:sz w:val="26"/>
          <w:szCs w:val="26"/>
        </w:rPr>
      </w:pP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Угрозы</w:t>
      </w:r>
    </w:p>
    <w:p w:rsidR="004616EA" w:rsidRPr="0096501D" w:rsidRDefault="004616EA" w:rsidP="0096501D">
      <w:pPr>
        <w:pStyle w:val="a9"/>
        <w:numPr>
          <w:ilvl w:val="0"/>
          <w:numId w:val="40"/>
        </w:numPr>
        <w:tabs>
          <w:tab w:val="left" w:pos="993"/>
        </w:tabs>
        <w:spacing w:after="0"/>
        <w:ind w:left="0" w:firstLine="709"/>
        <w:rPr>
          <w:sz w:val="26"/>
          <w:szCs w:val="26"/>
        </w:rPr>
      </w:pPr>
      <w:r w:rsidRPr="0096501D">
        <w:rPr>
          <w:sz w:val="26"/>
          <w:szCs w:val="26"/>
        </w:rPr>
        <w:lastRenderedPageBreak/>
        <w:t>несоблюдение защитных мероприятий в пределах зон санитарной охраны источников питьевого водоснабжения, неудовлетворительное санитарно-техническое состояние водозаборных сооружений и сетей может спровоцировать распространение ин</w:t>
      </w:r>
      <w:r w:rsidRPr="0096501D">
        <w:rPr>
          <w:sz w:val="26"/>
          <w:szCs w:val="26"/>
        </w:rPr>
        <w:lastRenderedPageBreak/>
        <w:t>фекционных и неинфекционных заболеваний и усугубить санитарно-эпидемиологическую обстановку в городе;</w:t>
      </w:r>
    </w:p>
    <w:p w:rsidR="004616EA" w:rsidRPr="0096501D" w:rsidRDefault="004616EA" w:rsidP="0096501D">
      <w:pPr>
        <w:pStyle w:val="a9"/>
        <w:numPr>
          <w:ilvl w:val="0"/>
          <w:numId w:val="40"/>
        </w:numPr>
        <w:tabs>
          <w:tab w:val="left" w:pos="993"/>
        </w:tabs>
        <w:spacing w:after="0"/>
        <w:ind w:left="0" w:firstLine="709"/>
        <w:rPr>
          <w:sz w:val="26"/>
          <w:szCs w:val="26"/>
        </w:rPr>
      </w:pPr>
      <w:r w:rsidRPr="0096501D">
        <w:rPr>
          <w:sz w:val="26"/>
          <w:szCs w:val="26"/>
        </w:rPr>
        <w:t>высокая аварийность и недостаточная тепловая защита внутриквартальных сетей способствуют частым и продолжительным отключениям потребителей от услуг водоснабжения, значительным неучтенным расходам;</w:t>
      </w:r>
    </w:p>
    <w:p w:rsidR="004616EA" w:rsidRPr="0096501D" w:rsidRDefault="004616EA" w:rsidP="0096501D">
      <w:pPr>
        <w:pStyle w:val="a9"/>
        <w:numPr>
          <w:ilvl w:val="0"/>
          <w:numId w:val="40"/>
        </w:numPr>
        <w:tabs>
          <w:tab w:val="left" w:pos="993"/>
        </w:tabs>
        <w:spacing w:after="0"/>
        <w:ind w:left="0" w:firstLine="709"/>
        <w:rPr>
          <w:sz w:val="26"/>
          <w:szCs w:val="26"/>
        </w:rPr>
      </w:pPr>
      <w:r w:rsidRPr="0096501D">
        <w:rPr>
          <w:sz w:val="26"/>
          <w:szCs w:val="26"/>
        </w:rPr>
        <w:lastRenderedPageBreak/>
        <w:t>ухудшение качества воды в результате обрастания внутренней поверхности водоводов железистыми отложениями. Ухудшение качества воды может повлечь за собой снижение комфортности проживания населения, а также увеличение степени риска заболеваний.</w:t>
      </w:r>
    </w:p>
    <w:p w:rsidR="004616EA" w:rsidRPr="0096501D" w:rsidRDefault="004616EA" w:rsidP="0096501D">
      <w:pPr>
        <w:pStyle w:val="3"/>
        <w:spacing w:line="240" w:lineRule="auto"/>
        <w:ind w:firstLine="709"/>
        <w:rPr>
          <w:sz w:val="26"/>
          <w:lang w:eastAsia="ru-RU"/>
        </w:rPr>
      </w:pPr>
      <w:bookmarkStart w:id="58" w:name="_Toc296440887"/>
      <w:bookmarkStart w:id="59" w:name="_Toc397081511"/>
      <w:bookmarkStart w:id="60" w:name="_Toc405805493"/>
      <w:r w:rsidRPr="0096501D">
        <w:rPr>
          <w:sz w:val="26"/>
          <w:lang w:eastAsia="ru-RU"/>
        </w:rPr>
        <w:lastRenderedPageBreak/>
        <w:t>2.6.2 Водоотведение (канализация)</w:t>
      </w:r>
      <w:bookmarkEnd w:id="58"/>
      <w:bookmarkEnd w:id="59"/>
      <w:bookmarkEnd w:id="60"/>
    </w:p>
    <w:p w:rsidR="004616EA" w:rsidRPr="0096501D" w:rsidRDefault="004616EA" w:rsidP="0096501D">
      <w:pPr>
        <w:spacing w:after="0" w:line="240" w:lineRule="auto"/>
        <w:ind w:firstLine="709"/>
        <w:jc w:val="both"/>
        <w:rPr>
          <w:rFonts w:ascii="Times New Roman" w:hAnsi="Times New Roman"/>
          <w:b/>
          <w:sz w:val="26"/>
          <w:szCs w:val="26"/>
          <w:lang w:eastAsia="ru-RU"/>
        </w:rPr>
      </w:pPr>
      <w:r w:rsidRPr="0096501D">
        <w:rPr>
          <w:rFonts w:ascii="Times New Roman" w:hAnsi="Times New Roman"/>
          <w:b/>
          <w:sz w:val="26"/>
          <w:szCs w:val="26"/>
          <w:lang w:eastAsia="ru-RU"/>
        </w:rPr>
        <w:t>Сильные стороны</w:t>
      </w:r>
    </w:p>
    <w:p w:rsidR="004616EA" w:rsidRPr="0096501D" w:rsidRDefault="004616EA" w:rsidP="0096501D">
      <w:pPr>
        <w:pStyle w:val="a7"/>
        <w:numPr>
          <w:ilvl w:val="0"/>
          <w:numId w:val="42"/>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Высокая обеспеченность централизованной системой водоотведения</w:t>
      </w:r>
    </w:p>
    <w:p w:rsidR="004616EA" w:rsidRPr="0096501D" w:rsidRDefault="004616EA" w:rsidP="0096501D">
      <w:pPr>
        <w:pStyle w:val="ab"/>
        <w:spacing w:before="0" w:after="0"/>
        <w:ind w:firstLine="709"/>
        <w:rPr>
          <w:sz w:val="26"/>
          <w:szCs w:val="26"/>
        </w:rPr>
      </w:pPr>
      <w:r w:rsidRPr="0096501D">
        <w:rPr>
          <w:sz w:val="26"/>
          <w:szCs w:val="26"/>
        </w:rPr>
        <w:t xml:space="preserve">Доля объектов жилищного фонда, обеспеченных централизованным водоотведением по состоянию на 2013 </w:t>
      </w:r>
      <w:r w:rsidRPr="0096501D">
        <w:rPr>
          <w:sz w:val="26"/>
          <w:szCs w:val="26"/>
        </w:rPr>
        <w:lastRenderedPageBreak/>
        <w:t>год составляет 100%, частного сектора за рекой Кирилл-Высьягун – 66%.</w:t>
      </w:r>
    </w:p>
    <w:p w:rsidR="004616EA" w:rsidRPr="0096501D" w:rsidRDefault="004616EA" w:rsidP="0096501D">
      <w:pPr>
        <w:pStyle w:val="a7"/>
        <w:numPr>
          <w:ilvl w:val="0"/>
          <w:numId w:val="42"/>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Наличие очистки сточных вод</w:t>
      </w:r>
    </w:p>
    <w:p w:rsidR="004616EA" w:rsidRDefault="004616EA" w:rsidP="0096501D">
      <w:pPr>
        <w:pStyle w:val="ab"/>
        <w:spacing w:before="0" w:after="0"/>
        <w:ind w:firstLine="709"/>
        <w:rPr>
          <w:sz w:val="26"/>
          <w:szCs w:val="26"/>
        </w:rPr>
      </w:pPr>
      <w:r w:rsidRPr="0096501D">
        <w:rPr>
          <w:sz w:val="26"/>
          <w:szCs w:val="26"/>
        </w:rPr>
        <w:t xml:space="preserve">Стоки от объектов, расположенных на территории городского округа, проходят очистку и утилизацию на канализационных очистных сооружениях, что снижает негативное воздействие на окружающую среду. </w:t>
      </w:r>
    </w:p>
    <w:p w:rsidR="004616EA" w:rsidRPr="0096501D" w:rsidRDefault="004616EA" w:rsidP="0096501D">
      <w:pPr>
        <w:pStyle w:val="ab"/>
        <w:spacing w:before="0" w:after="0"/>
        <w:ind w:firstLine="709"/>
        <w:rPr>
          <w:sz w:val="26"/>
          <w:szCs w:val="26"/>
        </w:rPr>
      </w:pP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Слабые стороны</w:t>
      </w:r>
    </w:p>
    <w:p w:rsidR="004616EA" w:rsidRPr="0096501D" w:rsidRDefault="004616EA" w:rsidP="0096501D">
      <w:pPr>
        <w:pStyle w:val="a7"/>
        <w:numPr>
          <w:ilvl w:val="0"/>
          <w:numId w:val="43"/>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Значительный износ сооружений и сетей водоотведения</w:t>
      </w:r>
    </w:p>
    <w:p w:rsidR="004616EA" w:rsidRPr="0096501D" w:rsidRDefault="004616EA" w:rsidP="0096501D">
      <w:pPr>
        <w:pStyle w:val="ab"/>
        <w:spacing w:before="0" w:after="0"/>
        <w:ind w:firstLine="709"/>
        <w:rPr>
          <w:sz w:val="26"/>
          <w:szCs w:val="26"/>
        </w:rPr>
      </w:pPr>
      <w:r w:rsidRPr="0096501D">
        <w:rPr>
          <w:sz w:val="26"/>
          <w:szCs w:val="26"/>
        </w:rPr>
        <w:t>Износ сооружений и сетей связан с недостаточным объёмом плановых ремонтов и составляет для канализаци</w:t>
      </w:r>
      <w:r w:rsidRPr="0096501D">
        <w:rPr>
          <w:sz w:val="26"/>
          <w:szCs w:val="26"/>
        </w:rPr>
        <w:lastRenderedPageBreak/>
        <w:t xml:space="preserve">онных сетей 60%, для КНС 20%, с учетом левобережной части городского округа. </w:t>
      </w:r>
    </w:p>
    <w:p w:rsidR="004616EA" w:rsidRPr="0096501D" w:rsidRDefault="004616EA" w:rsidP="0096501D">
      <w:pPr>
        <w:pStyle w:val="a7"/>
        <w:numPr>
          <w:ilvl w:val="0"/>
          <w:numId w:val="43"/>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Низкое качество очистки сточных вод</w:t>
      </w:r>
    </w:p>
    <w:p w:rsidR="004616EA" w:rsidRPr="0096501D" w:rsidRDefault="004616EA" w:rsidP="0096501D">
      <w:pPr>
        <w:pStyle w:val="ab"/>
        <w:spacing w:before="0" w:after="0"/>
        <w:ind w:firstLine="709"/>
        <w:rPr>
          <w:sz w:val="26"/>
          <w:szCs w:val="26"/>
        </w:rPr>
      </w:pPr>
      <w:r w:rsidRPr="0096501D">
        <w:rPr>
          <w:sz w:val="26"/>
          <w:szCs w:val="26"/>
        </w:rPr>
        <w:t>Существующие канализационные очистные сооружения не обеспечи</w:t>
      </w:r>
      <w:r w:rsidRPr="0096501D">
        <w:rPr>
          <w:sz w:val="26"/>
          <w:szCs w:val="26"/>
        </w:rPr>
        <w:lastRenderedPageBreak/>
        <w:t>вают требуемой степени очистки сточных вод до норм ПДК рыбохозяйственных водоемов.</w:t>
      </w:r>
    </w:p>
    <w:p w:rsidR="004616EA" w:rsidRPr="0096501D" w:rsidRDefault="004616EA" w:rsidP="0096501D">
      <w:pPr>
        <w:pStyle w:val="a7"/>
        <w:numPr>
          <w:ilvl w:val="0"/>
          <w:numId w:val="43"/>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Проблема утилизации активного ила</w:t>
      </w:r>
    </w:p>
    <w:p w:rsidR="004616EA" w:rsidRPr="0096501D" w:rsidRDefault="004616EA" w:rsidP="0096501D">
      <w:pPr>
        <w:pStyle w:val="ab"/>
        <w:spacing w:before="0" w:after="0"/>
        <w:ind w:firstLine="709"/>
        <w:rPr>
          <w:sz w:val="26"/>
          <w:szCs w:val="26"/>
        </w:rPr>
      </w:pPr>
      <w:r w:rsidRPr="0096501D">
        <w:rPr>
          <w:sz w:val="26"/>
          <w:szCs w:val="26"/>
        </w:rPr>
        <w:t xml:space="preserve">Осадок очистных сооружений имеет высокую влажность (95 – 98 %). Влажность является основным фактором, </w:t>
      </w:r>
      <w:r w:rsidRPr="0096501D">
        <w:rPr>
          <w:sz w:val="26"/>
          <w:szCs w:val="26"/>
        </w:rPr>
        <w:lastRenderedPageBreak/>
        <w:t>определяющим объем осадка, что приводит к увеличению площади иловых площадок.</w:t>
      </w:r>
    </w:p>
    <w:p w:rsidR="004616EA" w:rsidRPr="0096501D" w:rsidRDefault="004616EA" w:rsidP="0096501D">
      <w:pPr>
        <w:pStyle w:val="a7"/>
        <w:numPr>
          <w:ilvl w:val="0"/>
          <w:numId w:val="43"/>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Дефицит мощности городских КОС</w:t>
      </w:r>
    </w:p>
    <w:p w:rsidR="004616EA" w:rsidRDefault="004616EA" w:rsidP="0096501D">
      <w:pPr>
        <w:pStyle w:val="ab"/>
        <w:spacing w:before="0" w:after="0"/>
        <w:ind w:firstLine="709"/>
        <w:rPr>
          <w:sz w:val="26"/>
          <w:szCs w:val="26"/>
        </w:rPr>
      </w:pPr>
      <w:r w:rsidRPr="0096501D">
        <w:rPr>
          <w:sz w:val="26"/>
          <w:szCs w:val="26"/>
        </w:rPr>
        <w:t xml:space="preserve">Мощности городских КОС недостаточно для приема и очистки всех поступающих сточных вод. Согласно данным статистических отчётов за </w:t>
      </w:r>
      <w:r w:rsidRPr="0096501D">
        <w:rPr>
          <w:sz w:val="26"/>
          <w:szCs w:val="26"/>
        </w:rPr>
        <w:lastRenderedPageBreak/>
        <w:t>2013 год, максимальное количество сточных вод, пропущенных через городские КОС, составило 15,98 тыс. м куб./сут. Полная фактическая производительность КОС - 19,0 тыс. м куб./сут. Таким образом, резерв мощности КОС составляет лишь 15,89%.</w:t>
      </w:r>
    </w:p>
    <w:p w:rsidR="004616EA" w:rsidRPr="0096501D" w:rsidRDefault="004616EA" w:rsidP="0096501D">
      <w:pPr>
        <w:pStyle w:val="ab"/>
        <w:spacing w:before="0" w:after="0"/>
        <w:ind w:firstLine="709"/>
        <w:rPr>
          <w:sz w:val="26"/>
          <w:szCs w:val="26"/>
        </w:rPr>
      </w:pP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Возможности</w:t>
      </w:r>
    </w:p>
    <w:p w:rsidR="004616EA" w:rsidRPr="0096501D" w:rsidRDefault="004616EA" w:rsidP="0096501D">
      <w:pPr>
        <w:pStyle w:val="a9"/>
        <w:numPr>
          <w:ilvl w:val="0"/>
          <w:numId w:val="40"/>
        </w:numPr>
        <w:tabs>
          <w:tab w:val="left" w:pos="993"/>
        </w:tabs>
        <w:spacing w:after="0"/>
        <w:ind w:left="0" w:firstLine="709"/>
        <w:rPr>
          <w:sz w:val="26"/>
          <w:szCs w:val="26"/>
        </w:rPr>
      </w:pPr>
      <w:r w:rsidRPr="0096501D">
        <w:rPr>
          <w:sz w:val="26"/>
          <w:szCs w:val="26"/>
        </w:rPr>
        <w:lastRenderedPageBreak/>
        <w:t>доведение качества очистки сточных вод до нормативных показателей, решение проблемы утилизации активного ила на КОС за счет внедрения современных технологий для очистки сточных вод и утилизации осадка;</w:t>
      </w:r>
    </w:p>
    <w:p w:rsidR="004616EA" w:rsidRPr="0096501D" w:rsidRDefault="004616EA" w:rsidP="0096501D">
      <w:pPr>
        <w:pStyle w:val="a9"/>
        <w:numPr>
          <w:ilvl w:val="0"/>
          <w:numId w:val="40"/>
        </w:numPr>
        <w:tabs>
          <w:tab w:val="left" w:pos="993"/>
        </w:tabs>
        <w:spacing w:after="0"/>
        <w:ind w:left="0" w:firstLine="709"/>
        <w:rPr>
          <w:sz w:val="26"/>
          <w:szCs w:val="26"/>
        </w:rPr>
      </w:pPr>
      <w:r w:rsidRPr="0096501D">
        <w:rPr>
          <w:sz w:val="26"/>
          <w:szCs w:val="26"/>
        </w:rPr>
        <w:lastRenderedPageBreak/>
        <w:t>обеспечение водоотведением планируемых потребителей за счет развития канализационной сети в перспективных районах города;</w:t>
      </w:r>
    </w:p>
    <w:p w:rsidR="004616EA" w:rsidRPr="0096501D" w:rsidRDefault="004616EA" w:rsidP="0096501D">
      <w:pPr>
        <w:pStyle w:val="a9"/>
        <w:numPr>
          <w:ilvl w:val="0"/>
          <w:numId w:val="40"/>
        </w:numPr>
        <w:tabs>
          <w:tab w:val="left" w:pos="993"/>
        </w:tabs>
        <w:spacing w:after="0"/>
        <w:ind w:left="0" w:firstLine="709"/>
        <w:rPr>
          <w:sz w:val="26"/>
          <w:szCs w:val="26"/>
        </w:rPr>
      </w:pPr>
      <w:r w:rsidRPr="0096501D">
        <w:rPr>
          <w:sz w:val="26"/>
          <w:szCs w:val="26"/>
        </w:rPr>
        <w:t>повышение качества оказываемых услуг за счет поэтапной реконструкции канализационных сетей и канализационных насосных станций, нуждающихся в замене;</w:t>
      </w:r>
    </w:p>
    <w:p w:rsidR="004616EA" w:rsidRPr="0096501D" w:rsidRDefault="004616EA" w:rsidP="0096501D">
      <w:pPr>
        <w:pStyle w:val="a9"/>
        <w:numPr>
          <w:ilvl w:val="0"/>
          <w:numId w:val="40"/>
        </w:numPr>
        <w:tabs>
          <w:tab w:val="left" w:pos="993"/>
        </w:tabs>
        <w:spacing w:after="0"/>
        <w:ind w:left="0" w:firstLine="709"/>
        <w:rPr>
          <w:sz w:val="26"/>
          <w:szCs w:val="26"/>
        </w:rPr>
      </w:pPr>
      <w:r w:rsidRPr="0096501D">
        <w:rPr>
          <w:sz w:val="26"/>
          <w:szCs w:val="26"/>
        </w:rPr>
        <w:lastRenderedPageBreak/>
        <w:t>снижение затрат предприятия, за счет внедрения инновационных технологий в производственные процессы (автоматизированной системы управления технологическими процессами, использование современного насосно-силового оборудования и т.д.).</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Угрозы</w:t>
      </w:r>
    </w:p>
    <w:p w:rsidR="004616EA" w:rsidRPr="0096501D" w:rsidRDefault="004616EA" w:rsidP="0096501D">
      <w:pPr>
        <w:pStyle w:val="ab"/>
        <w:spacing w:before="0" w:after="0"/>
        <w:ind w:firstLine="709"/>
        <w:rPr>
          <w:sz w:val="26"/>
          <w:szCs w:val="26"/>
        </w:rPr>
      </w:pPr>
      <w:r w:rsidRPr="0096501D">
        <w:rPr>
          <w:sz w:val="26"/>
          <w:szCs w:val="26"/>
        </w:rPr>
        <w:lastRenderedPageBreak/>
        <w:t>Сброс недостаточно очищенных сточных вод в водные объекты, неудовлетворительное состояние сетей водоотведения, сброс неочищенных сточных вод в выгребы, проблема утилизации активного ила на КОС могут спровоцировать распространение ин</w:t>
      </w:r>
      <w:r w:rsidRPr="0096501D">
        <w:rPr>
          <w:sz w:val="26"/>
          <w:szCs w:val="26"/>
        </w:rPr>
        <w:lastRenderedPageBreak/>
        <w:t>фекционных и неинфекционных заболеваний и усугубить санитарно-эпидемиологическую обстановку в городе.</w:t>
      </w:r>
    </w:p>
    <w:p w:rsidR="004616EA" w:rsidRPr="0096501D" w:rsidRDefault="004616EA" w:rsidP="0096501D">
      <w:pPr>
        <w:pStyle w:val="3"/>
        <w:spacing w:line="240" w:lineRule="auto"/>
        <w:ind w:firstLine="709"/>
        <w:rPr>
          <w:sz w:val="26"/>
          <w:lang w:eastAsia="ru-RU"/>
        </w:rPr>
      </w:pPr>
      <w:bookmarkStart w:id="61" w:name="_Toc397081512"/>
      <w:bookmarkStart w:id="62" w:name="_Toc405805494"/>
      <w:r w:rsidRPr="0096501D">
        <w:rPr>
          <w:sz w:val="26"/>
          <w:lang w:eastAsia="ru-RU"/>
        </w:rPr>
        <w:t>2.6.3 Теплоснабжение</w:t>
      </w:r>
      <w:bookmarkEnd w:id="61"/>
      <w:bookmarkEnd w:id="62"/>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Сильные стороны</w:t>
      </w:r>
    </w:p>
    <w:p w:rsidR="004616EA" w:rsidRPr="0096501D" w:rsidRDefault="004616EA" w:rsidP="0096501D">
      <w:pPr>
        <w:pStyle w:val="a9"/>
        <w:numPr>
          <w:ilvl w:val="0"/>
          <w:numId w:val="44"/>
        </w:numPr>
        <w:spacing w:after="0"/>
        <w:ind w:left="0" w:firstLine="709"/>
        <w:rPr>
          <w:i/>
          <w:sz w:val="26"/>
          <w:szCs w:val="26"/>
        </w:rPr>
      </w:pPr>
      <w:r w:rsidRPr="0096501D">
        <w:rPr>
          <w:i/>
          <w:sz w:val="26"/>
          <w:szCs w:val="26"/>
        </w:rPr>
        <w:t>Обеспеченность жилого фонда услугами централизованного теплоснабжения</w:t>
      </w:r>
    </w:p>
    <w:p w:rsidR="004616EA" w:rsidRPr="0096501D" w:rsidRDefault="004616EA" w:rsidP="0096501D">
      <w:pPr>
        <w:pStyle w:val="ab"/>
        <w:spacing w:before="0" w:after="0"/>
        <w:ind w:firstLine="709"/>
        <w:rPr>
          <w:sz w:val="26"/>
          <w:szCs w:val="26"/>
        </w:rPr>
      </w:pPr>
      <w:r w:rsidRPr="0096501D">
        <w:rPr>
          <w:sz w:val="26"/>
          <w:szCs w:val="26"/>
        </w:rPr>
        <w:lastRenderedPageBreak/>
        <w:t>Обеспеченность жилого фонда услугами централизованного теплоснабжения составляет 100,0%.</w:t>
      </w:r>
    </w:p>
    <w:p w:rsidR="004616EA" w:rsidRPr="0096501D" w:rsidRDefault="004616EA" w:rsidP="0096501D">
      <w:pPr>
        <w:pStyle w:val="a9"/>
        <w:numPr>
          <w:ilvl w:val="0"/>
          <w:numId w:val="44"/>
        </w:numPr>
        <w:spacing w:after="0"/>
        <w:ind w:left="0" w:firstLine="709"/>
        <w:rPr>
          <w:i/>
          <w:sz w:val="26"/>
          <w:szCs w:val="26"/>
        </w:rPr>
      </w:pPr>
      <w:r w:rsidRPr="0096501D">
        <w:rPr>
          <w:i/>
          <w:sz w:val="26"/>
          <w:szCs w:val="26"/>
        </w:rPr>
        <w:t>Наличие значительного резерва установленной тепловой мощности</w:t>
      </w:r>
    </w:p>
    <w:p w:rsidR="004616EA" w:rsidRPr="0096501D" w:rsidRDefault="004616EA" w:rsidP="0096501D">
      <w:pPr>
        <w:pStyle w:val="ab"/>
        <w:spacing w:before="0" w:after="0"/>
        <w:ind w:firstLine="709"/>
        <w:rPr>
          <w:sz w:val="26"/>
          <w:szCs w:val="26"/>
        </w:rPr>
      </w:pPr>
      <w:r w:rsidRPr="0096501D">
        <w:rPr>
          <w:sz w:val="26"/>
          <w:szCs w:val="26"/>
        </w:rPr>
        <w:t>Общий резерв тепловой мощности составляет около 200 Гкал/ч.</w:t>
      </w:r>
    </w:p>
    <w:p w:rsidR="004616EA" w:rsidRPr="0096501D" w:rsidRDefault="004616EA" w:rsidP="0096501D">
      <w:pPr>
        <w:pStyle w:val="a9"/>
        <w:numPr>
          <w:ilvl w:val="0"/>
          <w:numId w:val="44"/>
        </w:numPr>
        <w:spacing w:after="0"/>
        <w:ind w:left="0" w:firstLine="709"/>
        <w:rPr>
          <w:i/>
          <w:sz w:val="26"/>
          <w:szCs w:val="26"/>
        </w:rPr>
      </w:pPr>
      <w:r w:rsidRPr="0096501D">
        <w:rPr>
          <w:i/>
          <w:sz w:val="26"/>
          <w:szCs w:val="26"/>
        </w:rPr>
        <w:lastRenderedPageBreak/>
        <w:t>Системы теплопотребления оснащены современными средствами автоматизации и учета</w:t>
      </w:r>
    </w:p>
    <w:p w:rsidR="004616EA" w:rsidRPr="0096501D" w:rsidRDefault="004616EA" w:rsidP="0096501D">
      <w:pPr>
        <w:pStyle w:val="ab"/>
        <w:spacing w:before="0" w:after="0"/>
        <w:ind w:firstLine="709"/>
        <w:rPr>
          <w:sz w:val="26"/>
          <w:szCs w:val="26"/>
        </w:rPr>
      </w:pPr>
      <w:r w:rsidRPr="0096501D">
        <w:rPr>
          <w:sz w:val="26"/>
          <w:szCs w:val="26"/>
        </w:rPr>
        <w:t>Доля потребителей, оснащенных автоматизированными индивидуальными тепловыми пунктами (ИТП) и приборами учета теплопотребления, составляет 100%.</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Слабые стороны</w:t>
      </w:r>
    </w:p>
    <w:p w:rsidR="004616EA" w:rsidRPr="0096501D" w:rsidRDefault="004616EA" w:rsidP="0096501D">
      <w:pPr>
        <w:pStyle w:val="a9"/>
        <w:numPr>
          <w:ilvl w:val="0"/>
          <w:numId w:val="45"/>
        </w:numPr>
        <w:spacing w:after="0"/>
        <w:ind w:left="0" w:firstLine="709"/>
        <w:rPr>
          <w:i/>
          <w:sz w:val="26"/>
          <w:szCs w:val="26"/>
        </w:rPr>
      </w:pPr>
      <w:r w:rsidRPr="0096501D">
        <w:rPr>
          <w:i/>
          <w:sz w:val="26"/>
          <w:szCs w:val="26"/>
        </w:rPr>
        <w:lastRenderedPageBreak/>
        <w:t>Значительный износ тепловых сетей</w:t>
      </w:r>
    </w:p>
    <w:p w:rsidR="004616EA" w:rsidRPr="0096501D" w:rsidRDefault="004616EA" w:rsidP="0096501D">
      <w:pPr>
        <w:pStyle w:val="ab"/>
        <w:spacing w:before="0" w:after="0"/>
        <w:ind w:firstLine="709"/>
        <w:rPr>
          <w:sz w:val="26"/>
          <w:szCs w:val="26"/>
        </w:rPr>
      </w:pPr>
      <w:r w:rsidRPr="0096501D">
        <w:rPr>
          <w:sz w:val="26"/>
          <w:szCs w:val="26"/>
        </w:rPr>
        <w:t>Износ тепловых сетей составляет 55,6%, с учетом левобережной части городского округа, что приводит к сверхнормативным тепловым потерям и утечкам теплоносителя, а также к внеплановым отключениям и авариям.</w:t>
      </w:r>
    </w:p>
    <w:p w:rsidR="004616EA" w:rsidRPr="0096501D" w:rsidRDefault="004616EA" w:rsidP="0096501D">
      <w:pPr>
        <w:pStyle w:val="a9"/>
        <w:numPr>
          <w:ilvl w:val="0"/>
          <w:numId w:val="45"/>
        </w:numPr>
        <w:spacing w:after="0"/>
        <w:ind w:left="0" w:firstLine="709"/>
        <w:rPr>
          <w:i/>
          <w:sz w:val="26"/>
          <w:szCs w:val="26"/>
        </w:rPr>
      </w:pPr>
      <w:r w:rsidRPr="0096501D">
        <w:rPr>
          <w:i/>
          <w:sz w:val="26"/>
          <w:szCs w:val="26"/>
        </w:rPr>
        <w:lastRenderedPageBreak/>
        <w:t>Значительный износ источников теплоснабжения</w:t>
      </w:r>
    </w:p>
    <w:p w:rsidR="004616EA" w:rsidRPr="0096501D" w:rsidRDefault="004616EA" w:rsidP="0096501D">
      <w:pPr>
        <w:pStyle w:val="ab"/>
        <w:spacing w:before="0" w:after="0"/>
        <w:ind w:firstLine="709"/>
        <w:rPr>
          <w:sz w:val="26"/>
          <w:szCs w:val="26"/>
        </w:rPr>
      </w:pPr>
      <w:r w:rsidRPr="0096501D">
        <w:rPr>
          <w:sz w:val="26"/>
          <w:szCs w:val="26"/>
        </w:rPr>
        <w:t>Основное оборудование котельных характеризуется существенным износом (особенно в левобережной части города), в среднем уровень износа составляет 67%, что приводит к перерас</w:t>
      </w:r>
      <w:r w:rsidRPr="0096501D">
        <w:rPr>
          <w:sz w:val="26"/>
          <w:szCs w:val="26"/>
        </w:rPr>
        <w:lastRenderedPageBreak/>
        <w:t>ходу топлива и уменьшению располагаемой мощности теплоисточников в среднем на 15%.</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Возможности</w:t>
      </w:r>
    </w:p>
    <w:p w:rsidR="004616EA" w:rsidRPr="0096501D" w:rsidRDefault="004616EA" w:rsidP="0096501D">
      <w:pPr>
        <w:pStyle w:val="a9"/>
        <w:numPr>
          <w:ilvl w:val="0"/>
          <w:numId w:val="40"/>
        </w:numPr>
        <w:tabs>
          <w:tab w:val="left" w:pos="993"/>
        </w:tabs>
        <w:spacing w:after="0"/>
        <w:ind w:left="0" w:firstLine="709"/>
        <w:rPr>
          <w:sz w:val="26"/>
          <w:szCs w:val="26"/>
        </w:rPr>
      </w:pPr>
      <w:r w:rsidRPr="0096501D">
        <w:rPr>
          <w:sz w:val="26"/>
          <w:szCs w:val="26"/>
        </w:rPr>
        <w:t>модернизация котельных с заменой изношенного основного и вспомогательного оборудования и внедрением современных технологий в про</w:t>
      </w:r>
      <w:r w:rsidRPr="0096501D">
        <w:rPr>
          <w:sz w:val="26"/>
          <w:szCs w:val="26"/>
        </w:rPr>
        <w:lastRenderedPageBreak/>
        <w:t>изводственные процессы (автоматизированной системы управления технологическими процессами, использование современного электрооборудования, насосов и т.д.);</w:t>
      </w:r>
    </w:p>
    <w:p w:rsidR="004616EA" w:rsidRPr="0096501D" w:rsidRDefault="004616EA" w:rsidP="0096501D">
      <w:pPr>
        <w:pStyle w:val="a9"/>
        <w:numPr>
          <w:ilvl w:val="0"/>
          <w:numId w:val="40"/>
        </w:numPr>
        <w:tabs>
          <w:tab w:val="left" w:pos="993"/>
        </w:tabs>
        <w:spacing w:after="0"/>
        <w:ind w:left="0" w:firstLine="709"/>
        <w:rPr>
          <w:sz w:val="26"/>
          <w:szCs w:val="26"/>
        </w:rPr>
      </w:pPr>
      <w:r w:rsidRPr="0096501D">
        <w:rPr>
          <w:sz w:val="26"/>
          <w:szCs w:val="26"/>
        </w:rPr>
        <w:t>строительство новых тепловых мощностей, в том числе с применением комбинированной выработки тепловой и электрической энергии;</w:t>
      </w:r>
    </w:p>
    <w:p w:rsidR="004616EA" w:rsidRPr="0096501D" w:rsidRDefault="004616EA" w:rsidP="0096501D">
      <w:pPr>
        <w:pStyle w:val="a9"/>
        <w:numPr>
          <w:ilvl w:val="0"/>
          <w:numId w:val="40"/>
        </w:numPr>
        <w:tabs>
          <w:tab w:val="left" w:pos="993"/>
        </w:tabs>
        <w:spacing w:after="0"/>
        <w:ind w:left="0" w:firstLine="709"/>
        <w:rPr>
          <w:sz w:val="26"/>
          <w:szCs w:val="26"/>
        </w:rPr>
      </w:pPr>
      <w:r w:rsidRPr="0096501D">
        <w:rPr>
          <w:sz w:val="26"/>
          <w:szCs w:val="26"/>
        </w:rPr>
        <w:lastRenderedPageBreak/>
        <w:t>замена изношенных тепловых сетей с применением современных материалов и технологий.</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Угрозы</w:t>
      </w:r>
    </w:p>
    <w:p w:rsidR="004616EA" w:rsidRPr="0096501D" w:rsidRDefault="004616EA" w:rsidP="0096501D">
      <w:pPr>
        <w:pStyle w:val="a9"/>
        <w:numPr>
          <w:ilvl w:val="0"/>
          <w:numId w:val="40"/>
        </w:numPr>
        <w:tabs>
          <w:tab w:val="left" w:pos="993"/>
        </w:tabs>
        <w:spacing w:after="0"/>
        <w:ind w:left="0" w:firstLine="709"/>
        <w:rPr>
          <w:sz w:val="26"/>
          <w:szCs w:val="26"/>
        </w:rPr>
      </w:pPr>
      <w:r w:rsidRPr="0096501D">
        <w:rPr>
          <w:sz w:val="26"/>
          <w:szCs w:val="26"/>
        </w:rPr>
        <w:t xml:space="preserve">отсутствует полноценная система обеспечения резервным топливом (природным газом) теплоисточников ООО «КонцессКом», что приводит к </w:t>
      </w:r>
      <w:r w:rsidRPr="0096501D">
        <w:rPr>
          <w:sz w:val="26"/>
          <w:szCs w:val="26"/>
        </w:rPr>
        <w:lastRenderedPageBreak/>
        <w:t>общему снижению надежности системы централизованного теплоснабжения города.</w:t>
      </w:r>
    </w:p>
    <w:p w:rsidR="004616EA" w:rsidRPr="0096501D" w:rsidRDefault="004616EA" w:rsidP="0096501D">
      <w:pPr>
        <w:pStyle w:val="3"/>
        <w:spacing w:line="240" w:lineRule="auto"/>
        <w:ind w:firstLine="709"/>
        <w:rPr>
          <w:sz w:val="26"/>
          <w:lang w:eastAsia="ru-RU"/>
        </w:rPr>
      </w:pPr>
      <w:r w:rsidRPr="0096501D">
        <w:rPr>
          <w:sz w:val="26"/>
          <w:lang w:eastAsia="ru-RU"/>
        </w:rPr>
        <w:tab/>
      </w:r>
      <w:bookmarkStart w:id="63" w:name="_Toc397081513"/>
      <w:bookmarkStart w:id="64" w:name="_Toc405805495"/>
      <w:r w:rsidRPr="0096501D">
        <w:rPr>
          <w:sz w:val="26"/>
          <w:lang w:eastAsia="ru-RU"/>
        </w:rPr>
        <w:t>2.6.4 Газоснабжение</w:t>
      </w:r>
      <w:bookmarkEnd w:id="63"/>
      <w:bookmarkEnd w:id="64"/>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Сильные стороны</w:t>
      </w:r>
    </w:p>
    <w:p w:rsidR="004616EA" w:rsidRPr="0096501D" w:rsidRDefault="004616EA" w:rsidP="0096501D">
      <w:pPr>
        <w:pStyle w:val="a7"/>
        <w:numPr>
          <w:ilvl w:val="0"/>
          <w:numId w:val="46"/>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Полная обеспеченность централизованной системой газоснабжения коммунально-бытовых потребителей</w:t>
      </w:r>
    </w:p>
    <w:p w:rsidR="004616EA" w:rsidRPr="0096501D" w:rsidRDefault="004616EA" w:rsidP="0096501D">
      <w:pPr>
        <w:pStyle w:val="ab"/>
        <w:spacing w:before="0" w:after="0"/>
        <w:ind w:firstLine="709"/>
        <w:rPr>
          <w:sz w:val="26"/>
          <w:szCs w:val="26"/>
        </w:rPr>
      </w:pPr>
      <w:r w:rsidRPr="0096501D">
        <w:rPr>
          <w:sz w:val="26"/>
          <w:szCs w:val="26"/>
        </w:rPr>
        <w:lastRenderedPageBreak/>
        <w:t>Попутным нефтяным газом обеспечены основные потребители - котельные (22 объекта).</w:t>
      </w:r>
    </w:p>
    <w:p w:rsidR="004616EA" w:rsidRPr="0096501D" w:rsidRDefault="004616EA" w:rsidP="0096501D">
      <w:pPr>
        <w:pStyle w:val="a7"/>
        <w:numPr>
          <w:ilvl w:val="0"/>
          <w:numId w:val="46"/>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Низкая стоимость попутного нефтяного газа для потребителей</w:t>
      </w:r>
    </w:p>
    <w:p w:rsidR="004616EA" w:rsidRPr="0096501D" w:rsidRDefault="004616EA" w:rsidP="0096501D">
      <w:pPr>
        <w:pStyle w:val="ab"/>
        <w:spacing w:before="0" w:after="0"/>
        <w:ind w:firstLine="709"/>
        <w:rPr>
          <w:sz w:val="26"/>
          <w:szCs w:val="26"/>
        </w:rPr>
      </w:pPr>
      <w:r w:rsidRPr="0096501D">
        <w:rPr>
          <w:sz w:val="26"/>
          <w:szCs w:val="26"/>
        </w:rPr>
        <w:t>Стоимость попутного нефтяного газа близлежащих месторождений зна</w:t>
      </w:r>
      <w:r w:rsidRPr="0096501D">
        <w:rPr>
          <w:sz w:val="26"/>
          <w:szCs w:val="26"/>
        </w:rPr>
        <w:lastRenderedPageBreak/>
        <w:t>чительно дешевле стоимости природного газа, поставляемого газотранспортной системой ОАО «Газпром».</w:t>
      </w:r>
    </w:p>
    <w:p w:rsidR="004616EA" w:rsidRPr="0096501D" w:rsidRDefault="004616EA" w:rsidP="0096501D">
      <w:pPr>
        <w:pStyle w:val="a7"/>
        <w:numPr>
          <w:ilvl w:val="0"/>
          <w:numId w:val="46"/>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Высокий уровень газификации индивидуальной жилой застройки</w:t>
      </w:r>
    </w:p>
    <w:p w:rsidR="004616EA" w:rsidRPr="0096501D" w:rsidRDefault="004616EA" w:rsidP="0096501D">
      <w:pPr>
        <w:pStyle w:val="ab"/>
        <w:spacing w:before="0" w:after="0"/>
        <w:ind w:firstLine="709"/>
        <w:rPr>
          <w:sz w:val="26"/>
          <w:szCs w:val="26"/>
        </w:rPr>
      </w:pPr>
      <w:r w:rsidRPr="0096501D">
        <w:rPr>
          <w:sz w:val="26"/>
          <w:szCs w:val="26"/>
        </w:rPr>
        <w:t xml:space="preserve">Уровень газификации индивидуальной жилой застройки за р. Кирилл составляет - 100%. Газ используется в индивидуальных газовых котлах для </w:t>
      </w:r>
      <w:r w:rsidRPr="0096501D">
        <w:rPr>
          <w:sz w:val="26"/>
          <w:szCs w:val="26"/>
        </w:rPr>
        <w:lastRenderedPageBreak/>
        <w:t xml:space="preserve">нужд отопления и горячего водоснабжения. </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Слабые стороны</w:t>
      </w:r>
    </w:p>
    <w:p w:rsidR="004616EA" w:rsidRPr="0096501D" w:rsidRDefault="004616EA" w:rsidP="0096501D">
      <w:pPr>
        <w:pStyle w:val="a7"/>
        <w:numPr>
          <w:ilvl w:val="0"/>
          <w:numId w:val="47"/>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Значительный износ сетей газоснабжения</w:t>
      </w:r>
    </w:p>
    <w:p w:rsidR="004616EA" w:rsidRPr="0096501D" w:rsidRDefault="004616EA" w:rsidP="0096501D">
      <w:pPr>
        <w:pStyle w:val="ab"/>
        <w:spacing w:before="0" w:after="0"/>
        <w:ind w:firstLine="709"/>
        <w:rPr>
          <w:sz w:val="26"/>
          <w:szCs w:val="26"/>
        </w:rPr>
      </w:pPr>
      <w:r w:rsidRPr="0096501D">
        <w:rPr>
          <w:sz w:val="26"/>
          <w:szCs w:val="26"/>
        </w:rPr>
        <w:t>Износ существующих сетей газоснабжения составляет 64%, с учетом левобережной части городского округа.</w:t>
      </w:r>
    </w:p>
    <w:p w:rsidR="004616EA" w:rsidRPr="0096501D" w:rsidRDefault="004616EA" w:rsidP="0096501D">
      <w:pPr>
        <w:pStyle w:val="a7"/>
        <w:numPr>
          <w:ilvl w:val="0"/>
          <w:numId w:val="47"/>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lastRenderedPageBreak/>
        <w:t>Отсутствие второго источника газоснабжения</w:t>
      </w:r>
    </w:p>
    <w:p w:rsidR="004616EA" w:rsidRPr="0096501D" w:rsidRDefault="004616EA" w:rsidP="0096501D">
      <w:pPr>
        <w:pStyle w:val="ab"/>
        <w:spacing w:before="0" w:after="0"/>
        <w:ind w:firstLine="709"/>
        <w:rPr>
          <w:sz w:val="26"/>
          <w:szCs w:val="26"/>
        </w:rPr>
      </w:pPr>
      <w:r w:rsidRPr="0096501D">
        <w:rPr>
          <w:sz w:val="26"/>
          <w:szCs w:val="26"/>
        </w:rPr>
        <w:t xml:space="preserve">На территории построена, но не введена в эксплуатацию газораспределительная станция. Подключение объекта планируется к газопроводу-отводу от магистрального газопровода высокого давления «Уренгой – Сургут - Челябинск». </w:t>
      </w:r>
    </w:p>
    <w:p w:rsidR="004616EA" w:rsidRPr="0096501D" w:rsidRDefault="004616EA" w:rsidP="0096501D">
      <w:pPr>
        <w:pStyle w:val="a7"/>
        <w:numPr>
          <w:ilvl w:val="0"/>
          <w:numId w:val="47"/>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lastRenderedPageBreak/>
        <w:t>Отсутствие закольцовки системы газоснабжения</w:t>
      </w:r>
    </w:p>
    <w:p w:rsidR="004616EA" w:rsidRPr="0096501D" w:rsidRDefault="004616EA" w:rsidP="0096501D">
      <w:pPr>
        <w:pStyle w:val="ab"/>
        <w:spacing w:before="0" w:after="0"/>
        <w:ind w:firstLine="709"/>
        <w:rPr>
          <w:sz w:val="26"/>
          <w:szCs w:val="26"/>
        </w:rPr>
      </w:pPr>
      <w:r w:rsidRPr="0096501D">
        <w:rPr>
          <w:sz w:val="26"/>
          <w:szCs w:val="26"/>
        </w:rPr>
        <w:t>По принципу построения система газораспределения тупиковая. Такая система не обеспечивает надежную и бесперебойную работу системы газоснабжения.</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Возможности</w:t>
      </w:r>
    </w:p>
    <w:p w:rsidR="004616EA" w:rsidRPr="0096501D" w:rsidRDefault="004616EA" w:rsidP="0096501D">
      <w:pPr>
        <w:pStyle w:val="a9"/>
        <w:numPr>
          <w:ilvl w:val="0"/>
          <w:numId w:val="48"/>
        </w:numPr>
        <w:tabs>
          <w:tab w:val="left" w:pos="0"/>
        </w:tabs>
        <w:spacing w:after="0"/>
        <w:ind w:left="0" w:firstLine="709"/>
        <w:rPr>
          <w:sz w:val="26"/>
          <w:szCs w:val="26"/>
        </w:rPr>
      </w:pPr>
      <w:r w:rsidRPr="0096501D">
        <w:rPr>
          <w:sz w:val="26"/>
          <w:szCs w:val="26"/>
        </w:rPr>
        <w:lastRenderedPageBreak/>
        <w:t>строительство новых сетей газоснабжения;</w:t>
      </w:r>
    </w:p>
    <w:p w:rsidR="004616EA" w:rsidRDefault="004616EA" w:rsidP="0096501D">
      <w:pPr>
        <w:pStyle w:val="a9"/>
        <w:numPr>
          <w:ilvl w:val="0"/>
          <w:numId w:val="48"/>
        </w:numPr>
        <w:tabs>
          <w:tab w:val="left" w:pos="0"/>
        </w:tabs>
        <w:spacing w:after="0"/>
        <w:ind w:left="0" w:firstLine="709"/>
        <w:rPr>
          <w:sz w:val="26"/>
          <w:szCs w:val="26"/>
        </w:rPr>
      </w:pPr>
      <w:r w:rsidRPr="0096501D">
        <w:rPr>
          <w:sz w:val="26"/>
          <w:szCs w:val="26"/>
        </w:rPr>
        <w:t>газификация</w:t>
      </w:r>
      <w:r w:rsidRPr="0096501D">
        <w:rPr>
          <w:i/>
          <w:sz w:val="26"/>
          <w:szCs w:val="26"/>
        </w:rPr>
        <w:t xml:space="preserve"> </w:t>
      </w:r>
      <w:r w:rsidRPr="0096501D">
        <w:rPr>
          <w:sz w:val="26"/>
          <w:szCs w:val="26"/>
        </w:rPr>
        <w:t>индивидуальной жилой застройки (планируемых потребителей в перспективных районах города, в том числе садово-огороднических товариществ.</w:t>
      </w:r>
    </w:p>
    <w:p w:rsidR="004616EA" w:rsidRDefault="004616EA" w:rsidP="0096501D">
      <w:pPr>
        <w:pStyle w:val="a9"/>
        <w:tabs>
          <w:tab w:val="left" w:pos="0"/>
        </w:tabs>
        <w:spacing w:after="0"/>
        <w:rPr>
          <w:sz w:val="26"/>
          <w:szCs w:val="26"/>
        </w:rPr>
      </w:pPr>
    </w:p>
    <w:p w:rsidR="004616EA" w:rsidRDefault="004616EA" w:rsidP="0096501D">
      <w:pPr>
        <w:pStyle w:val="a9"/>
        <w:tabs>
          <w:tab w:val="left" w:pos="0"/>
        </w:tabs>
        <w:spacing w:after="0"/>
        <w:rPr>
          <w:sz w:val="26"/>
          <w:szCs w:val="26"/>
        </w:rPr>
      </w:pPr>
    </w:p>
    <w:p w:rsidR="004616EA" w:rsidRPr="0096501D" w:rsidRDefault="004616EA" w:rsidP="0096501D">
      <w:pPr>
        <w:pStyle w:val="a9"/>
        <w:tabs>
          <w:tab w:val="left" w:pos="0"/>
        </w:tabs>
        <w:spacing w:after="0"/>
        <w:rPr>
          <w:sz w:val="26"/>
          <w:szCs w:val="26"/>
        </w:rPr>
      </w:pP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Угрозы</w:t>
      </w:r>
    </w:p>
    <w:p w:rsidR="004616EA" w:rsidRPr="0096501D" w:rsidRDefault="004616EA" w:rsidP="0096501D">
      <w:pPr>
        <w:pStyle w:val="a9"/>
        <w:numPr>
          <w:ilvl w:val="0"/>
          <w:numId w:val="48"/>
        </w:numPr>
        <w:tabs>
          <w:tab w:val="left" w:pos="0"/>
        </w:tabs>
        <w:spacing w:after="0"/>
        <w:ind w:left="0" w:firstLine="709"/>
        <w:rPr>
          <w:sz w:val="26"/>
          <w:szCs w:val="26"/>
        </w:rPr>
      </w:pPr>
      <w:r w:rsidRPr="0096501D">
        <w:rPr>
          <w:sz w:val="26"/>
          <w:szCs w:val="26"/>
        </w:rPr>
        <w:t>отсутствие второго (резервного) источника газоснабжения и тупиковый принцип построения газопроводов делают систему газоснабжения ненадежной;</w:t>
      </w:r>
    </w:p>
    <w:p w:rsidR="004616EA" w:rsidRPr="0096501D" w:rsidRDefault="004616EA" w:rsidP="0096501D">
      <w:pPr>
        <w:pStyle w:val="a9"/>
        <w:numPr>
          <w:ilvl w:val="0"/>
          <w:numId w:val="48"/>
        </w:numPr>
        <w:tabs>
          <w:tab w:val="left" w:pos="0"/>
        </w:tabs>
        <w:spacing w:after="0"/>
        <w:ind w:left="0" w:firstLine="709"/>
        <w:rPr>
          <w:sz w:val="26"/>
          <w:szCs w:val="26"/>
        </w:rPr>
      </w:pPr>
      <w:r w:rsidRPr="0096501D">
        <w:rPr>
          <w:sz w:val="26"/>
          <w:szCs w:val="26"/>
        </w:rPr>
        <w:lastRenderedPageBreak/>
        <w:t>значительный износ сетей газоснабжения снижает надежность работы системы газораспределения.</w:t>
      </w:r>
    </w:p>
    <w:p w:rsidR="004616EA" w:rsidRPr="0096501D" w:rsidRDefault="004616EA" w:rsidP="0096501D">
      <w:pPr>
        <w:pStyle w:val="3"/>
        <w:spacing w:line="240" w:lineRule="auto"/>
        <w:ind w:firstLine="709"/>
        <w:rPr>
          <w:sz w:val="26"/>
          <w:lang w:eastAsia="ru-RU"/>
        </w:rPr>
      </w:pPr>
      <w:bookmarkStart w:id="65" w:name="_Toc296440890"/>
      <w:bookmarkStart w:id="66" w:name="_Toc397081514"/>
      <w:bookmarkStart w:id="67" w:name="_Toc405805496"/>
      <w:r w:rsidRPr="0096501D">
        <w:rPr>
          <w:sz w:val="26"/>
          <w:lang w:eastAsia="ru-RU"/>
        </w:rPr>
        <w:t>2.6.5 Связь и информатизация</w:t>
      </w:r>
      <w:bookmarkEnd w:id="65"/>
      <w:bookmarkEnd w:id="66"/>
      <w:bookmarkEnd w:id="67"/>
    </w:p>
    <w:p w:rsidR="004616EA" w:rsidRPr="0096501D" w:rsidRDefault="004616EA" w:rsidP="0096501D">
      <w:pPr>
        <w:spacing w:after="0" w:line="240" w:lineRule="auto"/>
        <w:ind w:firstLine="709"/>
        <w:jc w:val="both"/>
        <w:rPr>
          <w:rFonts w:ascii="Times New Roman" w:hAnsi="Times New Roman"/>
          <w:b/>
          <w:sz w:val="26"/>
          <w:szCs w:val="26"/>
          <w:lang w:eastAsia="ru-RU"/>
        </w:rPr>
      </w:pPr>
      <w:r w:rsidRPr="0096501D">
        <w:rPr>
          <w:rFonts w:ascii="Times New Roman" w:hAnsi="Times New Roman"/>
          <w:b/>
          <w:sz w:val="26"/>
          <w:szCs w:val="26"/>
          <w:lang w:eastAsia="ru-RU"/>
        </w:rPr>
        <w:t>Сильные стороны</w:t>
      </w:r>
    </w:p>
    <w:p w:rsidR="004616EA" w:rsidRPr="0096501D" w:rsidRDefault="004616EA" w:rsidP="0096501D">
      <w:pPr>
        <w:pStyle w:val="a7"/>
        <w:numPr>
          <w:ilvl w:val="0"/>
          <w:numId w:val="50"/>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Высокая степень обеспеченности услугами связи</w:t>
      </w:r>
    </w:p>
    <w:p w:rsidR="004616EA" w:rsidRPr="0096501D" w:rsidRDefault="004616EA" w:rsidP="0096501D">
      <w:pPr>
        <w:pStyle w:val="ab"/>
        <w:spacing w:before="0" w:after="0"/>
        <w:ind w:firstLine="709"/>
        <w:rPr>
          <w:sz w:val="26"/>
          <w:szCs w:val="26"/>
        </w:rPr>
      </w:pPr>
      <w:r w:rsidRPr="0096501D">
        <w:rPr>
          <w:sz w:val="26"/>
          <w:szCs w:val="26"/>
        </w:rPr>
        <w:lastRenderedPageBreak/>
        <w:t xml:space="preserve">Горожане имеют мультисервисный доступ ко всем видам связи: широкополосный и спутниковый Интернет с использованием передовых технологий - услуги интерактивного телевидения (IP-TV), услуги сети в формате 3G; доступ к сети Интернет по технологии ADSL. </w:t>
      </w:r>
    </w:p>
    <w:p w:rsidR="004616EA" w:rsidRPr="0096501D" w:rsidRDefault="004616EA" w:rsidP="0096501D">
      <w:pPr>
        <w:pStyle w:val="a7"/>
        <w:numPr>
          <w:ilvl w:val="0"/>
          <w:numId w:val="50"/>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lastRenderedPageBreak/>
        <w:t xml:space="preserve">Наличие современного оборудования предоставления услуг связи </w:t>
      </w:r>
    </w:p>
    <w:p w:rsidR="004616EA" w:rsidRPr="0096501D" w:rsidRDefault="004616EA" w:rsidP="0096501D">
      <w:pPr>
        <w:pStyle w:val="ab"/>
        <w:spacing w:before="0" w:after="0"/>
        <w:ind w:firstLine="709"/>
        <w:rPr>
          <w:sz w:val="26"/>
          <w:szCs w:val="26"/>
        </w:rPr>
      </w:pPr>
      <w:r w:rsidRPr="0096501D">
        <w:rPr>
          <w:sz w:val="26"/>
          <w:szCs w:val="26"/>
        </w:rPr>
        <w:t>Все действующие на территории города АТС оснащены современным цифровым оборудованием.</w:t>
      </w:r>
    </w:p>
    <w:p w:rsidR="004616EA" w:rsidRPr="0096501D" w:rsidRDefault="004616EA" w:rsidP="0096501D">
      <w:pPr>
        <w:pStyle w:val="a7"/>
        <w:numPr>
          <w:ilvl w:val="0"/>
          <w:numId w:val="50"/>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Надежная межстанционная система связи</w:t>
      </w:r>
    </w:p>
    <w:p w:rsidR="004616EA" w:rsidRPr="0096501D" w:rsidRDefault="004616EA" w:rsidP="0096501D">
      <w:pPr>
        <w:pStyle w:val="ab"/>
        <w:spacing w:before="0" w:after="0"/>
        <w:ind w:firstLine="709"/>
        <w:rPr>
          <w:sz w:val="26"/>
          <w:szCs w:val="26"/>
        </w:rPr>
      </w:pPr>
      <w:r w:rsidRPr="0096501D">
        <w:rPr>
          <w:sz w:val="26"/>
          <w:szCs w:val="26"/>
        </w:rPr>
        <w:lastRenderedPageBreak/>
        <w:t>Междугородняя связь осуществляется посредством волоконно-оптических линий связи (ВОЛС).</w:t>
      </w:r>
    </w:p>
    <w:p w:rsidR="004616EA" w:rsidRPr="0096501D" w:rsidRDefault="004616EA" w:rsidP="0096501D">
      <w:pPr>
        <w:pStyle w:val="a7"/>
        <w:numPr>
          <w:ilvl w:val="0"/>
          <w:numId w:val="50"/>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Значительный потенциал для развития сетей связи и информатизации</w:t>
      </w:r>
    </w:p>
    <w:p w:rsidR="004616EA" w:rsidRPr="0096501D" w:rsidRDefault="004616EA" w:rsidP="0096501D">
      <w:pPr>
        <w:pStyle w:val="ab"/>
        <w:spacing w:before="0" w:after="0"/>
        <w:ind w:firstLine="709"/>
        <w:rPr>
          <w:sz w:val="26"/>
          <w:szCs w:val="26"/>
        </w:rPr>
      </w:pPr>
      <w:r w:rsidRPr="0096501D">
        <w:rPr>
          <w:sz w:val="26"/>
          <w:szCs w:val="26"/>
        </w:rPr>
        <w:t xml:space="preserve">Предоставление услуг связи осуществляют операторы сети сотовой подвижной связи (СПС): ОАО «Вымпел-Коммуникации» (торговая марка </w:t>
      </w:r>
      <w:r w:rsidRPr="0096501D">
        <w:rPr>
          <w:sz w:val="26"/>
          <w:szCs w:val="26"/>
        </w:rPr>
        <w:lastRenderedPageBreak/>
        <w:t xml:space="preserve">«Билайн»), ОАО «Мобильные ТелеСистемы» (торговая марка «МТС»), ОАО «Ростелеком», ОАО «Мегафон» Уральский филиал (торговая марка «Мегафон»), ООО «ЕКАТЕРИНБУРГ-2000» и др.  Конкуренция способствует развитию новых технологий и совершенствованию тарифной политики, вследствие чего услуги данного </w:t>
      </w:r>
      <w:r w:rsidRPr="0096501D">
        <w:rPr>
          <w:sz w:val="26"/>
          <w:szCs w:val="26"/>
        </w:rPr>
        <w:lastRenderedPageBreak/>
        <w:t>вида связи пользуются постоянным повышенным спросом у населения.</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Слабые стороны</w:t>
      </w:r>
    </w:p>
    <w:p w:rsidR="004616EA" w:rsidRPr="0096501D" w:rsidRDefault="004616EA" w:rsidP="0096501D">
      <w:pPr>
        <w:pStyle w:val="a9"/>
        <w:numPr>
          <w:ilvl w:val="0"/>
          <w:numId w:val="49"/>
        </w:numPr>
        <w:spacing w:after="0"/>
        <w:ind w:left="0" w:firstLine="709"/>
        <w:rPr>
          <w:sz w:val="26"/>
          <w:szCs w:val="26"/>
        </w:rPr>
      </w:pPr>
      <w:r w:rsidRPr="0096501D">
        <w:rPr>
          <w:sz w:val="26"/>
          <w:szCs w:val="26"/>
        </w:rPr>
        <w:t>износ и моральное устаревание воздушных сетей связи в ветхом жилом фонде;</w:t>
      </w:r>
    </w:p>
    <w:p w:rsidR="004616EA" w:rsidRPr="0096501D" w:rsidRDefault="004616EA" w:rsidP="0096501D">
      <w:pPr>
        <w:pStyle w:val="a9"/>
        <w:numPr>
          <w:ilvl w:val="0"/>
          <w:numId w:val="49"/>
        </w:numPr>
        <w:tabs>
          <w:tab w:val="left" w:pos="0"/>
        </w:tabs>
        <w:spacing w:after="0"/>
        <w:ind w:left="0" w:firstLine="709"/>
        <w:rPr>
          <w:sz w:val="26"/>
          <w:szCs w:val="26"/>
        </w:rPr>
      </w:pPr>
      <w:r w:rsidRPr="0096501D">
        <w:rPr>
          <w:sz w:val="26"/>
          <w:szCs w:val="26"/>
        </w:rPr>
        <w:t>зависимость функционирования радиорелейных систем связи от внешних факторов.</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lastRenderedPageBreak/>
        <w:t>Возможности</w:t>
      </w:r>
    </w:p>
    <w:p w:rsidR="004616EA" w:rsidRPr="0096501D" w:rsidRDefault="004616EA" w:rsidP="0096501D">
      <w:pPr>
        <w:pStyle w:val="a9"/>
        <w:numPr>
          <w:ilvl w:val="0"/>
          <w:numId w:val="49"/>
        </w:numPr>
        <w:spacing w:after="0"/>
        <w:ind w:left="0" w:firstLine="709"/>
        <w:rPr>
          <w:sz w:val="26"/>
          <w:szCs w:val="26"/>
        </w:rPr>
      </w:pPr>
      <w:r w:rsidRPr="0096501D">
        <w:rPr>
          <w:sz w:val="26"/>
          <w:szCs w:val="26"/>
        </w:rPr>
        <w:t>развитие наземных цифровых систем передачи данных и широкополосных сетей абонентского доступа с высокими скоростями передачи данных.</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Угрозы</w:t>
      </w:r>
    </w:p>
    <w:p w:rsidR="004616EA" w:rsidRPr="0096501D" w:rsidRDefault="004616EA" w:rsidP="0096501D">
      <w:pPr>
        <w:pStyle w:val="a9"/>
        <w:numPr>
          <w:ilvl w:val="0"/>
          <w:numId w:val="49"/>
        </w:numPr>
        <w:spacing w:after="0"/>
        <w:ind w:left="0" w:firstLine="709"/>
        <w:rPr>
          <w:sz w:val="26"/>
          <w:szCs w:val="26"/>
        </w:rPr>
      </w:pPr>
      <w:r w:rsidRPr="0096501D">
        <w:rPr>
          <w:sz w:val="26"/>
          <w:szCs w:val="26"/>
        </w:rPr>
        <w:t xml:space="preserve">радиорелейные системы связи, широко используемые при оказании </w:t>
      </w:r>
      <w:r w:rsidRPr="0096501D">
        <w:rPr>
          <w:sz w:val="26"/>
          <w:szCs w:val="26"/>
        </w:rPr>
        <w:lastRenderedPageBreak/>
        <w:t>услуг связи, не обеспечивают необходимого качества оказания услуг и являются недостаточно надежными.</w:t>
      </w:r>
    </w:p>
    <w:p w:rsidR="004616EA" w:rsidRPr="0096501D" w:rsidRDefault="004616EA" w:rsidP="0096501D">
      <w:pPr>
        <w:pStyle w:val="3"/>
        <w:spacing w:line="240" w:lineRule="auto"/>
        <w:ind w:firstLine="709"/>
        <w:rPr>
          <w:sz w:val="26"/>
          <w:lang w:eastAsia="ru-RU"/>
        </w:rPr>
      </w:pPr>
      <w:r w:rsidRPr="0096501D">
        <w:rPr>
          <w:sz w:val="26"/>
          <w:lang w:eastAsia="ru-RU"/>
        </w:rPr>
        <w:tab/>
      </w:r>
      <w:bookmarkStart w:id="68" w:name="_Toc397081515"/>
      <w:bookmarkStart w:id="69" w:name="_Toc405805497"/>
      <w:r w:rsidRPr="0096501D">
        <w:rPr>
          <w:sz w:val="26"/>
          <w:lang w:eastAsia="ru-RU"/>
        </w:rPr>
        <w:t>2.6.6 Электроснабжение</w:t>
      </w:r>
      <w:bookmarkEnd w:id="68"/>
      <w:bookmarkEnd w:id="69"/>
    </w:p>
    <w:p w:rsidR="004616EA" w:rsidRPr="0096501D" w:rsidRDefault="004616EA" w:rsidP="0096501D">
      <w:pPr>
        <w:pStyle w:val="ConsPlusNormal"/>
        <w:widowControl/>
        <w:ind w:firstLine="709"/>
        <w:jc w:val="both"/>
        <w:rPr>
          <w:rFonts w:ascii="Times New Roman" w:hAnsi="Times New Roman"/>
          <w:b/>
          <w:sz w:val="26"/>
          <w:szCs w:val="26"/>
        </w:rPr>
      </w:pPr>
      <w:r w:rsidRPr="0096501D">
        <w:rPr>
          <w:rFonts w:ascii="Times New Roman" w:hAnsi="Times New Roman"/>
          <w:b/>
          <w:sz w:val="26"/>
          <w:szCs w:val="26"/>
        </w:rPr>
        <w:t>Сильные стороны</w:t>
      </w:r>
    </w:p>
    <w:p w:rsidR="004616EA" w:rsidRPr="0096501D" w:rsidRDefault="004616EA" w:rsidP="0096501D">
      <w:pPr>
        <w:pStyle w:val="a7"/>
        <w:numPr>
          <w:ilvl w:val="0"/>
          <w:numId w:val="51"/>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Полная обеспеченность централизованной системой электроснабжения</w:t>
      </w:r>
    </w:p>
    <w:p w:rsidR="004616EA" w:rsidRPr="0096501D" w:rsidRDefault="004616EA" w:rsidP="0096501D">
      <w:pPr>
        <w:pStyle w:val="ab"/>
        <w:spacing w:before="0" w:after="0"/>
        <w:ind w:firstLine="709"/>
        <w:rPr>
          <w:sz w:val="26"/>
          <w:szCs w:val="26"/>
        </w:rPr>
      </w:pPr>
      <w:r w:rsidRPr="0096501D">
        <w:rPr>
          <w:sz w:val="26"/>
          <w:szCs w:val="26"/>
        </w:rPr>
        <w:lastRenderedPageBreak/>
        <w:t>Охват потребителей централизованной системой электроснабжения составляет 100%.</w:t>
      </w:r>
    </w:p>
    <w:p w:rsidR="004616EA" w:rsidRPr="0096501D" w:rsidRDefault="004616EA" w:rsidP="0096501D">
      <w:pPr>
        <w:pStyle w:val="a7"/>
        <w:numPr>
          <w:ilvl w:val="0"/>
          <w:numId w:val="51"/>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Развитая система электроснабжения</w:t>
      </w:r>
    </w:p>
    <w:p w:rsidR="004616EA" w:rsidRPr="0096501D" w:rsidRDefault="004616EA" w:rsidP="0096501D">
      <w:pPr>
        <w:pStyle w:val="ab"/>
        <w:spacing w:before="0" w:after="0"/>
        <w:ind w:firstLine="709"/>
        <w:rPr>
          <w:sz w:val="26"/>
          <w:szCs w:val="26"/>
        </w:rPr>
      </w:pPr>
      <w:r w:rsidRPr="0096501D">
        <w:rPr>
          <w:sz w:val="26"/>
          <w:szCs w:val="26"/>
        </w:rPr>
        <w:t xml:space="preserve">Внешнее электроснабжение г. Когалыма осуществляется от Тюменской энергосистемы посредством ряда понизительных подстанций с большим </w:t>
      </w:r>
      <w:r w:rsidRPr="0096501D">
        <w:rPr>
          <w:sz w:val="26"/>
          <w:szCs w:val="26"/>
        </w:rPr>
        <w:lastRenderedPageBreak/>
        <w:t>количеством электрических связей. На территории размещены подстанции в диапазоне напряжений от 35 до500 кВ, с возможностью расширения межсистемных связей.</w:t>
      </w:r>
    </w:p>
    <w:p w:rsidR="004616EA" w:rsidRPr="0096501D" w:rsidRDefault="004616EA" w:rsidP="0096501D">
      <w:pPr>
        <w:pStyle w:val="a7"/>
        <w:numPr>
          <w:ilvl w:val="0"/>
          <w:numId w:val="51"/>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 xml:space="preserve"> Высокая надежность электроснабжения всех категорий потребителей</w:t>
      </w:r>
    </w:p>
    <w:p w:rsidR="004616EA" w:rsidRPr="0096501D" w:rsidRDefault="004616EA" w:rsidP="0096501D">
      <w:pPr>
        <w:pStyle w:val="ab"/>
        <w:spacing w:before="0" w:after="0"/>
        <w:ind w:firstLine="709"/>
        <w:rPr>
          <w:sz w:val="26"/>
          <w:szCs w:val="26"/>
        </w:rPr>
      </w:pPr>
      <w:r w:rsidRPr="0096501D">
        <w:rPr>
          <w:sz w:val="26"/>
          <w:szCs w:val="26"/>
        </w:rPr>
        <w:lastRenderedPageBreak/>
        <w:t>Средняя загрузка трансформаторов ТП-10(6) /0,4кВ городских сетях составляет около 50%. Отсутствует дефицит электрической мощности, коэффициент загрузки трансформаторных подстанций обеспечивает надежную и безаварийную работу оборудования электросетевого комплекса.</w:t>
      </w:r>
    </w:p>
    <w:p w:rsidR="004616EA" w:rsidRPr="0096501D" w:rsidRDefault="004616EA" w:rsidP="0096501D">
      <w:pPr>
        <w:pStyle w:val="ab"/>
        <w:spacing w:before="0" w:after="0"/>
        <w:ind w:firstLine="709"/>
        <w:rPr>
          <w:sz w:val="26"/>
          <w:szCs w:val="26"/>
        </w:rPr>
      </w:pPr>
      <w:r w:rsidRPr="0096501D">
        <w:rPr>
          <w:sz w:val="26"/>
          <w:szCs w:val="26"/>
        </w:rPr>
        <w:lastRenderedPageBreak/>
        <w:t>Магистральные и радиальные схемы, необходимый запас электрической мощности, двусторонне питание от понизительных подстанций напряжением 35-110 кВ, большая часть трансформаторных подстанций с двумя трансформаторами позволяют сохранять высокую надежность в системе электроснабжения.</w:t>
      </w:r>
    </w:p>
    <w:p w:rsidR="004616EA" w:rsidRPr="0096501D" w:rsidRDefault="004616EA" w:rsidP="0096501D">
      <w:pPr>
        <w:pStyle w:val="ConsPlusNormal"/>
        <w:widowControl/>
        <w:ind w:firstLine="709"/>
        <w:jc w:val="both"/>
        <w:rPr>
          <w:rFonts w:ascii="Times New Roman" w:hAnsi="Times New Roman"/>
          <w:b/>
          <w:sz w:val="26"/>
          <w:szCs w:val="26"/>
        </w:rPr>
      </w:pPr>
      <w:r w:rsidRPr="0096501D">
        <w:rPr>
          <w:rFonts w:ascii="Times New Roman" w:hAnsi="Times New Roman"/>
          <w:b/>
          <w:sz w:val="26"/>
          <w:szCs w:val="26"/>
        </w:rPr>
        <w:lastRenderedPageBreak/>
        <w:t>Слабые стороны</w:t>
      </w:r>
    </w:p>
    <w:p w:rsidR="004616EA" w:rsidRPr="0096501D" w:rsidRDefault="004616EA" w:rsidP="0096501D">
      <w:pPr>
        <w:pStyle w:val="a7"/>
        <w:numPr>
          <w:ilvl w:val="0"/>
          <w:numId w:val="93"/>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Высокий износ сетей и объектов электроснабжения</w:t>
      </w:r>
    </w:p>
    <w:p w:rsidR="004616EA" w:rsidRPr="0096501D" w:rsidRDefault="004616EA" w:rsidP="0096501D">
      <w:pPr>
        <w:pStyle w:val="a9"/>
        <w:tabs>
          <w:tab w:val="left" w:pos="0"/>
        </w:tabs>
        <w:spacing w:after="0"/>
        <w:ind w:firstLine="709"/>
        <w:rPr>
          <w:sz w:val="26"/>
          <w:szCs w:val="26"/>
        </w:rPr>
      </w:pPr>
      <w:r w:rsidRPr="0096501D">
        <w:rPr>
          <w:sz w:val="26"/>
          <w:szCs w:val="26"/>
        </w:rPr>
        <w:t>Износ электрических сетей и электрооборудования трансформаторных подстанций составляет 56%.</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Возможности</w:t>
      </w:r>
    </w:p>
    <w:p w:rsidR="004616EA" w:rsidRPr="0096501D" w:rsidRDefault="004616EA" w:rsidP="0096501D">
      <w:pPr>
        <w:pStyle w:val="a9"/>
        <w:numPr>
          <w:ilvl w:val="0"/>
          <w:numId w:val="40"/>
        </w:numPr>
        <w:tabs>
          <w:tab w:val="left" w:pos="0"/>
        </w:tabs>
        <w:spacing w:after="0"/>
        <w:ind w:left="0" w:firstLine="709"/>
        <w:rPr>
          <w:sz w:val="26"/>
          <w:szCs w:val="26"/>
        </w:rPr>
      </w:pPr>
      <w:r w:rsidRPr="0096501D">
        <w:rPr>
          <w:sz w:val="26"/>
          <w:szCs w:val="26"/>
        </w:rPr>
        <w:lastRenderedPageBreak/>
        <w:t>проведение мероприятий, направленных на обеспечение бесперебойного функционирования энергосистемы и надежного электроснабжения потребителей;</w:t>
      </w:r>
    </w:p>
    <w:p w:rsidR="004616EA" w:rsidRPr="0096501D" w:rsidRDefault="004616EA" w:rsidP="0096501D">
      <w:pPr>
        <w:pStyle w:val="a9"/>
        <w:numPr>
          <w:ilvl w:val="0"/>
          <w:numId w:val="40"/>
        </w:numPr>
        <w:tabs>
          <w:tab w:val="left" w:pos="0"/>
        </w:tabs>
        <w:spacing w:after="0"/>
        <w:ind w:left="0" w:firstLine="709"/>
        <w:rPr>
          <w:sz w:val="26"/>
          <w:szCs w:val="26"/>
        </w:rPr>
      </w:pPr>
      <w:r w:rsidRPr="0096501D">
        <w:rPr>
          <w:sz w:val="26"/>
          <w:szCs w:val="26"/>
        </w:rPr>
        <w:t>оптимизация работы сетей 35-500 кВ;</w:t>
      </w:r>
    </w:p>
    <w:p w:rsidR="004616EA" w:rsidRPr="0096501D" w:rsidRDefault="004616EA" w:rsidP="0096501D">
      <w:pPr>
        <w:pStyle w:val="a9"/>
        <w:numPr>
          <w:ilvl w:val="0"/>
          <w:numId w:val="40"/>
        </w:numPr>
        <w:tabs>
          <w:tab w:val="left" w:pos="0"/>
        </w:tabs>
        <w:spacing w:after="0"/>
        <w:ind w:left="0" w:firstLine="709"/>
        <w:rPr>
          <w:sz w:val="26"/>
          <w:szCs w:val="26"/>
        </w:rPr>
      </w:pPr>
      <w:r w:rsidRPr="0096501D">
        <w:rPr>
          <w:sz w:val="26"/>
          <w:szCs w:val="26"/>
        </w:rPr>
        <w:lastRenderedPageBreak/>
        <w:t>модернизация объектов и сетей электроснабжения с заменой изношенного оборудования и внедрением современных автоматизированных диспетчерских систем (АСУ ТП, АСДУ, АСКУЭ и т.д.).</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Угрозы</w:t>
      </w:r>
    </w:p>
    <w:p w:rsidR="004616EA" w:rsidRPr="0096501D" w:rsidRDefault="004616EA" w:rsidP="0096501D">
      <w:pPr>
        <w:pStyle w:val="a9"/>
        <w:numPr>
          <w:ilvl w:val="0"/>
          <w:numId w:val="40"/>
        </w:numPr>
        <w:tabs>
          <w:tab w:val="left" w:pos="0"/>
        </w:tabs>
        <w:spacing w:after="0"/>
        <w:ind w:left="0" w:firstLine="709"/>
        <w:rPr>
          <w:sz w:val="26"/>
          <w:szCs w:val="26"/>
        </w:rPr>
      </w:pPr>
      <w:r w:rsidRPr="0096501D">
        <w:rPr>
          <w:sz w:val="26"/>
          <w:szCs w:val="26"/>
        </w:rPr>
        <w:t xml:space="preserve">наличие более чем 50%-ого износа электросетей и оборудования </w:t>
      </w:r>
      <w:r w:rsidRPr="0096501D">
        <w:rPr>
          <w:sz w:val="26"/>
          <w:szCs w:val="26"/>
        </w:rPr>
        <w:lastRenderedPageBreak/>
        <w:t>подстанций может привести к увеличению количества аварий и внеплановых отключений, снижению надежности системы электроснабжения города и низкому качеству электроэнергии, поступающей к потребителям.</w:t>
      </w:r>
    </w:p>
    <w:p w:rsidR="004616EA" w:rsidRPr="0096501D" w:rsidRDefault="004616EA" w:rsidP="0096501D">
      <w:pPr>
        <w:pStyle w:val="3"/>
        <w:spacing w:line="240" w:lineRule="auto"/>
        <w:ind w:firstLine="709"/>
        <w:rPr>
          <w:sz w:val="26"/>
        </w:rPr>
      </w:pPr>
      <w:r w:rsidRPr="0096501D">
        <w:rPr>
          <w:sz w:val="26"/>
        </w:rPr>
        <w:lastRenderedPageBreak/>
        <w:tab/>
      </w:r>
      <w:bookmarkStart w:id="70" w:name="_Toc405805498"/>
      <w:r w:rsidRPr="0096501D">
        <w:rPr>
          <w:sz w:val="26"/>
        </w:rPr>
        <w:t>2.7 Уровень развития транспортной инфраструктуры</w:t>
      </w:r>
      <w:bookmarkEnd w:id="51"/>
      <w:bookmarkEnd w:id="70"/>
    </w:p>
    <w:p w:rsidR="004616EA" w:rsidRPr="0096501D" w:rsidRDefault="004616EA" w:rsidP="0096501D">
      <w:pPr>
        <w:pStyle w:val="ab"/>
        <w:spacing w:before="0" w:after="0"/>
        <w:ind w:firstLine="709"/>
        <w:rPr>
          <w:sz w:val="26"/>
          <w:szCs w:val="26"/>
        </w:rPr>
      </w:pPr>
      <w:r w:rsidRPr="0096501D">
        <w:rPr>
          <w:sz w:val="26"/>
          <w:szCs w:val="26"/>
        </w:rPr>
        <w:t xml:space="preserve">В настоящее время на территории городского округа город Когалым действуют автомобильный, железнодорожный и воздушный транспорт (внутрироссийский аэропорт). </w:t>
      </w:r>
    </w:p>
    <w:p w:rsidR="004616EA" w:rsidRPr="0096501D" w:rsidRDefault="004616EA" w:rsidP="0096501D">
      <w:pPr>
        <w:pStyle w:val="ab"/>
        <w:spacing w:before="0" w:after="0"/>
        <w:ind w:firstLine="709"/>
        <w:rPr>
          <w:sz w:val="26"/>
          <w:szCs w:val="26"/>
        </w:rPr>
      </w:pPr>
      <w:r w:rsidRPr="0096501D">
        <w:rPr>
          <w:sz w:val="26"/>
          <w:szCs w:val="26"/>
        </w:rPr>
        <w:lastRenderedPageBreak/>
        <w:t xml:space="preserve">Связь с внешним миром осуществляется по автомобильным дорогам общего пользования регионального значения "Подъезд к г. Когалыму" и "г. Когалым - г. Покачи". На территории округа функционирует сеть автомобильных дорог общего пользования местного значения, находящаяся в реестре муниципальной собственности </w:t>
      </w:r>
      <w:r w:rsidRPr="0096501D">
        <w:rPr>
          <w:sz w:val="26"/>
          <w:szCs w:val="26"/>
        </w:rPr>
        <w:lastRenderedPageBreak/>
        <w:t>Администрации города Когалыма. Улично-дорожная сеть (протяженность – 1</w:t>
      </w:r>
      <w:r>
        <w:rPr>
          <w:sz w:val="26"/>
          <w:szCs w:val="26"/>
        </w:rPr>
        <w:t>0</w:t>
      </w:r>
      <w:r w:rsidRPr="0096501D">
        <w:rPr>
          <w:sz w:val="26"/>
          <w:szCs w:val="26"/>
        </w:rPr>
        <w:t>8 км, площадь покрытия – 1127 тыс. кв. м.) в пределах городской застройки, оснащена необходимыми элементами обустройства и техническими средствами обеспечения дорожного движения.</w:t>
      </w:r>
    </w:p>
    <w:p w:rsidR="004616EA" w:rsidRPr="0096501D" w:rsidRDefault="004616EA" w:rsidP="0096501D">
      <w:pPr>
        <w:pStyle w:val="ab"/>
        <w:spacing w:before="0" w:after="0"/>
        <w:ind w:firstLine="709"/>
        <w:rPr>
          <w:sz w:val="26"/>
          <w:szCs w:val="26"/>
        </w:rPr>
      </w:pPr>
      <w:r w:rsidRPr="0096501D">
        <w:rPr>
          <w:sz w:val="26"/>
          <w:szCs w:val="26"/>
        </w:rPr>
        <w:lastRenderedPageBreak/>
        <w:t xml:space="preserve">По территории городского округа проходит участок Свердловской железной дороги, общей протяженностью 27,8 км в границах городского округа. Данный участок обеспечивает круглогодичную связь с другими городами и выход на общую железнодорожную сеть. Ближайшие крупные города, южнее – Сургут, севернее Новый </w:t>
      </w:r>
      <w:r w:rsidRPr="0096501D">
        <w:rPr>
          <w:sz w:val="26"/>
          <w:szCs w:val="26"/>
        </w:rPr>
        <w:lastRenderedPageBreak/>
        <w:t xml:space="preserve">Уренгой. На территории городского округа находятся две грузопассажирские железнодорожные станции "Когалым" и "Кумали", а также сеть внутристанционных </w:t>
      </w:r>
      <w:r w:rsidRPr="0096501D">
        <w:rPr>
          <w:rFonts w:ascii="Arial" w:hAnsi="Arial" w:cs="Arial"/>
          <w:sz w:val="26"/>
          <w:szCs w:val="26"/>
        </w:rPr>
        <w:t>с</w:t>
      </w:r>
      <w:r w:rsidRPr="0096501D">
        <w:rPr>
          <w:sz w:val="26"/>
          <w:szCs w:val="26"/>
        </w:rPr>
        <w:t>оединительных путей, общей протяженностью 33,3 км.</w:t>
      </w:r>
    </w:p>
    <w:p w:rsidR="004616EA" w:rsidRPr="0096501D" w:rsidRDefault="004616EA" w:rsidP="0096501D">
      <w:pPr>
        <w:pStyle w:val="ab"/>
        <w:spacing w:before="0" w:after="0"/>
        <w:ind w:firstLine="709"/>
        <w:rPr>
          <w:sz w:val="26"/>
          <w:szCs w:val="26"/>
        </w:rPr>
      </w:pPr>
      <w:r w:rsidRPr="0096501D">
        <w:rPr>
          <w:sz w:val="26"/>
          <w:szCs w:val="26"/>
        </w:rPr>
        <w:t>Посредством воздушного транспорта с аэропорта «Когалым» осу</w:t>
      </w:r>
      <w:r w:rsidRPr="0096501D">
        <w:rPr>
          <w:sz w:val="26"/>
          <w:szCs w:val="26"/>
        </w:rPr>
        <w:lastRenderedPageBreak/>
        <w:t>ществляются грузовые и пассажирские перевозки для доставки рабочих и необходимого оборудования на месторождения. Аэродромный комплекс располагает взлётно-посадочной полосой с искусственным покрытием, способной принять самолеты ИЛ-76, ТУ-154, ТУ-134, ТУ-204, АН-124 (Руслан), АН-22 (Антей), АН-12, ЯК-42, Боинг-</w:t>
      </w:r>
      <w:r w:rsidRPr="0096501D">
        <w:rPr>
          <w:sz w:val="26"/>
          <w:szCs w:val="26"/>
        </w:rPr>
        <w:lastRenderedPageBreak/>
        <w:t>737-300, Боинг-737-500, АТR-42 и вертолеты всех типов.</w:t>
      </w:r>
    </w:p>
    <w:p w:rsidR="004616EA" w:rsidRPr="0096501D" w:rsidRDefault="004616EA" w:rsidP="0096501D">
      <w:pPr>
        <w:pStyle w:val="ab"/>
        <w:spacing w:before="0" w:after="0"/>
        <w:ind w:firstLine="709"/>
        <w:rPr>
          <w:sz w:val="26"/>
          <w:szCs w:val="26"/>
        </w:rPr>
      </w:pPr>
      <w:r w:rsidRPr="0096501D">
        <w:rPr>
          <w:sz w:val="26"/>
          <w:szCs w:val="26"/>
        </w:rPr>
        <w:t>Анализ состояния транспортной инфраструктуры связи позволяет выделить несколько ключевых сильных и слабых сторон развития, а также ряд потенциальных возможностей и угроз.</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Сильные стороны</w:t>
      </w:r>
    </w:p>
    <w:p w:rsidR="004616EA" w:rsidRPr="0096501D" w:rsidRDefault="004616EA" w:rsidP="0096501D">
      <w:pPr>
        <w:pStyle w:val="a9"/>
        <w:numPr>
          <w:ilvl w:val="0"/>
          <w:numId w:val="1"/>
        </w:numPr>
        <w:tabs>
          <w:tab w:val="left" w:pos="1134"/>
        </w:tabs>
        <w:spacing w:after="0"/>
        <w:ind w:left="0" w:firstLine="709"/>
        <w:rPr>
          <w:rStyle w:val="a4"/>
          <w:color w:val="auto"/>
          <w:sz w:val="26"/>
          <w:szCs w:val="26"/>
          <w:u w:val="none"/>
        </w:rPr>
      </w:pPr>
      <w:r w:rsidRPr="0096501D">
        <w:rPr>
          <w:rStyle w:val="a4"/>
          <w:color w:val="auto"/>
          <w:sz w:val="26"/>
          <w:szCs w:val="26"/>
          <w:u w:val="none"/>
        </w:rPr>
        <w:lastRenderedPageBreak/>
        <w:t>транспортная система представлена почти всеми видами транспорта, что формирует высокий транспортный потенциал территории;</w:t>
      </w:r>
    </w:p>
    <w:p w:rsidR="004616EA" w:rsidRPr="0096501D" w:rsidRDefault="004616EA" w:rsidP="0096501D">
      <w:pPr>
        <w:pStyle w:val="a9"/>
        <w:numPr>
          <w:ilvl w:val="0"/>
          <w:numId w:val="1"/>
        </w:numPr>
        <w:tabs>
          <w:tab w:val="left" w:pos="1134"/>
        </w:tabs>
        <w:spacing w:after="0"/>
        <w:ind w:left="0" w:firstLine="709"/>
        <w:rPr>
          <w:rStyle w:val="a4"/>
          <w:color w:val="auto"/>
          <w:sz w:val="26"/>
          <w:szCs w:val="26"/>
          <w:u w:val="none"/>
        </w:rPr>
      </w:pPr>
      <w:r w:rsidRPr="0096501D">
        <w:rPr>
          <w:sz w:val="26"/>
          <w:szCs w:val="26"/>
        </w:rPr>
        <w:t>выгодное географическое (транзитное) положение территории</w:t>
      </w:r>
      <w:r w:rsidRPr="0096501D">
        <w:rPr>
          <w:rStyle w:val="a4"/>
          <w:color w:val="auto"/>
          <w:sz w:val="26"/>
          <w:szCs w:val="26"/>
          <w:u w:val="none"/>
        </w:rPr>
        <w:t>;</w:t>
      </w:r>
    </w:p>
    <w:p w:rsidR="004616EA" w:rsidRPr="0096501D" w:rsidRDefault="004616EA" w:rsidP="0096501D">
      <w:pPr>
        <w:pStyle w:val="a9"/>
        <w:numPr>
          <w:ilvl w:val="0"/>
          <w:numId w:val="1"/>
        </w:numPr>
        <w:tabs>
          <w:tab w:val="left" w:pos="1134"/>
        </w:tabs>
        <w:spacing w:after="0"/>
        <w:ind w:left="0" w:firstLine="709"/>
        <w:rPr>
          <w:rStyle w:val="a4"/>
          <w:color w:val="auto"/>
          <w:sz w:val="26"/>
          <w:szCs w:val="26"/>
          <w:u w:val="none"/>
        </w:rPr>
      </w:pPr>
      <w:r w:rsidRPr="0096501D">
        <w:rPr>
          <w:rStyle w:val="a4"/>
          <w:color w:val="auto"/>
          <w:sz w:val="26"/>
          <w:szCs w:val="26"/>
          <w:u w:val="none"/>
        </w:rPr>
        <w:lastRenderedPageBreak/>
        <w:t xml:space="preserve">хороший уровень развития транспортной инфраструктуры производственного назначения. </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Слабые стороны</w:t>
      </w:r>
    </w:p>
    <w:p w:rsidR="004616EA" w:rsidRPr="0096501D" w:rsidRDefault="004616EA" w:rsidP="0096501D">
      <w:pPr>
        <w:numPr>
          <w:ilvl w:val="0"/>
          <w:numId w:val="1"/>
        </w:numPr>
        <w:tabs>
          <w:tab w:val="left" w:pos="1134"/>
        </w:tabs>
        <w:spacing w:after="0" w:line="240" w:lineRule="auto"/>
        <w:ind w:left="0" w:firstLine="709"/>
        <w:jc w:val="both"/>
        <w:rPr>
          <w:rStyle w:val="a4"/>
          <w:snapToGrid w:val="0"/>
          <w:color w:val="auto"/>
          <w:sz w:val="26"/>
          <w:szCs w:val="26"/>
          <w:u w:val="none"/>
        </w:rPr>
      </w:pPr>
      <w:r w:rsidRPr="0096501D">
        <w:rPr>
          <w:rFonts w:ascii="Times New Roman" w:hAnsi="Times New Roman"/>
          <w:snapToGrid w:val="0"/>
          <w:sz w:val="26"/>
          <w:szCs w:val="26"/>
        </w:rPr>
        <w:t>сложные природные условия при строительстве автомобильных дорог;</w:t>
      </w:r>
    </w:p>
    <w:p w:rsidR="004616EA" w:rsidRPr="0096501D" w:rsidRDefault="004616EA" w:rsidP="0096501D">
      <w:pPr>
        <w:pStyle w:val="a9"/>
        <w:numPr>
          <w:ilvl w:val="0"/>
          <w:numId w:val="1"/>
        </w:numPr>
        <w:tabs>
          <w:tab w:val="left" w:pos="1134"/>
        </w:tabs>
        <w:spacing w:after="0"/>
        <w:ind w:left="0" w:firstLine="709"/>
        <w:rPr>
          <w:rStyle w:val="a4"/>
          <w:color w:val="auto"/>
          <w:sz w:val="26"/>
          <w:szCs w:val="26"/>
          <w:u w:val="none"/>
        </w:rPr>
      </w:pPr>
      <w:r w:rsidRPr="0096501D">
        <w:rPr>
          <w:rStyle w:val="a4"/>
          <w:color w:val="auto"/>
          <w:sz w:val="26"/>
          <w:szCs w:val="26"/>
          <w:u w:val="none"/>
        </w:rPr>
        <w:t>хроническое недофинансирование дорожного строительства и ремонта;</w:t>
      </w:r>
    </w:p>
    <w:p w:rsidR="004616EA" w:rsidRPr="0096501D" w:rsidRDefault="004616EA" w:rsidP="0096501D">
      <w:pPr>
        <w:pStyle w:val="a9"/>
        <w:numPr>
          <w:ilvl w:val="0"/>
          <w:numId w:val="1"/>
        </w:numPr>
        <w:tabs>
          <w:tab w:val="left" w:pos="1134"/>
        </w:tabs>
        <w:spacing w:after="0"/>
        <w:ind w:left="0" w:firstLine="709"/>
        <w:rPr>
          <w:rStyle w:val="a4"/>
          <w:color w:val="auto"/>
          <w:sz w:val="26"/>
          <w:szCs w:val="26"/>
          <w:u w:val="none"/>
        </w:rPr>
      </w:pPr>
      <w:r w:rsidRPr="0096501D">
        <w:rPr>
          <w:rStyle w:val="a4"/>
          <w:color w:val="auto"/>
          <w:sz w:val="26"/>
          <w:szCs w:val="26"/>
          <w:u w:val="none"/>
        </w:rPr>
        <w:lastRenderedPageBreak/>
        <w:t xml:space="preserve">отсутствие дорог с капитальным покрытием в районах индивидуальной и малоэтажной застройки; </w:t>
      </w:r>
    </w:p>
    <w:p w:rsidR="004616EA" w:rsidRPr="0096501D" w:rsidRDefault="004616EA" w:rsidP="0096501D">
      <w:pPr>
        <w:pStyle w:val="a9"/>
        <w:numPr>
          <w:ilvl w:val="0"/>
          <w:numId w:val="1"/>
        </w:numPr>
        <w:tabs>
          <w:tab w:val="left" w:pos="1134"/>
        </w:tabs>
        <w:spacing w:after="0"/>
        <w:ind w:left="0" w:firstLine="709"/>
        <w:rPr>
          <w:rStyle w:val="a4"/>
          <w:color w:val="auto"/>
          <w:sz w:val="26"/>
          <w:szCs w:val="26"/>
          <w:u w:val="none"/>
        </w:rPr>
      </w:pPr>
      <w:r w:rsidRPr="0096501D">
        <w:rPr>
          <w:rStyle w:val="a4"/>
          <w:color w:val="auto"/>
          <w:sz w:val="26"/>
          <w:szCs w:val="26"/>
          <w:u w:val="none"/>
        </w:rPr>
        <w:t xml:space="preserve">растущий уровень аварийности на дорогах; </w:t>
      </w:r>
    </w:p>
    <w:p w:rsidR="004616EA" w:rsidRPr="0096501D" w:rsidRDefault="004616EA" w:rsidP="0096501D">
      <w:pPr>
        <w:pStyle w:val="a9"/>
        <w:numPr>
          <w:ilvl w:val="0"/>
          <w:numId w:val="1"/>
        </w:numPr>
        <w:tabs>
          <w:tab w:val="left" w:pos="1134"/>
        </w:tabs>
        <w:spacing w:after="0"/>
        <w:ind w:left="0" w:firstLine="709"/>
        <w:rPr>
          <w:rStyle w:val="a4"/>
          <w:color w:val="auto"/>
          <w:sz w:val="26"/>
          <w:szCs w:val="26"/>
          <w:u w:val="none"/>
        </w:rPr>
      </w:pPr>
      <w:r w:rsidRPr="0096501D">
        <w:rPr>
          <w:rStyle w:val="a4"/>
          <w:color w:val="auto"/>
          <w:sz w:val="26"/>
          <w:szCs w:val="26"/>
          <w:u w:val="none"/>
        </w:rPr>
        <w:lastRenderedPageBreak/>
        <w:t>ускоренный износ дорог обусловлен высокими темпами роста парка автотранспортных средств и интенсивностью движения.</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Возможности</w:t>
      </w:r>
    </w:p>
    <w:p w:rsidR="004616EA" w:rsidRPr="0096501D" w:rsidRDefault="004616EA" w:rsidP="0096501D">
      <w:pPr>
        <w:pStyle w:val="a9"/>
        <w:numPr>
          <w:ilvl w:val="0"/>
          <w:numId w:val="1"/>
        </w:numPr>
        <w:tabs>
          <w:tab w:val="left" w:pos="1134"/>
        </w:tabs>
        <w:spacing w:after="0"/>
        <w:ind w:left="0" w:firstLine="709"/>
        <w:rPr>
          <w:rStyle w:val="a4"/>
          <w:color w:val="auto"/>
          <w:sz w:val="26"/>
          <w:szCs w:val="26"/>
          <w:u w:val="none"/>
        </w:rPr>
      </w:pPr>
      <w:r w:rsidRPr="0096501D">
        <w:rPr>
          <w:rStyle w:val="a4"/>
          <w:color w:val="auto"/>
          <w:sz w:val="26"/>
          <w:szCs w:val="26"/>
          <w:u w:val="none"/>
        </w:rPr>
        <w:t xml:space="preserve">реализация транспортного транзитного потенциала территории, основанного на наличии нескольких видов транспорта; </w:t>
      </w:r>
    </w:p>
    <w:p w:rsidR="004616EA" w:rsidRPr="0096501D" w:rsidRDefault="004616EA" w:rsidP="0096501D">
      <w:pPr>
        <w:pStyle w:val="a9"/>
        <w:numPr>
          <w:ilvl w:val="0"/>
          <w:numId w:val="1"/>
        </w:numPr>
        <w:tabs>
          <w:tab w:val="left" w:pos="1134"/>
        </w:tabs>
        <w:spacing w:after="0"/>
        <w:ind w:left="0" w:firstLine="709"/>
        <w:rPr>
          <w:rStyle w:val="a4"/>
          <w:color w:val="auto"/>
          <w:sz w:val="26"/>
          <w:szCs w:val="26"/>
          <w:u w:val="none"/>
        </w:rPr>
      </w:pPr>
      <w:r w:rsidRPr="0096501D">
        <w:rPr>
          <w:rStyle w:val="a4"/>
          <w:color w:val="auto"/>
          <w:sz w:val="26"/>
          <w:szCs w:val="26"/>
          <w:u w:val="none"/>
        </w:rPr>
        <w:lastRenderedPageBreak/>
        <w:t>увеличение пропускной способности улично-дорожной сети за счет существующих резервов;</w:t>
      </w:r>
    </w:p>
    <w:p w:rsidR="004616EA" w:rsidRPr="0096501D" w:rsidRDefault="004616EA" w:rsidP="0096501D">
      <w:pPr>
        <w:pStyle w:val="a9"/>
        <w:numPr>
          <w:ilvl w:val="0"/>
          <w:numId w:val="1"/>
        </w:numPr>
        <w:tabs>
          <w:tab w:val="left" w:pos="1134"/>
        </w:tabs>
        <w:spacing w:after="0"/>
        <w:ind w:left="0" w:firstLine="709"/>
        <w:rPr>
          <w:rStyle w:val="a4"/>
          <w:color w:val="auto"/>
          <w:sz w:val="26"/>
          <w:szCs w:val="26"/>
          <w:u w:val="none"/>
        </w:rPr>
      </w:pPr>
      <w:r w:rsidRPr="0096501D">
        <w:rPr>
          <w:sz w:val="26"/>
          <w:szCs w:val="26"/>
        </w:rPr>
        <w:t>развитие туризма</w:t>
      </w:r>
      <w:r w:rsidRPr="0096501D">
        <w:rPr>
          <w:rStyle w:val="a4"/>
          <w:color w:val="auto"/>
          <w:sz w:val="26"/>
          <w:szCs w:val="26"/>
          <w:u w:val="none"/>
        </w:rPr>
        <w:t xml:space="preserve">. </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Угрозы</w:t>
      </w:r>
    </w:p>
    <w:p w:rsidR="004616EA" w:rsidRPr="0096501D" w:rsidRDefault="004616EA" w:rsidP="0096501D">
      <w:pPr>
        <w:pStyle w:val="a9"/>
        <w:numPr>
          <w:ilvl w:val="0"/>
          <w:numId w:val="1"/>
        </w:numPr>
        <w:tabs>
          <w:tab w:val="left" w:pos="1134"/>
        </w:tabs>
        <w:spacing w:after="0"/>
        <w:ind w:left="0" w:firstLine="709"/>
        <w:rPr>
          <w:sz w:val="26"/>
          <w:szCs w:val="26"/>
        </w:rPr>
      </w:pPr>
      <w:r w:rsidRPr="0096501D">
        <w:rPr>
          <w:sz w:val="26"/>
          <w:szCs w:val="26"/>
        </w:rPr>
        <w:t>снижение социально-экономической привлекательности территории городского округа;</w:t>
      </w:r>
    </w:p>
    <w:p w:rsidR="004616EA" w:rsidRPr="0096501D" w:rsidRDefault="004616EA" w:rsidP="0096501D">
      <w:pPr>
        <w:pStyle w:val="a9"/>
        <w:numPr>
          <w:ilvl w:val="0"/>
          <w:numId w:val="1"/>
        </w:numPr>
        <w:tabs>
          <w:tab w:val="left" w:pos="1134"/>
        </w:tabs>
        <w:spacing w:after="0"/>
        <w:ind w:left="0" w:firstLine="709"/>
        <w:rPr>
          <w:sz w:val="26"/>
          <w:szCs w:val="26"/>
        </w:rPr>
      </w:pPr>
      <w:r w:rsidRPr="0096501D">
        <w:rPr>
          <w:sz w:val="26"/>
          <w:szCs w:val="26"/>
        </w:rPr>
        <w:lastRenderedPageBreak/>
        <w:t>снижение безопасности на автомобильных дорогах;</w:t>
      </w:r>
    </w:p>
    <w:p w:rsidR="004616EA" w:rsidRPr="0096501D" w:rsidRDefault="004616EA" w:rsidP="0096501D">
      <w:pPr>
        <w:pStyle w:val="a9"/>
        <w:numPr>
          <w:ilvl w:val="0"/>
          <w:numId w:val="1"/>
        </w:numPr>
        <w:tabs>
          <w:tab w:val="left" w:pos="1134"/>
        </w:tabs>
        <w:spacing w:after="0"/>
        <w:ind w:left="0" w:firstLine="709"/>
        <w:rPr>
          <w:rStyle w:val="a4"/>
          <w:color w:val="auto"/>
          <w:sz w:val="26"/>
          <w:szCs w:val="26"/>
          <w:u w:val="none"/>
        </w:rPr>
      </w:pPr>
      <w:r w:rsidRPr="0096501D">
        <w:rPr>
          <w:sz w:val="26"/>
          <w:szCs w:val="26"/>
        </w:rPr>
        <w:t>транспортные издержки;</w:t>
      </w:r>
    </w:p>
    <w:p w:rsidR="004616EA" w:rsidRDefault="004616EA" w:rsidP="0096501D">
      <w:pPr>
        <w:pStyle w:val="a9"/>
        <w:numPr>
          <w:ilvl w:val="0"/>
          <w:numId w:val="1"/>
        </w:numPr>
        <w:tabs>
          <w:tab w:val="left" w:pos="1134"/>
        </w:tabs>
        <w:spacing w:after="0"/>
        <w:ind w:left="0" w:firstLine="709"/>
        <w:rPr>
          <w:rStyle w:val="a4"/>
          <w:color w:val="auto"/>
          <w:sz w:val="26"/>
          <w:szCs w:val="26"/>
          <w:u w:val="none"/>
        </w:rPr>
      </w:pPr>
      <w:r w:rsidRPr="0096501D">
        <w:rPr>
          <w:rStyle w:val="a4"/>
          <w:color w:val="auto"/>
          <w:sz w:val="26"/>
          <w:szCs w:val="26"/>
          <w:u w:val="none"/>
        </w:rPr>
        <w:t>отставание уровня дорожного строительства от роста уровня автомобилизации.</w:t>
      </w:r>
    </w:p>
    <w:p w:rsidR="004616EA" w:rsidRPr="0096501D" w:rsidRDefault="004616EA" w:rsidP="0096501D">
      <w:pPr>
        <w:pStyle w:val="a9"/>
        <w:tabs>
          <w:tab w:val="left" w:pos="1134"/>
        </w:tabs>
        <w:spacing w:after="0"/>
        <w:rPr>
          <w:rStyle w:val="a4"/>
          <w:color w:val="auto"/>
          <w:sz w:val="26"/>
          <w:szCs w:val="26"/>
          <w:u w:val="none"/>
        </w:rPr>
      </w:pPr>
    </w:p>
    <w:p w:rsidR="004616EA" w:rsidRPr="0096501D" w:rsidRDefault="004616EA" w:rsidP="0096501D">
      <w:pPr>
        <w:pStyle w:val="3"/>
        <w:spacing w:line="240" w:lineRule="auto"/>
        <w:ind w:firstLine="709"/>
        <w:rPr>
          <w:sz w:val="26"/>
        </w:rPr>
      </w:pPr>
      <w:bookmarkStart w:id="71" w:name="_Toc387238997"/>
      <w:bookmarkStart w:id="72" w:name="_Toc405805499"/>
      <w:r w:rsidRPr="0096501D">
        <w:rPr>
          <w:sz w:val="26"/>
        </w:rPr>
        <w:lastRenderedPageBreak/>
        <w:t>2.8 Пространственное развитие территории</w:t>
      </w:r>
      <w:bookmarkEnd w:id="71"/>
      <w:bookmarkEnd w:id="72"/>
    </w:p>
    <w:p w:rsidR="004616EA" w:rsidRPr="0096501D" w:rsidRDefault="004616EA" w:rsidP="0096501D">
      <w:pPr>
        <w:tabs>
          <w:tab w:val="left" w:pos="426"/>
        </w:tabs>
        <w:spacing w:after="0" w:line="240" w:lineRule="auto"/>
        <w:ind w:firstLine="709"/>
        <w:jc w:val="both"/>
        <w:rPr>
          <w:rFonts w:ascii="Times New Roman" w:hAnsi="Times New Roman"/>
          <w:sz w:val="26"/>
          <w:szCs w:val="26"/>
        </w:rPr>
      </w:pPr>
      <w:r w:rsidRPr="0096501D">
        <w:rPr>
          <w:rFonts w:ascii="Times New Roman" w:hAnsi="Times New Roman"/>
          <w:sz w:val="26"/>
          <w:szCs w:val="26"/>
        </w:rPr>
        <w:t>Планирование социально-экономического развития городского округа город Когалым целесообразно проводить в увязке с пространственным развитием территории городского округа и всего Ханты-Мансийского автоном</w:t>
      </w:r>
      <w:r w:rsidRPr="0096501D">
        <w:rPr>
          <w:rFonts w:ascii="Times New Roman" w:hAnsi="Times New Roman"/>
          <w:sz w:val="26"/>
          <w:szCs w:val="26"/>
        </w:rPr>
        <w:lastRenderedPageBreak/>
        <w:t xml:space="preserve">ного округа - Югры. Такой подход позволит учесть особенности формирования планировочного каркаса, увеличить целостность транспортной и инженерной систем региона; позволит предусмотреть территориальные возможности развития зон экономической активности, путем учета приоритета хозяйственно-экономических </w:t>
      </w:r>
      <w:r w:rsidRPr="0096501D">
        <w:rPr>
          <w:rFonts w:ascii="Times New Roman" w:hAnsi="Times New Roman"/>
          <w:sz w:val="26"/>
          <w:szCs w:val="26"/>
        </w:rPr>
        <w:lastRenderedPageBreak/>
        <w:t>факторов; максимально сохранить окружающую среду.</w:t>
      </w:r>
    </w:p>
    <w:p w:rsidR="004616EA" w:rsidRPr="0096501D" w:rsidRDefault="004616EA" w:rsidP="0096501D">
      <w:pPr>
        <w:tabs>
          <w:tab w:val="left" w:pos="426"/>
        </w:tabs>
        <w:spacing w:after="0" w:line="240" w:lineRule="auto"/>
        <w:ind w:firstLine="709"/>
        <w:jc w:val="both"/>
        <w:rPr>
          <w:rFonts w:ascii="Times New Roman" w:hAnsi="Times New Roman"/>
          <w:sz w:val="26"/>
          <w:szCs w:val="26"/>
        </w:rPr>
      </w:pPr>
      <w:r w:rsidRPr="0096501D">
        <w:rPr>
          <w:rFonts w:ascii="Times New Roman" w:hAnsi="Times New Roman"/>
          <w:sz w:val="26"/>
          <w:szCs w:val="26"/>
        </w:rPr>
        <w:t>Пространственное развитие города Когалыма соответствует потребности в изменении социальной, экономической, транспортной составляющей на территории городского округа, а также принципам и направлениям раз</w:t>
      </w:r>
      <w:r w:rsidRPr="0096501D">
        <w:rPr>
          <w:rFonts w:ascii="Times New Roman" w:hAnsi="Times New Roman"/>
          <w:sz w:val="26"/>
          <w:szCs w:val="26"/>
        </w:rPr>
        <w:lastRenderedPageBreak/>
        <w:t>вития Ханты-Мансийского автономного округа -</w:t>
      </w:r>
      <w:r>
        <w:rPr>
          <w:rFonts w:ascii="Times New Roman" w:hAnsi="Times New Roman"/>
          <w:sz w:val="26"/>
          <w:szCs w:val="26"/>
        </w:rPr>
        <w:t xml:space="preserve"> </w:t>
      </w:r>
      <w:r w:rsidRPr="0096501D">
        <w:rPr>
          <w:rFonts w:ascii="Times New Roman" w:hAnsi="Times New Roman"/>
          <w:sz w:val="26"/>
          <w:szCs w:val="26"/>
        </w:rPr>
        <w:t>Югры в целом. Стратегией выделяются планировочные оси, планировочные центры, точки роста, согласно которым происходит формирование пространственной структуры городского округа.</w:t>
      </w:r>
    </w:p>
    <w:p w:rsidR="004616EA" w:rsidRPr="0096501D" w:rsidRDefault="004616EA" w:rsidP="0096501D">
      <w:pPr>
        <w:tabs>
          <w:tab w:val="left" w:pos="426"/>
        </w:tabs>
        <w:spacing w:after="0" w:line="240" w:lineRule="auto"/>
        <w:ind w:firstLine="709"/>
        <w:jc w:val="both"/>
        <w:rPr>
          <w:rFonts w:ascii="Times New Roman" w:hAnsi="Times New Roman"/>
          <w:sz w:val="26"/>
          <w:szCs w:val="26"/>
        </w:rPr>
      </w:pPr>
      <w:r w:rsidRPr="0096501D">
        <w:rPr>
          <w:rFonts w:ascii="Times New Roman" w:hAnsi="Times New Roman"/>
          <w:sz w:val="26"/>
          <w:szCs w:val="26"/>
        </w:rPr>
        <w:t xml:space="preserve">Основными планировочными осями, проходящими по территории </w:t>
      </w:r>
      <w:r w:rsidRPr="0096501D">
        <w:rPr>
          <w:rFonts w:ascii="Times New Roman" w:hAnsi="Times New Roman"/>
          <w:sz w:val="26"/>
          <w:szCs w:val="26"/>
        </w:rPr>
        <w:lastRenderedPageBreak/>
        <w:t>городского округа город Когалым, являются:</w:t>
      </w:r>
    </w:p>
    <w:p w:rsidR="004616EA" w:rsidRPr="0096501D" w:rsidRDefault="004616EA" w:rsidP="0096501D">
      <w:pPr>
        <w:tabs>
          <w:tab w:val="left" w:pos="426"/>
        </w:tabs>
        <w:spacing w:after="0" w:line="240" w:lineRule="auto"/>
        <w:ind w:firstLine="709"/>
        <w:jc w:val="both"/>
        <w:rPr>
          <w:rFonts w:ascii="Times New Roman" w:hAnsi="Times New Roman"/>
          <w:sz w:val="26"/>
          <w:szCs w:val="26"/>
        </w:rPr>
      </w:pPr>
      <w:r w:rsidRPr="0096501D">
        <w:rPr>
          <w:rFonts w:ascii="Times New Roman" w:hAnsi="Times New Roman"/>
          <w:sz w:val="26"/>
          <w:szCs w:val="26"/>
        </w:rPr>
        <w:t>- существующая железная дорога Сургут - Новый Уренгой проходящая с юга на север;</w:t>
      </w:r>
    </w:p>
    <w:p w:rsidR="004616EA" w:rsidRPr="0096501D" w:rsidRDefault="004616EA" w:rsidP="0096501D">
      <w:pPr>
        <w:tabs>
          <w:tab w:val="left" w:pos="426"/>
        </w:tabs>
        <w:spacing w:after="0" w:line="240" w:lineRule="auto"/>
        <w:ind w:firstLine="709"/>
        <w:jc w:val="both"/>
        <w:rPr>
          <w:rFonts w:ascii="Times New Roman" w:hAnsi="Times New Roman"/>
          <w:sz w:val="26"/>
          <w:szCs w:val="26"/>
        </w:rPr>
      </w:pPr>
      <w:r w:rsidRPr="0096501D">
        <w:rPr>
          <w:rFonts w:ascii="Times New Roman" w:hAnsi="Times New Roman"/>
          <w:sz w:val="26"/>
          <w:szCs w:val="26"/>
        </w:rPr>
        <w:t>- реки, Ингу-Ягун и Кирилл-Высъягун вдоль которых в централь</w:t>
      </w:r>
      <w:r w:rsidRPr="0096501D">
        <w:rPr>
          <w:rFonts w:ascii="Times New Roman" w:hAnsi="Times New Roman"/>
          <w:sz w:val="26"/>
          <w:szCs w:val="26"/>
        </w:rPr>
        <w:lastRenderedPageBreak/>
        <w:t>ной части городского округа в основном и расположен город Когалым своей жилой застройкой;</w:t>
      </w:r>
    </w:p>
    <w:p w:rsidR="004616EA" w:rsidRPr="0096501D" w:rsidRDefault="004616EA" w:rsidP="0096501D">
      <w:pPr>
        <w:tabs>
          <w:tab w:val="left" w:pos="426"/>
        </w:tabs>
        <w:spacing w:after="0" w:line="240" w:lineRule="auto"/>
        <w:ind w:firstLine="709"/>
        <w:jc w:val="both"/>
        <w:rPr>
          <w:rFonts w:ascii="Times New Roman" w:hAnsi="Times New Roman"/>
          <w:sz w:val="26"/>
          <w:szCs w:val="26"/>
        </w:rPr>
      </w:pPr>
      <w:r w:rsidRPr="0096501D">
        <w:rPr>
          <w:rFonts w:ascii="Times New Roman" w:hAnsi="Times New Roman"/>
          <w:sz w:val="26"/>
          <w:szCs w:val="26"/>
        </w:rPr>
        <w:t xml:space="preserve">Предложенная структура пространственного развития территории городского округа город Когалым позволит создать территориальные условия </w:t>
      </w:r>
      <w:r w:rsidRPr="0096501D">
        <w:rPr>
          <w:rFonts w:ascii="Times New Roman" w:hAnsi="Times New Roman"/>
          <w:sz w:val="26"/>
          <w:szCs w:val="26"/>
        </w:rPr>
        <w:lastRenderedPageBreak/>
        <w:t>устойчивого социального и экономического роста городского округа (</w:t>
      </w:r>
      <w:r w:rsidR="001977F4">
        <w:fldChar w:fldCharType="begin"/>
      </w:r>
      <w:r w:rsidR="001977F4">
        <w:instrText xml:space="preserve"> REF _Ref397019931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19</w:t>
      </w:r>
      <w:r w:rsidR="001977F4">
        <w:fldChar w:fldCharType="end"/>
      </w:r>
      <w:r w:rsidRPr="0096501D">
        <w:rPr>
          <w:rFonts w:ascii="Times New Roman" w:hAnsi="Times New Roman"/>
          <w:sz w:val="26"/>
          <w:szCs w:val="26"/>
        </w:rPr>
        <w:t>).</w:t>
      </w:r>
    </w:p>
    <w:p w:rsidR="004616EA" w:rsidRPr="0096501D" w:rsidRDefault="004616EA" w:rsidP="0096501D">
      <w:pPr>
        <w:tabs>
          <w:tab w:val="left" w:pos="426"/>
        </w:tabs>
        <w:spacing w:after="0" w:line="240" w:lineRule="auto"/>
        <w:ind w:firstLine="709"/>
        <w:jc w:val="both"/>
        <w:rPr>
          <w:rFonts w:ascii="Times New Roman" w:hAnsi="Times New Roman"/>
          <w:sz w:val="26"/>
          <w:szCs w:val="26"/>
        </w:rPr>
      </w:pPr>
      <w:r w:rsidRPr="0096501D">
        <w:rPr>
          <w:rFonts w:ascii="Times New Roman" w:hAnsi="Times New Roman"/>
          <w:sz w:val="26"/>
          <w:szCs w:val="26"/>
        </w:rPr>
        <w:t>Анализ качества территории городского округа позволяет выделить несколько ключевых сильных и слабых сторон, а также ряд потенциальных возможностей и угроз в данном направлении.</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lastRenderedPageBreak/>
        <w:t>Сильные стороны</w:t>
      </w:r>
    </w:p>
    <w:p w:rsidR="004616EA" w:rsidRPr="0096501D" w:rsidRDefault="004616EA" w:rsidP="0096501D">
      <w:pPr>
        <w:numPr>
          <w:ilvl w:val="0"/>
          <w:numId w:val="53"/>
        </w:numPr>
        <w:tabs>
          <w:tab w:val="left" w:pos="426"/>
          <w:tab w:val="left" w:pos="993"/>
        </w:tabs>
        <w:spacing w:after="0" w:line="240" w:lineRule="auto"/>
        <w:ind w:left="0" w:firstLine="709"/>
        <w:jc w:val="both"/>
        <w:rPr>
          <w:rFonts w:ascii="Times New Roman" w:hAnsi="Times New Roman"/>
          <w:sz w:val="26"/>
          <w:szCs w:val="26"/>
        </w:rPr>
      </w:pPr>
      <w:r w:rsidRPr="0096501D">
        <w:rPr>
          <w:rFonts w:ascii="Times New Roman" w:hAnsi="Times New Roman"/>
          <w:sz w:val="26"/>
          <w:szCs w:val="26"/>
        </w:rPr>
        <w:t>неотъемлемым преимуществом городского округа является прохождение Свердловской железной дороги. Устойчивая круглогодичная железнодорожная связь с такими городами как Сургут южнее и Новый Уренгой севернее, позволяет развивать различ</w:t>
      </w:r>
      <w:r w:rsidRPr="0096501D">
        <w:rPr>
          <w:rFonts w:ascii="Times New Roman" w:hAnsi="Times New Roman"/>
          <w:sz w:val="26"/>
          <w:szCs w:val="26"/>
        </w:rPr>
        <w:lastRenderedPageBreak/>
        <w:t>ные направления экономической деятельности, осуществлять вывоз производимой на территории городского округа продукции и ввоз необходимых товаров.</w:t>
      </w:r>
    </w:p>
    <w:p w:rsidR="004616EA" w:rsidRPr="0096501D" w:rsidRDefault="004616EA" w:rsidP="0096501D">
      <w:pPr>
        <w:numPr>
          <w:ilvl w:val="0"/>
          <w:numId w:val="53"/>
        </w:numPr>
        <w:tabs>
          <w:tab w:val="left" w:pos="426"/>
          <w:tab w:val="left" w:pos="993"/>
        </w:tabs>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посредством воздушного транспорта с аэропорта «Когалым» осуществляются грузовые и пассажирские перевозки для доставки рабочих </w:t>
      </w:r>
      <w:r w:rsidRPr="0096501D">
        <w:rPr>
          <w:rFonts w:ascii="Times New Roman" w:hAnsi="Times New Roman"/>
          <w:sz w:val="26"/>
          <w:szCs w:val="26"/>
        </w:rPr>
        <w:lastRenderedPageBreak/>
        <w:t>и необходимого оборудования на месторождения.</w:t>
      </w:r>
    </w:p>
    <w:p w:rsidR="004616EA" w:rsidRPr="0096501D" w:rsidRDefault="004616EA" w:rsidP="0096501D">
      <w:pPr>
        <w:numPr>
          <w:ilvl w:val="0"/>
          <w:numId w:val="53"/>
        </w:numPr>
        <w:tabs>
          <w:tab w:val="left" w:pos="426"/>
          <w:tab w:val="left" w:pos="993"/>
        </w:tabs>
        <w:spacing w:after="0" w:line="240" w:lineRule="auto"/>
        <w:ind w:left="0" w:firstLine="709"/>
        <w:jc w:val="both"/>
        <w:rPr>
          <w:rFonts w:ascii="Times New Roman" w:hAnsi="Times New Roman"/>
          <w:sz w:val="26"/>
          <w:szCs w:val="26"/>
        </w:rPr>
      </w:pPr>
      <w:r w:rsidRPr="0096501D">
        <w:rPr>
          <w:rFonts w:ascii="Times New Roman" w:hAnsi="Times New Roman"/>
          <w:sz w:val="26"/>
          <w:szCs w:val="26"/>
        </w:rPr>
        <w:t>залежи полезных ископаемых позволяют развивать нефтегазодобывающий комплекс.</w:t>
      </w:r>
    </w:p>
    <w:p w:rsidR="004616EA" w:rsidRPr="0096501D" w:rsidRDefault="004616EA" w:rsidP="0096501D">
      <w:pPr>
        <w:numPr>
          <w:ilvl w:val="0"/>
          <w:numId w:val="53"/>
        </w:numPr>
        <w:tabs>
          <w:tab w:val="left" w:pos="426"/>
          <w:tab w:val="left" w:pos="993"/>
        </w:tabs>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размещению производственной базы способствуют развитая социальная инфраструктура, существующие и </w:t>
      </w:r>
      <w:r w:rsidRPr="0096501D">
        <w:rPr>
          <w:rFonts w:ascii="Times New Roman" w:hAnsi="Times New Roman"/>
          <w:sz w:val="26"/>
          <w:szCs w:val="26"/>
        </w:rPr>
        <w:lastRenderedPageBreak/>
        <w:t>планируемые территории под жилищное строительство.</w:t>
      </w:r>
    </w:p>
    <w:p w:rsidR="004616EA" w:rsidRPr="00475E67" w:rsidRDefault="00E70A58" w:rsidP="00D8069A">
      <w:pPr>
        <w:keepNext/>
        <w:tabs>
          <w:tab w:val="left" w:pos="426"/>
          <w:tab w:val="left" w:pos="993"/>
        </w:tabs>
        <w:spacing w:before="120" w:after="0"/>
        <w:jc w:val="both"/>
      </w:pPr>
      <w:r>
        <w:rPr>
          <w:rFonts w:ascii="Times New Roman" w:hAnsi="Times New Roman"/>
          <w:noProof/>
          <w:sz w:val="24"/>
          <w:szCs w:val="24"/>
          <w:lang w:eastAsia="ru-RU"/>
        </w:rPr>
        <w:lastRenderedPageBreak/>
        <w:drawing>
          <wp:inline distT="0" distB="0" distL="0" distR="0">
            <wp:extent cx="5463540" cy="6316980"/>
            <wp:effectExtent l="0" t="0" r="3810" b="7620"/>
            <wp:docPr id="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63540" cy="6316980"/>
                    </a:xfrm>
                    <a:prstGeom prst="rect">
                      <a:avLst/>
                    </a:prstGeom>
                    <a:noFill/>
                    <a:ln>
                      <a:noFill/>
                    </a:ln>
                  </pic:spPr>
                </pic:pic>
              </a:graphicData>
            </a:graphic>
          </wp:inline>
        </w:drawing>
      </w:r>
    </w:p>
    <w:p w:rsidR="004616EA" w:rsidRDefault="004616EA" w:rsidP="0096501D">
      <w:pPr>
        <w:pStyle w:val="af1"/>
        <w:spacing w:after="0"/>
        <w:ind w:firstLine="709"/>
        <w:jc w:val="both"/>
        <w:rPr>
          <w:rFonts w:ascii="Times New Roman" w:hAnsi="Times New Roman"/>
          <w:b w:val="0"/>
          <w:color w:val="auto"/>
          <w:sz w:val="24"/>
        </w:rPr>
      </w:pPr>
      <w:bookmarkStart w:id="73" w:name="_Ref397019931"/>
      <w:r w:rsidRPr="00475E67">
        <w:rPr>
          <w:rFonts w:ascii="Times New Roman" w:hAnsi="Times New Roman"/>
          <w:b w:val="0"/>
          <w:color w:val="auto"/>
          <w:sz w:val="24"/>
        </w:rPr>
        <w:lastRenderedPageBreak/>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19</w:t>
      </w:r>
      <w:r w:rsidRPr="00475E67">
        <w:rPr>
          <w:rFonts w:ascii="Times New Roman" w:hAnsi="Times New Roman"/>
          <w:b w:val="0"/>
          <w:color w:val="auto"/>
          <w:sz w:val="24"/>
        </w:rPr>
        <w:fldChar w:fldCharType="end"/>
      </w:r>
      <w:bookmarkEnd w:id="73"/>
      <w:r w:rsidRPr="00475E67">
        <w:rPr>
          <w:rFonts w:ascii="Times New Roman" w:hAnsi="Times New Roman"/>
          <w:b w:val="0"/>
          <w:color w:val="auto"/>
          <w:sz w:val="24"/>
        </w:rPr>
        <w:t xml:space="preserve"> - Пространственная организация территории городского округа город Когалым</w:t>
      </w:r>
    </w:p>
    <w:p w:rsidR="004616EA" w:rsidRPr="0096501D" w:rsidRDefault="004616EA" w:rsidP="0096501D">
      <w:pPr>
        <w:spacing w:after="0" w:line="240" w:lineRule="auto"/>
        <w:rPr>
          <w:lang w:eastAsia="ru-RU"/>
        </w:rPr>
      </w:pPr>
    </w:p>
    <w:p w:rsidR="004616EA" w:rsidRPr="0096501D" w:rsidRDefault="004616EA" w:rsidP="0096501D">
      <w:pPr>
        <w:keepNext/>
        <w:keepLines/>
        <w:spacing w:after="0" w:line="240" w:lineRule="auto"/>
        <w:ind w:firstLine="709"/>
        <w:jc w:val="both"/>
        <w:rPr>
          <w:rFonts w:ascii="Times New Roman" w:hAnsi="Times New Roman"/>
          <w:b/>
          <w:sz w:val="26"/>
          <w:szCs w:val="26"/>
        </w:rPr>
      </w:pPr>
      <w:r w:rsidRPr="0096501D">
        <w:rPr>
          <w:rFonts w:ascii="Times New Roman" w:hAnsi="Times New Roman"/>
          <w:b/>
          <w:sz w:val="26"/>
          <w:szCs w:val="26"/>
        </w:rPr>
        <w:t>Слабые стороны</w:t>
      </w:r>
    </w:p>
    <w:p w:rsidR="004616EA" w:rsidRPr="0096501D" w:rsidRDefault="004616EA" w:rsidP="0096501D">
      <w:pPr>
        <w:numPr>
          <w:ilvl w:val="0"/>
          <w:numId w:val="52"/>
        </w:numPr>
        <w:tabs>
          <w:tab w:val="left" w:pos="993"/>
        </w:tabs>
        <w:spacing w:after="0" w:line="240" w:lineRule="auto"/>
        <w:ind w:left="0" w:firstLine="709"/>
        <w:jc w:val="both"/>
        <w:rPr>
          <w:rFonts w:ascii="Times New Roman" w:hAnsi="Times New Roman"/>
          <w:sz w:val="26"/>
          <w:szCs w:val="26"/>
          <w:lang w:eastAsia="ru-RU"/>
        </w:rPr>
      </w:pPr>
      <w:r w:rsidRPr="0096501D">
        <w:rPr>
          <w:rFonts w:ascii="Times New Roman" w:hAnsi="Times New Roman"/>
          <w:sz w:val="26"/>
          <w:szCs w:val="26"/>
          <w:lang w:eastAsia="ru-RU"/>
        </w:rPr>
        <w:t xml:space="preserve">преобладающее влияние города Сургута на город Когалым в сфере </w:t>
      </w:r>
      <w:r w:rsidRPr="0096501D">
        <w:rPr>
          <w:rFonts w:ascii="Times New Roman" w:hAnsi="Times New Roman"/>
          <w:sz w:val="26"/>
          <w:szCs w:val="26"/>
          <w:lang w:eastAsia="ru-RU"/>
        </w:rPr>
        <w:lastRenderedPageBreak/>
        <w:t>нефтегазового производства, потребительского потенциала и области образования.</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Возможности</w:t>
      </w:r>
    </w:p>
    <w:p w:rsidR="004616EA" w:rsidRDefault="004616EA" w:rsidP="0096501D">
      <w:pPr>
        <w:numPr>
          <w:ilvl w:val="0"/>
          <w:numId w:val="52"/>
        </w:numPr>
        <w:tabs>
          <w:tab w:val="left" w:pos="993"/>
        </w:tabs>
        <w:spacing w:after="0" w:line="240" w:lineRule="auto"/>
        <w:ind w:left="0" w:firstLine="709"/>
        <w:jc w:val="both"/>
        <w:rPr>
          <w:rFonts w:ascii="Times New Roman" w:hAnsi="Times New Roman"/>
          <w:sz w:val="26"/>
          <w:szCs w:val="26"/>
          <w:lang w:eastAsia="ru-RU"/>
        </w:rPr>
      </w:pPr>
      <w:r w:rsidRPr="0096501D">
        <w:rPr>
          <w:rFonts w:ascii="Times New Roman" w:hAnsi="Times New Roman"/>
          <w:sz w:val="26"/>
          <w:szCs w:val="26"/>
          <w:lang w:eastAsia="ru-RU"/>
        </w:rPr>
        <w:t>развитие железнодорожного и автомобильного транспортного направления «Север-Юг» будет способствовать улучшению связи города Кога</w:t>
      </w:r>
      <w:r w:rsidRPr="0096501D">
        <w:rPr>
          <w:rFonts w:ascii="Times New Roman" w:hAnsi="Times New Roman"/>
          <w:sz w:val="26"/>
          <w:szCs w:val="26"/>
          <w:lang w:eastAsia="ru-RU"/>
        </w:rPr>
        <w:lastRenderedPageBreak/>
        <w:t>лыма и отдельных населенных пунктов, что послужит повышению уровня инвестиционной привлекательности городского округа в целом и города Когалыма в частности.</w:t>
      </w:r>
    </w:p>
    <w:p w:rsidR="004616EA" w:rsidRDefault="004616EA" w:rsidP="001C6F4D">
      <w:pPr>
        <w:numPr>
          <w:ilvl w:val="0"/>
          <w:numId w:val="52"/>
        </w:numPr>
        <w:tabs>
          <w:tab w:val="left" w:pos="993"/>
        </w:tabs>
        <w:spacing w:after="0"/>
        <w:ind w:left="0" w:firstLine="709"/>
        <w:jc w:val="both"/>
        <w:rPr>
          <w:rFonts w:ascii="Times New Roman" w:hAnsi="Times New Roman"/>
          <w:sz w:val="24"/>
          <w:szCs w:val="24"/>
          <w:lang w:eastAsia="ru-RU"/>
        </w:rPr>
      </w:pPr>
      <w:r>
        <w:rPr>
          <w:rFonts w:ascii="Times New Roman" w:hAnsi="Times New Roman"/>
          <w:sz w:val="24"/>
          <w:szCs w:val="24"/>
          <w:lang w:eastAsia="ru-RU"/>
        </w:rPr>
        <w:t xml:space="preserve">планируемое развитие городов Сургут и Нижневартовск, как общественных (региональных) центров, открывает дополнительные возможности для города </w:t>
      </w:r>
      <w:r>
        <w:rPr>
          <w:rFonts w:ascii="Times New Roman" w:hAnsi="Times New Roman"/>
          <w:sz w:val="24"/>
          <w:szCs w:val="24"/>
          <w:lang w:eastAsia="ru-RU"/>
        </w:rPr>
        <w:lastRenderedPageBreak/>
        <w:t>Когалыма, например получение высшего образования недалеко от дома.</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Угрозы</w:t>
      </w:r>
    </w:p>
    <w:p w:rsidR="004616EA" w:rsidRPr="0096501D" w:rsidRDefault="004616EA" w:rsidP="0096501D">
      <w:pPr>
        <w:numPr>
          <w:ilvl w:val="0"/>
          <w:numId w:val="52"/>
        </w:numPr>
        <w:tabs>
          <w:tab w:val="left" w:pos="993"/>
        </w:tabs>
        <w:spacing w:after="0" w:line="240" w:lineRule="auto"/>
        <w:ind w:left="0" w:firstLine="709"/>
        <w:jc w:val="both"/>
        <w:rPr>
          <w:rFonts w:ascii="Times New Roman" w:hAnsi="Times New Roman"/>
          <w:sz w:val="26"/>
          <w:szCs w:val="26"/>
          <w:lang w:eastAsia="ru-RU"/>
        </w:rPr>
      </w:pPr>
      <w:r w:rsidRPr="0096501D">
        <w:rPr>
          <w:rFonts w:ascii="Times New Roman" w:hAnsi="Times New Roman"/>
          <w:sz w:val="26"/>
          <w:szCs w:val="26"/>
          <w:lang w:eastAsia="ru-RU"/>
        </w:rPr>
        <w:t>отток инвестиций в более крупные города Сургут и Нижневартовск;</w:t>
      </w:r>
    </w:p>
    <w:p w:rsidR="004616EA" w:rsidRPr="0096501D" w:rsidRDefault="004616EA" w:rsidP="0096501D">
      <w:pPr>
        <w:numPr>
          <w:ilvl w:val="0"/>
          <w:numId w:val="52"/>
        </w:numPr>
        <w:tabs>
          <w:tab w:val="left" w:pos="993"/>
        </w:tabs>
        <w:spacing w:after="0" w:line="240" w:lineRule="auto"/>
        <w:ind w:left="0" w:firstLine="709"/>
        <w:jc w:val="both"/>
        <w:rPr>
          <w:rFonts w:ascii="Times New Roman" w:hAnsi="Times New Roman"/>
          <w:sz w:val="26"/>
          <w:szCs w:val="26"/>
          <w:lang w:eastAsia="ru-RU"/>
        </w:rPr>
      </w:pPr>
      <w:r w:rsidRPr="0096501D">
        <w:rPr>
          <w:rFonts w:ascii="Times New Roman" w:hAnsi="Times New Roman"/>
          <w:sz w:val="26"/>
          <w:szCs w:val="26"/>
          <w:lang w:eastAsia="ru-RU"/>
        </w:rPr>
        <w:lastRenderedPageBreak/>
        <w:t>снижение демографии в связи с низкой социальной привлекательностью на фоне более крупных городов-соседей;</w:t>
      </w:r>
    </w:p>
    <w:p w:rsidR="004616EA" w:rsidRPr="0096501D" w:rsidRDefault="004616EA" w:rsidP="0096501D">
      <w:pPr>
        <w:numPr>
          <w:ilvl w:val="0"/>
          <w:numId w:val="52"/>
        </w:numPr>
        <w:tabs>
          <w:tab w:val="left" w:pos="993"/>
        </w:tabs>
        <w:spacing w:after="0" w:line="240" w:lineRule="auto"/>
        <w:ind w:left="0" w:firstLine="709"/>
        <w:jc w:val="both"/>
        <w:rPr>
          <w:rFonts w:ascii="Times New Roman" w:hAnsi="Times New Roman"/>
          <w:sz w:val="26"/>
          <w:szCs w:val="26"/>
          <w:lang w:eastAsia="ru-RU"/>
        </w:rPr>
      </w:pPr>
      <w:r w:rsidRPr="0096501D">
        <w:rPr>
          <w:rFonts w:ascii="Times New Roman" w:hAnsi="Times New Roman"/>
          <w:sz w:val="26"/>
          <w:szCs w:val="26"/>
          <w:lang w:eastAsia="ru-RU"/>
        </w:rPr>
        <w:t xml:space="preserve">развитие территории в связи с природными условиями будет сопряжено с необходимостью значительных финансовых вложений. </w:t>
      </w:r>
    </w:p>
    <w:p w:rsidR="004616EA" w:rsidRPr="0096501D" w:rsidRDefault="004616EA" w:rsidP="0096501D">
      <w:pPr>
        <w:pStyle w:val="3"/>
        <w:spacing w:line="240" w:lineRule="auto"/>
        <w:ind w:firstLine="709"/>
        <w:rPr>
          <w:sz w:val="26"/>
        </w:rPr>
      </w:pPr>
      <w:bookmarkStart w:id="74" w:name="_Toc387238998"/>
      <w:bookmarkStart w:id="75" w:name="_Toc405805500"/>
      <w:r w:rsidRPr="0096501D">
        <w:rPr>
          <w:sz w:val="26"/>
        </w:rPr>
        <w:lastRenderedPageBreak/>
        <w:t>2.9 Муниципальные финансы и межбюджетные отношения</w:t>
      </w:r>
      <w:bookmarkEnd w:id="74"/>
      <w:bookmarkEnd w:id="75"/>
      <w:r w:rsidRPr="0096501D">
        <w:rPr>
          <w:sz w:val="26"/>
        </w:rPr>
        <w:t xml:space="preserve"> </w:t>
      </w:r>
    </w:p>
    <w:p w:rsidR="004616EA" w:rsidRPr="0096501D" w:rsidRDefault="004616EA" w:rsidP="0096501D">
      <w:pPr>
        <w:spacing w:after="0" w:line="240" w:lineRule="auto"/>
        <w:ind w:firstLine="709"/>
        <w:jc w:val="both"/>
        <w:rPr>
          <w:rFonts w:ascii="Times New Roman" w:hAnsi="Times New Roman"/>
          <w:sz w:val="26"/>
          <w:szCs w:val="26"/>
          <w:lang w:eastAsia="ru-RU"/>
        </w:rPr>
      </w:pPr>
      <w:r w:rsidRPr="0096501D">
        <w:rPr>
          <w:rFonts w:ascii="Times New Roman" w:hAnsi="Times New Roman"/>
          <w:sz w:val="26"/>
          <w:szCs w:val="26"/>
          <w:lang w:eastAsia="ru-RU"/>
        </w:rPr>
        <w:t xml:space="preserve">Согласно Стратегии социально-экономического развития Ханты-Мансийского автономного округа – Югры до 2020 года ключевыми целями развития всего автономного округа в целом и каждого муниципального образования в частности являются: </w:t>
      </w:r>
    </w:p>
    <w:p w:rsidR="004616EA" w:rsidRPr="0096501D" w:rsidRDefault="004616EA" w:rsidP="0096501D">
      <w:pPr>
        <w:pStyle w:val="a7"/>
        <w:numPr>
          <w:ilvl w:val="0"/>
          <w:numId w:val="82"/>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lastRenderedPageBreak/>
        <w:t xml:space="preserve">развитие человеческого капитала округа; </w:t>
      </w:r>
    </w:p>
    <w:p w:rsidR="004616EA" w:rsidRPr="0096501D" w:rsidRDefault="004616EA" w:rsidP="0096501D">
      <w:pPr>
        <w:pStyle w:val="a7"/>
        <w:numPr>
          <w:ilvl w:val="0"/>
          <w:numId w:val="82"/>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повышение социального благосостояния и качества жизни граждан Югры, создание условий для устойчивого развития и модернизации экономики региона. </w:t>
      </w:r>
    </w:p>
    <w:p w:rsidR="004616EA" w:rsidRPr="0096501D" w:rsidRDefault="004616EA" w:rsidP="0096501D">
      <w:pPr>
        <w:spacing w:after="0" w:line="240" w:lineRule="auto"/>
        <w:ind w:firstLine="709"/>
        <w:jc w:val="both"/>
        <w:rPr>
          <w:rFonts w:ascii="Times New Roman" w:hAnsi="Times New Roman"/>
          <w:sz w:val="26"/>
          <w:szCs w:val="26"/>
          <w:lang w:eastAsia="ru-RU"/>
        </w:rPr>
      </w:pPr>
      <w:r w:rsidRPr="0096501D">
        <w:rPr>
          <w:rFonts w:ascii="Times New Roman" w:hAnsi="Times New Roman"/>
          <w:sz w:val="26"/>
          <w:szCs w:val="26"/>
          <w:lang w:eastAsia="ru-RU"/>
        </w:rPr>
        <w:lastRenderedPageBreak/>
        <w:t xml:space="preserve">Указанные цели бюджетной политики должны быть достигнуты с помощью решения следующих задач: </w:t>
      </w:r>
    </w:p>
    <w:p w:rsidR="004616EA" w:rsidRPr="0096501D" w:rsidRDefault="004616EA" w:rsidP="0096501D">
      <w:pPr>
        <w:pStyle w:val="a7"/>
        <w:numPr>
          <w:ilvl w:val="0"/>
          <w:numId w:val="82"/>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укрепление макроэкономической стабильности и обеспечение бюджетной устойчивости; </w:t>
      </w:r>
    </w:p>
    <w:p w:rsidR="004616EA" w:rsidRPr="0096501D" w:rsidRDefault="004616EA" w:rsidP="0096501D">
      <w:pPr>
        <w:pStyle w:val="a7"/>
        <w:numPr>
          <w:ilvl w:val="0"/>
          <w:numId w:val="82"/>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обеспечение долгосрочной сбалансированности бюджетной системы </w:t>
      </w:r>
      <w:r w:rsidRPr="0096501D">
        <w:rPr>
          <w:rFonts w:ascii="Times New Roman" w:hAnsi="Times New Roman"/>
          <w:sz w:val="26"/>
          <w:szCs w:val="26"/>
        </w:rPr>
        <w:lastRenderedPageBreak/>
        <w:t xml:space="preserve">путем внедрения долгосрочного стратегического планирования; </w:t>
      </w:r>
    </w:p>
    <w:p w:rsidR="004616EA" w:rsidRPr="0096501D" w:rsidRDefault="004616EA" w:rsidP="0096501D">
      <w:pPr>
        <w:pStyle w:val="a7"/>
        <w:numPr>
          <w:ilvl w:val="0"/>
          <w:numId w:val="82"/>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обеспечение условий для формирования и исполнения бюджета в программном формате; </w:t>
      </w:r>
    </w:p>
    <w:p w:rsidR="004616EA" w:rsidRPr="0096501D" w:rsidRDefault="004616EA" w:rsidP="0096501D">
      <w:pPr>
        <w:pStyle w:val="a7"/>
        <w:numPr>
          <w:ilvl w:val="0"/>
          <w:numId w:val="82"/>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повышение эффективности бюджетных расходов, в том числе за счет улучшения качества оказания государственных и муниципальных услуг; </w:t>
      </w:r>
    </w:p>
    <w:p w:rsidR="004616EA" w:rsidRPr="0096501D" w:rsidRDefault="004616EA" w:rsidP="0096501D">
      <w:pPr>
        <w:pStyle w:val="a7"/>
        <w:numPr>
          <w:ilvl w:val="0"/>
          <w:numId w:val="82"/>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lastRenderedPageBreak/>
        <w:t>обеспечение прозрачности и открытости бюджетного процесса.</w:t>
      </w:r>
    </w:p>
    <w:p w:rsidR="004616EA" w:rsidRPr="0096501D" w:rsidRDefault="004616EA" w:rsidP="0096501D">
      <w:pPr>
        <w:spacing w:after="0" w:line="240" w:lineRule="auto"/>
        <w:ind w:firstLine="709"/>
        <w:jc w:val="both"/>
        <w:rPr>
          <w:rFonts w:ascii="Times New Roman" w:hAnsi="Times New Roman"/>
          <w:sz w:val="26"/>
          <w:szCs w:val="26"/>
          <w:lang w:eastAsia="ru-RU"/>
        </w:rPr>
      </w:pPr>
      <w:r w:rsidRPr="0096501D">
        <w:rPr>
          <w:rFonts w:ascii="Times New Roman" w:hAnsi="Times New Roman"/>
          <w:sz w:val="26"/>
          <w:szCs w:val="26"/>
          <w:lang w:eastAsia="ru-RU"/>
        </w:rPr>
        <w:t xml:space="preserve">Задачами бюджетной политики города Когалыма являются: </w:t>
      </w:r>
    </w:p>
    <w:p w:rsidR="004616EA" w:rsidRPr="0096501D" w:rsidRDefault="004616EA" w:rsidP="0096501D">
      <w:pPr>
        <w:pStyle w:val="a7"/>
        <w:numPr>
          <w:ilvl w:val="0"/>
          <w:numId w:val="83"/>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сохранение и развитие налогового потенциала; </w:t>
      </w:r>
    </w:p>
    <w:p w:rsidR="004616EA" w:rsidRPr="0096501D" w:rsidRDefault="004616EA" w:rsidP="0096501D">
      <w:pPr>
        <w:pStyle w:val="a7"/>
        <w:numPr>
          <w:ilvl w:val="0"/>
          <w:numId w:val="83"/>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обеспечение сбалансированности бюджета, снижение бюджетного дефицита; </w:t>
      </w:r>
    </w:p>
    <w:p w:rsidR="004616EA" w:rsidRPr="0096501D" w:rsidRDefault="004616EA" w:rsidP="0096501D">
      <w:pPr>
        <w:pStyle w:val="a7"/>
        <w:numPr>
          <w:ilvl w:val="0"/>
          <w:numId w:val="83"/>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lastRenderedPageBreak/>
        <w:t xml:space="preserve">дальнейшее внедрение программно-целевого метода планирования бюджета города; </w:t>
      </w:r>
    </w:p>
    <w:p w:rsidR="004616EA" w:rsidRPr="0096501D" w:rsidRDefault="004616EA" w:rsidP="0096501D">
      <w:pPr>
        <w:pStyle w:val="a7"/>
        <w:numPr>
          <w:ilvl w:val="0"/>
          <w:numId w:val="83"/>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оптимизация расходов и кардинальное повышение их эффективности; </w:t>
      </w:r>
    </w:p>
    <w:p w:rsidR="004616EA" w:rsidRPr="0096501D" w:rsidRDefault="004616EA" w:rsidP="0096501D">
      <w:pPr>
        <w:pStyle w:val="a7"/>
        <w:numPr>
          <w:ilvl w:val="0"/>
          <w:numId w:val="83"/>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проведение мероприятий по совершенствованию правового положения муниципальных учреждений; </w:t>
      </w:r>
    </w:p>
    <w:p w:rsidR="004616EA" w:rsidRPr="0096501D" w:rsidRDefault="004616EA" w:rsidP="0096501D">
      <w:pPr>
        <w:pStyle w:val="a7"/>
        <w:numPr>
          <w:ilvl w:val="0"/>
          <w:numId w:val="83"/>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lastRenderedPageBreak/>
        <w:t xml:space="preserve">повышение ответственности каждого администратора доходов бюджета города за эффективное прогнозирование, своевременность, правильность и полноту поступления администрируемых им платежей; </w:t>
      </w:r>
    </w:p>
    <w:p w:rsidR="004616EA" w:rsidRPr="0096501D" w:rsidRDefault="004616EA" w:rsidP="0096501D">
      <w:pPr>
        <w:pStyle w:val="a7"/>
        <w:numPr>
          <w:ilvl w:val="0"/>
          <w:numId w:val="83"/>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обеспечение дополнительных поступлений в бюджет города за счет </w:t>
      </w:r>
      <w:r w:rsidRPr="0096501D">
        <w:rPr>
          <w:rFonts w:ascii="Times New Roman" w:hAnsi="Times New Roman"/>
          <w:sz w:val="26"/>
          <w:szCs w:val="26"/>
        </w:rPr>
        <w:lastRenderedPageBreak/>
        <w:t xml:space="preserve">средств от использования муниципальной собственности, прежде всего путем повышения эффективности управления муниципальными активами; </w:t>
      </w:r>
    </w:p>
    <w:p w:rsidR="004616EA" w:rsidRPr="0096501D" w:rsidRDefault="004616EA" w:rsidP="0096501D">
      <w:pPr>
        <w:pStyle w:val="a7"/>
        <w:numPr>
          <w:ilvl w:val="0"/>
          <w:numId w:val="83"/>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расширение самостоятельности и ответственности главных распорядителей бюджетных средств, укрепление контроля и финансовой дисциплины; </w:t>
      </w:r>
    </w:p>
    <w:p w:rsidR="004616EA" w:rsidRPr="0096501D" w:rsidRDefault="004616EA" w:rsidP="0096501D">
      <w:pPr>
        <w:pStyle w:val="a7"/>
        <w:numPr>
          <w:ilvl w:val="0"/>
          <w:numId w:val="83"/>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lastRenderedPageBreak/>
        <w:t>совершенствование муниципального контроля, который должен состоять не только в фиксации факта выделения и расходования средств, но и в подтверждении достижения эффекта, на который рассчитывали при принятии решений об их выделении. Кон</w:t>
      </w:r>
      <w:r w:rsidRPr="0096501D">
        <w:rPr>
          <w:rFonts w:ascii="Times New Roman" w:hAnsi="Times New Roman"/>
          <w:sz w:val="26"/>
          <w:szCs w:val="26"/>
        </w:rPr>
        <w:lastRenderedPageBreak/>
        <w:t>троль за целевым расходованием бюджетных средств сопровождается анализом достигнутых результатов;</w:t>
      </w:r>
    </w:p>
    <w:p w:rsidR="004616EA" w:rsidRPr="0096501D" w:rsidRDefault="004616EA" w:rsidP="0096501D">
      <w:pPr>
        <w:pStyle w:val="a7"/>
        <w:numPr>
          <w:ilvl w:val="0"/>
          <w:numId w:val="83"/>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обеспечение открытости информации о степени достижения запланированных результатов, предоставляя гражданам возможность оценить деятельность органов местного самоуправления. </w:t>
      </w:r>
    </w:p>
    <w:p w:rsidR="004616EA" w:rsidRPr="0096501D" w:rsidRDefault="004616EA" w:rsidP="0096501D">
      <w:pPr>
        <w:spacing w:after="0" w:line="240" w:lineRule="auto"/>
        <w:ind w:firstLine="709"/>
        <w:jc w:val="both"/>
        <w:rPr>
          <w:rFonts w:ascii="Times New Roman" w:hAnsi="Times New Roman"/>
          <w:sz w:val="26"/>
          <w:szCs w:val="26"/>
          <w:lang w:eastAsia="ru-RU"/>
        </w:rPr>
      </w:pPr>
      <w:r w:rsidRPr="0096501D">
        <w:rPr>
          <w:rFonts w:ascii="Times New Roman" w:hAnsi="Times New Roman"/>
          <w:sz w:val="26"/>
          <w:szCs w:val="26"/>
          <w:lang w:eastAsia="ru-RU"/>
        </w:rPr>
        <w:lastRenderedPageBreak/>
        <w:t>Для успешной реализации поставленных задач необходимо выделить ключевые сильные и слабые стороны, а также указать на потенциальные возможности и угрозы, с которыми может столкнуться администрация муниципального образования при реализации поставленных задач.</w:t>
      </w:r>
    </w:p>
    <w:p w:rsidR="004616EA" w:rsidRPr="0096501D" w:rsidRDefault="004616EA" w:rsidP="0096501D">
      <w:pPr>
        <w:pStyle w:val="210"/>
        <w:spacing w:line="240" w:lineRule="auto"/>
        <w:jc w:val="both"/>
        <w:rPr>
          <w:b/>
          <w:i w:val="0"/>
          <w:color w:val="auto"/>
          <w:sz w:val="26"/>
          <w:szCs w:val="26"/>
        </w:rPr>
      </w:pPr>
      <w:r w:rsidRPr="0096501D">
        <w:rPr>
          <w:b/>
          <w:i w:val="0"/>
          <w:color w:val="auto"/>
          <w:sz w:val="26"/>
          <w:szCs w:val="26"/>
        </w:rPr>
        <w:t>Сильные стороны</w:t>
      </w:r>
    </w:p>
    <w:p w:rsidR="004616EA" w:rsidRPr="0096501D" w:rsidRDefault="004616EA" w:rsidP="0096501D">
      <w:pPr>
        <w:pStyle w:val="210"/>
        <w:numPr>
          <w:ilvl w:val="0"/>
          <w:numId w:val="54"/>
        </w:numPr>
        <w:tabs>
          <w:tab w:val="left" w:pos="0"/>
        </w:tabs>
        <w:spacing w:line="240" w:lineRule="auto"/>
        <w:ind w:left="0" w:firstLine="709"/>
        <w:jc w:val="both"/>
        <w:rPr>
          <w:color w:val="auto"/>
          <w:sz w:val="26"/>
          <w:szCs w:val="26"/>
        </w:rPr>
      </w:pPr>
      <w:r w:rsidRPr="0096501D">
        <w:rPr>
          <w:color w:val="auto"/>
          <w:sz w:val="26"/>
          <w:szCs w:val="26"/>
        </w:rPr>
        <w:lastRenderedPageBreak/>
        <w:t>Стабильность доходов бюджета города Когалыма</w:t>
      </w:r>
    </w:p>
    <w:p w:rsidR="004616EA" w:rsidRPr="0096501D" w:rsidRDefault="004616EA" w:rsidP="0096501D">
      <w:pPr>
        <w:spacing w:after="0" w:line="240" w:lineRule="auto"/>
        <w:ind w:firstLine="709"/>
        <w:jc w:val="both"/>
        <w:rPr>
          <w:rFonts w:ascii="Times New Roman" w:hAnsi="Times New Roman"/>
          <w:iCs/>
          <w:sz w:val="26"/>
          <w:szCs w:val="26"/>
          <w:lang w:eastAsia="ar-SA"/>
        </w:rPr>
      </w:pPr>
      <w:r w:rsidRPr="0096501D">
        <w:rPr>
          <w:rFonts w:ascii="Times New Roman" w:hAnsi="Times New Roman"/>
          <w:iCs/>
          <w:sz w:val="26"/>
          <w:szCs w:val="26"/>
          <w:lang w:eastAsia="ar-SA"/>
        </w:rPr>
        <w:t xml:space="preserve">Изменения в бюджетном законодательстве, мировой финансовый кризис, изменения конъюнктуры внутрироссийского и межнационального рынков негативным образом отражаются на развитии всех муниципальных </w:t>
      </w:r>
      <w:r w:rsidRPr="0096501D">
        <w:rPr>
          <w:rFonts w:ascii="Times New Roman" w:hAnsi="Times New Roman"/>
          <w:iCs/>
          <w:sz w:val="26"/>
          <w:szCs w:val="26"/>
          <w:lang w:eastAsia="ar-SA"/>
        </w:rPr>
        <w:lastRenderedPageBreak/>
        <w:t xml:space="preserve">образований. Сохранение наполняемости казны является залогом стабильного социально-экономического развития. </w:t>
      </w:r>
    </w:p>
    <w:p w:rsidR="004616EA" w:rsidRPr="0096501D" w:rsidRDefault="004616EA" w:rsidP="0096501D">
      <w:pPr>
        <w:spacing w:after="0" w:line="240" w:lineRule="auto"/>
        <w:ind w:firstLine="709"/>
        <w:jc w:val="both"/>
        <w:rPr>
          <w:rFonts w:ascii="Times New Roman" w:hAnsi="Times New Roman"/>
          <w:iCs/>
          <w:sz w:val="26"/>
          <w:szCs w:val="26"/>
          <w:lang w:eastAsia="ar-SA"/>
        </w:rPr>
      </w:pPr>
      <w:r w:rsidRPr="0096501D">
        <w:rPr>
          <w:rFonts w:ascii="Times New Roman" w:hAnsi="Times New Roman"/>
          <w:iCs/>
          <w:sz w:val="26"/>
          <w:szCs w:val="26"/>
          <w:lang w:eastAsia="ar-SA"/>
        </w:rPr>
        <w:t xml:space="preserve">За анализируемый период с 2007 по 2013 год доходная часть бюджета города Когалыма характеризуется положительной динамикой и ежегодным </w:t>
      </w:r>
      <w:r w:rsidRPr="0096501D">
        <w:rPr>
          <w:rFonts w:ascii="Times New Roman" w:hAnsi="Times New Roman"/>
          <w:iCs/>
          <w:sz w:val="26"/>
          <w:szCs w:val="26"/>
          <w:lang w:eastAsia="ar-SA"/>
        </w:rPr>
        <w:lastRenderedPageBreak/>
        <w:t>увеличением сумм поступлений (</w:t>
      </w:r>
      <w:r w:rsidR="001977F4">
        <w:fldChar w:fldCharType="begin"/>
      </w:r>
      <w:r w:rsidR="001977F4">
        <w:instrText xml:space="preserve"> REF _Ref394655269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20</w:t>
      </w:r>
      <w:r w:rsidR="001977F4">
        <w:fldChar w:fldCharType="end"/>
      </w:r>
      <w:r w:rsidRPr="0096501D">
        <w:rPr>
          <w:rFonts w:ascii="Times New Roman" w:hAnsi="Times New Roman"/>
          <w:iCs/>
          <w:sz w:val="26"/>
          <w:szCs w:val="26"/>
          <w:lang w:eastAsia="ar-SA"/>
        </w:rPr>
        <w:t xml:space="preserve">). </w:t>
      </w:r>
    </w:p>
    <w:p w:rsidR="004616EA" w:rsidRPr="00475E67" w:rsidRDefault="004616EA" w:rsidP="00283041">
      <w:pPr>
        <w:spacing w:after="0"/>
        <w:ind w:firstLine="709"/>
        <w:jc w:val="both"/>
        <w:rPr>
          <w:rFonts w:ascii="Times New Roman" w:hAnsi="Times New Roman"/>
          <w:iCs/>
          <w:sz w:val="24"/>
          <w:szCs w:val="24"/>
          <w:lang w:eastAsia="ar-SA"/>
        </w:rPr>
      </w:pPr>
    </w:p>
    <w:p w:rsidR="004616EA" w:rsidRPr="00475E67" w:rsidRDefault="00E70A58" w:rsidP="00283041">
      <w:pPr>
        <w:keepNext/>
        <w:spacing w:after="0"/>
        <w:ind w:firstLine="709"/>
        <w:jc w:val="both"/>
      </w:pPr>
      <w:r>
        <w:rPr>
          <w:rFonts w:ascii="Times New Roman" w:hAnsi="Times New Roman"/>
          <w:noProof/>
          <w:sz w:val="24"/>
          <w:szCs w:val="24"/>
          <w:lang w:eastAsia="ru-RU"/>
        </w:rPr>
        <w:lastRenderedPageBreak/>
        <w:drawing>
          <wp:inline distT="0" distB="0" distL="0" distR="0">
            <wp:extent cx="5128260" cy="275082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128260" cy="2750820"/>
                    </a:xfrm>
                    <a:prstGeom prst="rect">
                      <a:avLst/>
                    </a:prstGeom>
                    <a:noFill/>
                    <a:ln>
                      <a:noFill/>
                    </a:ln>
                  </pic:spPr>
                </pic:pic>
              </a:graphicData>
            </a:graphic>
          </wp:inline>
        </w:drawing>
      </w:r>
    </w:p>
    <w:p w:rsidR="004616EA" w:rsidRPr="00475E67" w:rsidRDefault="004616EA" w:rsidP="00283041">
      <w:pPr>
        <w:pStyle w:val="af1"/>
        <w:jc w:val="center"/>
        <w:rPr>
          <w:rFonts w:ascii="Times New Roman" w:hAnsi="Times New Roman"/>
          <w:b w:val="0"/>
          <w:iCs/>
          <w:color w:val="auto"/>
          <w:sz w:val="36"/>
          <w:szCs w:val="24"/>
          <w:lang w:eastAsia="ar-SA"/>
        </w:rPr>
      </w:pPr>
      <w:bookmarkStart w:id="76" w:name="_Ref394655269"/>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20</w:t>
      </w:r>
      <w:r w:rsidRPr="00475E67">
        <w:rPr>
          <w:rFonts w:ascii="Times New Roman" w:hAnsi="Times New Roman"/>
          <w:b w:val="0"/>
          <w:color w:val="auto"/>
          <w:sz w:val="24"/>
        </w:rPr>
        <w:fldChar w:fldCharType="end"/>
      </w:r>
      <w:bookmarkEnd w:id="76"/>
      <w:r w:rsidRPr="00475E67">
        <w:rPr>
          <w:rFonts w:ascii="Times New Roman" w:hAnsi="Times New Roman"/>
          <w:b w:val="0"/>
          <w:color w:val="auto"/>
          <w:sz w:val="24"/>
        </w:rPr>
        <w:t xml:space="preserve"> - Доходы бюджета городского округа город Когалым, млн рублей</w:t>
      </w:r>
    </w:p>
    <w:p w:rsidR="004616EA" w:rsidRPr="0096501D" w:rsidRDefault="004616EA" w:rsidP="0096501D">
      <w:pPr>
        <w:spacing w:after="0" w:line="240" w:lineRule="auto"/>
        <w:ind w:firstLine="709"/>
        <w:jc w:val="both"/>
        <w:rPr>
          <w:rFonts w:ascii="Times New Roman" w:hAnsi="Times New Roman"/>
          <w:iCs/>
          <w:sz w:val="26"/>
          <w:szCs w:val="26"/>
          <w:lang w:eastAsia="ar-SA"/>
        </w:rPr>
      </w:pPr>
      <w:r w:rsidRPr="0096501D">
        <w:rPr>
          <w:rFonts w:ascii="Times New Roman" w:hAnsi="Times New Roman"/>
          <w:iCs/>
          <w:sz w:val="26"/>
          <w:szCs w:val="26"/>
          <w:lang w:eastAsia="ar-SA"/>
        </w:rPr>
        <w:lastRenderedPageBreak/>
        <w:t xml:space="preserve">По итогам 2013 года в структуре доходов бюджета безвозмездные поступления составляют 54,1%, налоговые доходы – 37,1%, неналоговые доходы – 8,8%. </w:t>
      </w:r>
    </w:p>
    <w:p w:rsidR="004616EA" w:rsidRPr="0096501D" w:rsidRDefault="004616EA" w:rsidP="0096501D">
      <w:pPr>
        <w:spacing w:after="0" w:line="240" w:lineRule="auto"/>
        <w:ind w:firstLine="709"/>
        <w:jc w:val="both"/>
        <w:rPr>
          <w:rFonts w:ascii="Times New Roman" w:hAnsi="Times New Roman"/>
          <w:iCs/>
          <w:sz w:val="26"/>
          <w:szCs w:val="26"/>
          <w:lang w:eastAsia="ar-SA"/>
        </w:rPr>
      </w:pPr>
      <w:r w:rsidRPr="0096501D">
        <w:rPr>
          <w:rFonts w:ascii="Times New Roman" w:hAnsi="Times New Roman"/>
          <w:iCs/>
          <w:sz w:val="26"/>
          <w:szCs w:val="26"/>
          <w:lang w:eastAsia="ar-SA"/>
        </w:rPr>
        <w:t xml:space="preserve">В налоговых доходах наибольшую долю занимают поступления от налога на доходы физических лиц – 84,9% (увеличение на 10,5% к уровню 2012 </w:t>
      </w:r>
      <w:r w:rsidRPr="0096501D">
        <w:rPr>
          <w:rFonts w:ascii="Times New Roman" w:hAnsi="Times New Roman"/>
          <w:iCs/>
          <w:sz w:val="26"/>
          <w:szCs w:val="26"/>
          <w:lang w:eastAsia="ar-SA"/>
        </w:rPr>
        <w:lastRenderedPageBreak/>
        <w:t>года), налоги на совокупный доход составляют 7,4% (увеличение на 7,3% к уровню 2012 года), транспортный налог – 6,5% (уменьшение на 15,3% к уровню 2012 года) (</w:t>
      </w:r>
      <w:r w:rsidR="001977F4">
        <w:fldChar w:fldCharType="begin"/>
      </w:r>
      <w:r w:rsidR="001977F4">
        <w:instrText xml:space="preserve"> REF _Ref397020094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21</w:t>
      </w:r>
      <w:r w:rsidR="001977F4">
        <w:fldChar w:fldCharType="end"/>
      </w:r>
      <w:r w:rsidRPr="0096501D">
        <w:rPr>
          <w:rFonts w:ascii="Times New Roman" w:hAnsi="Times New Roman"/>
          <w:iCs/>
          <w:sz w:val="26"/>
          <w:szCs w:val="26"/>
          <w:lang w:eastAsia="ar-SA"/>
        </w:rPr>
        <w:t xml:space="preserve">). </w:t>
      </w:r>
    </w:p>
    <w:p w:rsidR="004616EA" w:rsidRPr="00475E67" w:rsidRDefault="00E70A58" w:rsidP="0096501D">
      <w:pPr>
        <w:keepNext/>
        <w:spacing w:after="0" w:line="240" w:lineRule="auto"/>
        <w:ind w:firstLine="709"/>
        <w:jc w:val="both"/>
      </w:pPr>
      <w:r>
        <w:rPr>
          <w:rFonts w:ascii="Times New Roman" w:hAnsi="Times New Roman"/>
          <w:noProof/>
          <w:sz w:val="26"/>
          <w:szCs w:val="26"/>
          <w:lang w:eastAsia="ru-RU"/>
        </w:rPr>
        <w:lastRenderedPageBreak/>
        <w:drawing>
          <wp:inline distT="0" distB="0" distL="0" distR="0">
            <wp:extent cx="4572000" cy="2750820"/>
            <wp:effectExtent l="0" t="0" r="0" b="0"/>
            <wp:docPr id="2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72000" cy="2750820"/>
                    </a:xfrm>
                    <a:prstGeom prst="rect">
                      <a:avLst/>
                    </a:prstGeom>
                    <a:noFill/>
                    <a:ln>
                      <a:noFill/>
                    </a:ln>
                  </pic:spPr>
                </pic:pic>
              </a:graphicData>
            </a:graphic>
          </wp:inline>
        </w:drawing>
      </w:r>
    </w:p>
    <w:p w:rsidR="004616EA" w:rsidRPr="00475E67" w:rsidRDefault="004616EA" w:rsidP="00283041">
      <w:pPr>
        <w:pStyle w:val="af1"/>
        <w:jc w:val="center"/>
        <w:rPr>
          <w:rFonts w:ascii="Times New Roman" w:hAnsi="Times New Roman"/>
          <w:b w:val="0"/>
          <w:color w:val="auto"/>
          <w:sz w:val="24"/>
        </w:rPr>
      </w:pPr>
      <w:bookmarkStart w:id="77" w:name="_Ref397020094"/>
      <w:bookmarkStart w:id="78" w:name="_Ref394917423"/>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21</w:t>
      </w:r>
      <w:r w:rsidRPr="00475E67">
        <w:rPr>
          <w:rFonts w:ascii="Times New Roman" w:hAnsi="Times New Roman"/>
          <w:b w:val="0"/>
          <w:color w:val="auto"/>
          <w:sz w:val="24"/>
        </w:rPr>
        <w:fldChar w:fldCharType="end"/>
      </w:r>
      <w:bookmarkEnd w:id="77"/>
      <w:r w:rsidRPr="00475E67">
        <w:rPr>
          <w:rFonts w:ascii="Times New Roman" w:hAnsi="Times New Roman"/>
          <w:b w:val="0"/>
          <w:color w:val="auto"/>
          <w:sz w:val="24"/>
        </w:rPr>
        <w:t xml:space="preserve"> - Динамика налоговых доходов бюджета муниципального образования города Когалыма, тыс. рублей</w:t>
      </w:r>
      <w:bookmarkEnd w:id="78"/>
    </w:p>
    <w:p w:rsidR="004616EA" w:rsidRPr="0096501D" w:rsidRDefault="004616EA" w:rsidP="0096501D">
      <w:pPr>
        <w:spacing w:after="0" w:line="240" w:lineRule="auto"/>
        <w:ind w:firstLine="709"/>
        <w:jc w:val="both"/>
        <w:rPr>
          <w:rFonts w:ascii="Times New Roman" w:hAnsi="Times New Roman"/>
          <w:iCs/>
          <w:sz w:val="26"/>
          <w:szCs w:val="26"/>
          <w:lang w:eastAsia="ar-SA"/>
        </w:rPr>
      </w:pPr>
      <w:r w:rsidRPr="0096501D">
        <w:rPr>
          <w:rFonts w:ascii="Times New Roman" w:hAnsi="Times New Roman"/>
          <w:iCs/>
          <w:sz w:val="26"/>
          <w:szCs w:val="26"/>
          <w:lang w:eastAsia="ar-SA"/>
        </w:rPr>
        <w:lastRenderedPageBreak/>
        <w:t>В структуре неналоговых доходов наибольшую долю занимают доходы от использования имущества – 74,1% (увеличение на 42,8% к уровню 2012 года), доходы от продажи материальных и нематериальных активов – 19,8% (уменьшение на 6,9% к уровню 2012 года) (</w:t>
      </w:r>
      <w:r w:rsidR="001977F4">
        <w:fldChar w:fldCharType="begin"/>
      </w:r>
      <w:r w:rsidR="001977F4">
        <w:instrText xml:space="preserve"> REF _Ref394927899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22</w:t>
      </w:r>
      <w:r w:rsidR="001977F4">
        <w:fldChar w:fldCharType="end"/>
      </w:r>
      <w:r w:rsidRPr="0096501D">
        <w:rPr>
          <w:rFonts w:ascii="Times New Roman" w:hAnsi="Times New Roman"/>
          <w:iCs/>
          <w:sz w:val="26"/>
          <w:szCs w:val="26"/>
          <w:lang w:eastAsia="ar-SA"/>
        </w:rPr>
        <w:t>).</w:t>
      </w:r>
    </w:p>
    <w:p w:rsidR="004616EA" w:rsidRPr="00475E67" w:rsidRDefault="00E70A58" w:rsidP="00283041">
      <w:pPr>
        <w:keepNext/>
        <w:spacing w:after="0"/>
        <w:ind w:firstLine="709"/>
        <w:jc w:val="both"/>
      </w:pPr>
      <w:r>
        <w:rPr>
          <w:rFonts w:ascii="Times New Roman" w:hAnsi="Times New Roman"/>
          <w:noProof/>
          <w:sz w:val="24"/>
          <w:szCs w:val="24"/>
          <w:lang w:eastAsia="ru-RU"/>
        </w:rPr>
        <w:lastRenderedPageBreak/>
        <w:drawing>
          <wp:inline distT="0" distB="0" distL="0" distR="0">
            <wp:extent cx="4709160" cy="3459480"/>
            <wp:effectExtent l="0" t="0" r="0" b="0"/>
            <wp:docPr id="2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09160" cy="3459480"/>
                    </a:xfrm>
                    <a:prstGeom prst="rect">
                      <a:avLst/>
                    </a:prstGeom>
                    <a:noFill/>
                    <a:ln>
                      <a:noFill/>
                    </a:ln>
                  </pic:spPr>
                </pic:pic>
              </a:graphicData>
            </a:graphic>
          </wp:inline>
        </w:drawing>
      </w:r>
    </w:p>
    <w:p w:rsidR="004616EA" w:rsidRPr="00475E67" w:rsidRDefault="004616EA" w:rsidP="00263D7E">
      <w:pPr>
        <w:pStyle w:val="af1"/>
        <w:jc w:val="center"/>
        <w:rPr>
          <w:rFonts w:ascii="Times New Roman" w:hAnsi="Times New Roman"/>
          <w:b w:val="0"/>
          <w:iCs/>
          <w:color w:val="auto"/>
          <w:sz w:val="36"/>
          <w:szCs w:val="24"/>
          <w:lang w:eastAsia="ar-SA"/>
        </w:rPr>
      </w:pPr>
      <w:bookmarkStart w:id="79" w:name="_Ref394927899"/>
      <w:bookmarkStart w:id="80" w:name="_Ref394927892"/>
      <w:r w:rsidRPr="00475E67">
        <w:rPr>
          <w:rFonts w:ascii="Times New Roman" w:hAnsi="Times New Roman"/>
          <w:b w:val="0"/>
          <w:color w:val="auto"/>
          <w:sz w:val="24"/>
        </w:rPr>
        <w:lastRenderedPageBreak/>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22</w:t>
      </w:r>
      <w:r w:rsidRPr="00475E67">
        <w:rPr>
          <w:rFonts w:ascii="Times New Roman" w:hAnsi="Times New Roman"/>
          <w:b w:val="0"/>
          <w:color w:val="auto"/>
          <w:sz w:val="24"/>
        </w:rPr>
        <w:fldChar w:fldCharType="end"/>
      </w:r>
      <w:bookmarkEnd w:id="79"/>
      <w:r w:rsidRPr="00475E67">
        <w:rPr>
          <w:rFonts w:ascii="Times New Roman" w:hAnsi="Times New Roman"/>
          <w:b w:val="0"/>
          <w:color w:val="auto"/>
          <w:sz w:val="24"/>
        </w:rPr>
        <w:t xml:space="preserve"> - Структура неналоговых доходов бюджета муниципального образования города Когалыма, тыс. рублей</w:t>
      </w:r>
      <w:bookmarkEnd w:id="80"/>
    </w:p>
    <w:p w:rsidR="004616EA" w:rsidRPr="0096501D" w:rsidRDefault="004616EA" w:rsidP="0096501D">
      <w:pPr>
        <w:pStyle w:val="210"/>
        <w:numPr>
          <w:ilvl w:val="0"/>
          <w:numId w:val="54"/>
        </w:numPr>
        <w:tabs>
          <w:tab w:val="left" w:pos="0"/>
        </w:tabs>
        <w:spacing w:line="240" w:lineRule="auto"/>
        <w:ind w:left="0" w:firstLine="709"/>
        <w:jc w:val="both"/>
        <w:rPr>
          <w:color w:val="auto"/>
          <w:sz w:val="26"/>
          <w:szCs w:val="26"/>
        </w:rPr>
      </w:pPr>
      <w:r w:rsidRPr="0096501D">
        <w:rPr>
          <w:color w:val="auto"/>
          <w:sz w:val="26"/>
          <w:szCs w:val="26"/>
        </w:rPr>
        <w:t>Высокое качество финансового управления</w:t>
      </w:r>
    </w:p>
    <w:p w:rsidR="004616EA" w:rsidRPr="0096501D" w:rsidRDefault="004616EA" w:rsidP="0096501D">
      <w:pPr>
        <w:spacing w:after="0" w:line="240" w:lineRule="auto"/>
        <w:ind w:firstLine="709"/>
        <w:jc w:val="both"/>
        <w:rPr>
          <w:rFonts w:ascii="Times New Roman" w:hAnsi="Times New Roman"/>
          <w:iCs/>
          <w:sz w:val="26"/>
          <w:szCs w:val="26"/>
          <w:lang w:eastAsia="ar-SA"/>
        </w:rPr>
      </w:pPr>
      <w:r w:rsidRPr="0096501D">
        <w:rPr>
          <w:rFonts w:ascii="Times New Roman" w:hAnsi="Times New Roman"/>
          <w:iCs/>
          <w:sz w:val="26"/>
          <w:szCs w:val="26"/>
          <w:lang w:eastAsia="ar-SA"/>
        </w:rPr>
        <w:t xml:space="preserve">Бюджет города Когалыма исполняется с минимальным уровнем расхождений благодаря грамотной бюджетной политики, нацеленной на высокий </w:t>
      </w:r>
      <w:r w:rsidRPr="0096501D">
        <w:rPr>
          <w:rFonts w:ascii="Times New Roman" w:hAnsi="Times New Roman"/>
          <w:iCs/>
          <w:sz w:val="26"/>
          <w:szCs w:val="26"/>
          <w:lang w:eastAsia="ar-SA"/>
        </w:rPr>
        <w:lastRenderedPageBreak/>
        <w:t>уровень качества организации и осуществления бюджетного процесса, а также высокой эффективности деятельности органов местного самоуправления муниципального образования (</w:t>
      </w:r>
      <w:r w:rsidR="001977F4">
        <w:fldChar w:fldCharType="begin"/>
      </w:r>
      <w:r w:rsidR="001977F4">
        <w:instrText xml:space="preserve"> REF _Ref394662059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23</w:t>
      </w:r>
      <w:r w:rsidR="001977F4">
        <w:fldChar w:fldCharType="end"/>
      </w:r>
      <w:r w:rsidRPr="0096501D">
        <w:rPr>
          <w:rFonts w:ascii="Times New Roman" w:hAnsi="Times New Roman"/>
          <w:iCs/>
          <w:sz w:val="26"/>
          <w:szCs w:val="26"/>
          <w:lang w:eastAsia="ar-SA"/>
        </w:rPr>
        <w:t xml:space="preserve">). </w:t>
      </w:r>
    </w:p>
    <w:p w:rsidR="004616EA" w:rsidRPr="00475E67" w:rsidRDefault="00E70A58" w:rsidP="00283041">
      <w:pPr>
        <w:spacing w:after="0"/>
        <w:ind w:firstLine="709"/>
        <w:jc w:val="both"/>
        <w:rPr>
          <w:rFonts w:ascii="Times New Roman" w:hAnsi="Times New Roman"/>
          <w:iCs/>
          <w:sz w:val="24"/>
          <w:szCs w:val="24"/>
          <w:lang w:eastAsia="ar-SA"/>
        </w:rPr>
      </w:pPr>
      <w:r>
        <w:rPr>
          <w:rFonts w:ascii="Times New Roman" w:hAnsi="Times New Roman"/>
          <w:noProof/>
          <w:sz w:val="24"/>
          <w:szCs w:val="24"/>
          <w:lang w:eastAsia="ru-RU"/>
        </w:rPr>
        <w:lastRenderedPageBreak/>
        <w:drawing>
          <wp:inline distT="0" distB="0" distL="0" distR="0">
            <wp:extent cx="4572000" cy="2743200"/>
            <wp:effectExtent l="0" t="0" r="0" b="0"/>
            <wp:docPr id="2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4616EA" w:rsidRPr="00475E67" w:rsidRDefault="004616EA" w:rsidP="00283041">
      <w:pPr>
        <w:spacing w:after="0"/>
        <w:ind w:firstLine="709"/>
        <w:jc w:val="both"/>
        <w:rPr>
          <w:rFonts w:ascii="Times New Roman" w:hAnsi="Times New Roman"/>
          <w:iCs/>
          <w:sz w:val="24"/>
          <w:szCs w:val="24"/>
          <w:lang w:eastAsia="ar-SA"/>
        </w:rPr>
      </w:pPr>
    </w:p>
    <w:p w:rsidR="004616EA" w:rsidRPr="0096501D" w:rsidRDefault="004616EA" w:rsidP="0096501D">
      <w:pPr>
        <w:pStyle w:val="af1"/>
        <w:spacing w:after="0"/>
        <w:ind w:firstLine="709"/>
        <w:jc w:val="both"/>
        <w:rPr>
          <w:rFonts w:ascii="Times New Roman" w:hAnsi="Times New Roman"/>
          <w:b w:val="0"/>
          <w:iCs/>
          <w:color w:val="auto"/>
          <w:sz w:val="26"/>
          <w:szCs w:val="26"/>
          <w:lang w:eastAsia="ar-SA"/>
        </w:rPr>
      </w:pPr>
      <w:bookmarkStart w:id="81" w:name="_Ref394662059"/>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23</w:t>
      </w:r>
      <w:r w:rsidRPr="00475E67">
        <w:rPr>
          <w:rFonts w:ascii="Times New Roman" w:hAnsi="Times New Roman"/>
          <w:b w:val="0"/>
          <w:color w:val="auto"/>
          <w:sz w:val="24"/>
        </w:rPr>
        <w:fldChar w:fldCharType="end"/>
      </w:r>
      <w:bookmarkEnd w:id="81"/>
      <w:r w:rsidRPr="00475E67">
        <w:rPr>
          <w:rFonts w:ascii="Times New Roman" w:hAnsi="Times New Roman"/>
          <w:b w:val="0"/>
          <w:color w:val="auto"/>
          <w:sz w:val="24"/>
        </w:rPr>
        <w:t xml:space="preserve"> - Дефицит и профицит бюджета города Когалыма, млн рублей</w:t>
      </w:r>
    </w:p>
    <w:p w:rsidR="004616EA" w:rsidRPr="0096501D" w:rsidRDefault="004616EA" w:rsidP="0096501D">
      <w:pPr>
        <w:spacing w:after="0" w:line="240" w:lineRule="auto"/>
        <w:ind w:firstLine="709"/>
        <w:jc w:val="both"/>
        <w:rPr>
          <w:rFonts w:ascii="Times New Roman" w:hAnsi="Times New Roman"/>
          <w:iCs/>
          <w:sz w:val="26"/>
          <w:szCs w:val="26"/>
          <w:lang w:eastAsia="ar-SA"/>
        </w:rPr>
      </w:pPr>
    </w:p>
    <w:p w:rsidR="004616EA" w:rsidRPr="0096501D" w:rsidRDefault="004616EA" w:rsidP="0096501D">
      <w:pPr>
        <w:spacing w:after="0" w:line="240" w:lineRule="auto"/>
        <w:ind w:firstLine="709"/>
        <w:jc w:val="both"/>
        <w:rPr>
          <w:rFonts w:ascii="Times New Roman" w:hAnsi="Times New Roman"/>
          <w:iCs/>
          <w:sz w:val="26"/>
          <w:szCs w:val="26"/>
          <w:lang w:eastAsia="ar-SA"/>
        </w:rPr>
      </w:pPr>
      <w:r w:rsidRPr="0096501D">
        <w:rPr>
          <w:rFonts w:ascii="Times New Roman" w:hAnsi="Times New Roman"/>
          <w:iCs/>
          <w:sz w:val="26"/>
          <w:szCs w:val="26"/>
          <w:lang w:eastAsia="ar-SA"/>
        </w:rPr>
        <w:lastRenderedPageBreak/>
        <w:t>Так в соответствии со сводной оценкой качества организации и осуществления бюджетного процесса в муниципальных образованиях автономного округа по итогам 2013 года рейтинг города Когалыма находится на уровне выше среднего (</w:t>
      </w:r>
      <w:r w:rsidR="001977F4">
        <w:fldChar w:fldCharType="begin"/>
      </w:r>
      <w:r w:rsidR="001977F4">
        <w:instrText xml:space="preserve"> REF _Ref394667852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24</w:t>
      </w:r>
      <w:r w:rsidR="001977F4">
        <w:fldChar w:fldCharType="end"/>
      </w:r>
      <w:r w:rsidRPr="0096501D">
        <w:rPr>
          <w:rFonts w:ascii="Times New Roman" w:hAnsi="Times New Roman"/>
          <w:iCs/>
          <w:sz w:val="26"/>
          <w:szCs w:val="26"/>
          <w:lang w:eastAsia="ar-SA"/>
        </w:rPr>
        <w:t xml:space="preserve">). </w:t>
      </w:r>
    </w:p>
    <w:p w:rsidR="004616EA" w:rsidRPr="00475E67" w:rsidRDefault="00E70A58" w:rsidP="00283041">
      <w:pPr>
        <w:keepNext/>
        <w:spacing w:after="0"/>
        <w:ind w:firstLine="709"/>
        <w:jc w:val="both"/>
      </w:pPr>
      <w:r>
        <w:rPr>
          <w:rFonts w:ascii="Times New Roman" w:hAnsi="Times New Roman"/>
          <w:noProof/>
          <w:sz w:val="24"/>
          <w:szCs w:val="24"/>
          <w:lang w:eastAsia="ru-RU"/>
        </w:rPr>
        <w:lastRenderedPageBreak/>
        <w:drawing>
          <wp:inline distT="0" distB="0" distL="0" distR="0">
            <wp:extent cx="4488180" cy="2804160"/>
            <wp:effectExtent l="0" t="0" r="7620" b="0"/>
            <wp:docPr id="2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88180" cy="2804160"/>
                    </a:xfrm>
                    <a:prstGeom prst="rect">
                      <a:avLst/>
                    </a:prstGeom>
                    <a:noFill/>
                    <a:ln>
                      <a:noFill/>
                    </a:ln>
                  </pic:spPr>
                </pic:pic>
              </a:graphicData>
            </a:graphic>
          </wp:inline>
        </w:drawing>
      </w:r>
    </w:p>
    <w:p w:rsidR="004616EA" w:rsidRPr="00475E67" w:rsidRDefault="004616EA" w:rsidP="00283041">
      <w:pPr>
        <w:pStyle w:val="af1"/>
        <w:jc w:val="center"/>
        <w:rPr>
          <w:rFonts w:ascii="Times New Roman" w:hAnsi="Times New Roman"/>
          <w:b w:val="0"/>
          <w:iCs/>
          <w:color w:val="auto"/>
          <w:sz w:val="24"/>
          <w:szCs w:val="24"/>
          <w:lang w:eastAsia="ar-SA"/>
        </w:rPr>
      </w:pPr>
      <w:bookmarkStart w:id="82" w:name="_Ref394667852"/>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24</w:t>
      </w:r>
      <w:r w:rsidRPr="00475E67">
        <w:rPr>
          <w:rFonts w:ascii="Times New Roman" w:hAnsi="Times New Roman"/>
          <w:b w:val="0"/>
          <w:color w:val="auto"/>
          <w:sz w:val="24"/>
        </w:rPr>
        <w:fldChar w:fldCharType="end"/>
      </w:r>
      <w:bookmarkEnd w:id="82"/>
      <w:r w:rsidRPr="00475E67">
        <w:rPr>
          <w:rFonts w:ascii="Times New Roman" w:hAnsi="Times New Roman"/>
          <w:b w:val="0"/>
          <w:color w:val="auto"/>
          <w:sz w:val="24"/>
        </w:rPr>
        <w:t xml:space="preserve"> - Рейтинг муниципальных образований автономного округа</w:t>
      </w:r>
    </w:p>
    <w:p w:rsidR="004616EA" w:rsidRPr="0096501D" w:rsidRDefault="004616EA" w:rsidP="0096501D">
      <w:pPr>
        <w:pStyle w:val="210"/>
        <w:numPr>
          <w:ilvl w:val="0"/>
          <w:numId w:val="54"/>
        </w:numPr>
        <w:tabs>
          <w:tab w:val="left" w:pos="0"/>
        </w:tabs>
        <w:spacing w:line="240" w:lineRule="auto"/>
        <w:ind w:left="0" w:firstLine="709"/>
        <w:jc w:val="both"/>
        <w:rPr>
          <w:color w:val="auto"/>
          <w:sz w:val="26"/>
          <w:szCs w:val="26"/>
        </w:rPr>
      </w:pPr>
      <w:r w:rsidRPr="0096501D">
        <w:rPr>
          <w:color w:val="auto"/>
          <w:sz w:val="26"/>
          <w:szCs w:val="26"/>
        </w:rPr>
        <w:lastRenderedPageBreak/>
        <w:t>Социальная направленность бюджета муниципального бюджета</w:t>
      </w:r>
    </w:p>
    <w:p w:rsidR="004616EA" w:rsidRPr="0096501D" w:rsidRDefault="004616EA" w:rsidP="0096501D">
      <w:pPr>
        <w:pStyle w:val="210"/>
        <w:tabs>
          <w:tab w:val="left" w:pos="1134"/>
        </w:tabs>
        <w:spacing w:line="240" w:lineRule="auto"/>
        <w:jc w:val="both"/>
        <w:rPr>
          <w:i w:val="0"/>
          <w:color w:val="auto"/>
          <w:sz w:val="26"/>
          <w:szCs w:val="26"/>
        </w:rPr>
      </w:pPr>
      <w:r w:rsidRPr="0096501D">
        <w:rPr>
          <w:i w:val="0"/>
          <w:color w:val="auto"/>
          <w:sz w:val="26"/>
          <w:szCs w:val="26"/>
        </w:rPr>
        <w:t xml:space="preserve">Значительная часть расходов бюджета муниципального образования направлена на финансирование отрасли образования (в 2013 году – 38,6%) и жилищно-коммунального хозяйства (в 2013 году – 15,9%). Также </w:t>
      </w:r>
      <w:r w:rsidRPr="0096501D">
        <w:rPr>
          <w:i w:val="0"/>
          <w:color w:val="auto"/>
          <w:sz w:val="26"/>
          <w:szCs w:val="26"/>
        </w:rPr>
        <w:lastRenderedPageBreak/>
        <w:t>на проведение мероприятий по реализации социальной политики муниципалитетом тратится 3,9% располагаемых финансовых ресурсов (</w:t>
      </w:r>
      <w:r w:rsidR="001977F4">
        <w:fldChar w:fldCharType="begin"/>
      </w:r>
      <w:r w:rsidR="001977F4">
        <w:instrText xml:space="preserve"> REF _Ref394909263 \h  \* MERGEFORMAT </w:instrText>
      </w:r>
      <w:r w:rsidR="001977F4">
        <w:fldChar w:fldCharType="separate"/>
      </w:r>
      <w:r w:rsidR="001977F4" w:rsidRPr="001977F4">
        <w:rPr>
          <w:i w:val="0"/>
          <w:color w:val="auto"/>
          <w:sz w:val="26"/>
          <w:szCs w:val="26"/>
        </w:rPr>
        <w:t xml:space="preserve">Рисунок </w:t>
      </w:r>
      <w:r w:rsidR="001977F4" w:rsidRPr="001977F4">
        <w:rPr>
          <w:i w:val="0"/>
          <w:noProof/>
          <w:color w:val="auto"/>
          <w:sz w:val="26"/>
          <w:szCs w:val="26"/>
        </w:rPr>
        <w:t>25</w:t>
      </w:r>
      <w:r w:rsidR="001977F4">
        <w:fldChar w:fldCharType="end"/>
      </w:r>
      <w:r w:rsidRPr="0096501D">
        <w:rPr>
          <w:i w:val="0"/>
          <w:color w:val="auto"/>
          <w:sz w:val="26"/>
          <w:szCs w:val="26"/>
        </w:rPr>
        <w:t>).</w:t>
      </w:r>
    </w:p>
    <w:p w:rsidR="004616EA" w:rsidRPr="00475E67" w:rsidRDefault="004616EA" w:rsidP="00283041">
      <w:pPr>
        <w:pStyle w:val="210"/>
        <w:tabs>
          <w:tab w:val="left" w:pos="1134"/>
        </w:tabs>
        <w:jc w:val="both"/>
        <w:rPr>
          <w:i w:val="0"/>
          <w:color w:val="auto"/>
        </w:rPr>
      </w:pPr>
    </w:p>
    <w:p w:rsidR="004616EA" w:rsidRPr="00475E67" w:rsidRDefault="00E70A58" w:rsidP="005263D7">
      <w:pPr>
        <w:pStyle w:val="210"/>
        <w:tabs>
          <w:tab w:val="left" w:pos="1134"/>
        </w:tabs>
        <w:jc w:val="both"/>
        <w:rPr>
          <w:i w:val="0"/>
          <w:color w:val="auto"/>
        </w:rPr>
      </w:pPr>
      <w:r>
        <w:rPr>
          <w:noProof/>
          <w:color w:val="auto"/>
          <w:lang w:eastAsia="ru-RU"/>
        </w:rPr>
        <w:lastRenderedPageBreak/>
        <w:drawing>
          <wp:inline distT="0" distB="0" distL="0" distR="0">
            <wp:extent cx="5090160" cy="4655820"/>
            <wp:effectExtent l="0" t="0" r="0" b="0"/>
            <wp:docPr id="25" name="Диаграмма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4616EA" w:rsidRDefault="004616EA" w:rsidP="0096501D">
      <w:pPr>
        <w:pStyle w:val="af1"/>
        <w:spacing w:after="0"/>
        <w:ind w:firstLine="709"/>
        <w:jc w:val="both"/>
        <w:rPr>
          <w:rFonts w:ascii="Times New Roman" w:hAnsi="Times New Roman"/>
          <w:b w:val="0"/>
          <w:color w:val="auto"/>
          <w:sz w:val="24"/>
        </w:rPr>
      </w:pPr>
      <w:bookmarkStart w:id="83" w:name="_Ref394909263"/>
      <w:r w:rsidRPr="00475E67">
        <w:rPr>
          <w:rFonts w:ascii="Times New Roman" w:hAnsi="Times New Roman"/>
          <w:b w:val="0"/>
          <w:color w:val="auto"/>
          <w:sz w:val="24"/>
        </w:rPr>
        <w:lastRenderedPageBreak/>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25</w:t>
      </w:r>
      <w:r w:rsidRPr="00475E67">
        <w:rPr>
          <w:rFonts w:ascii="Times New Roman" w:hAnsi="Times New Roman"/>
          <w:b w:val="0"/>
          <w:color w:val="auto"/>
          <w:sz w:val="24"/>
        </w:rPr>
        <w:fldChar w:fldCharType="end"/>
      </w:r>
      <w:bookmarkEnd w:id="83"/>
      <w:r w:rsidRPr="00475E67">
        <w:rPr>
          <w:rFonts w:ascii="Times New Roman" w:hAnsi="Times New Roman"/>
          <w:b w:val="0"/>
          <w:color w:val="auto"/>
          <w:sz w:val="24"/>
        </w:rPr>
        <w:t xml:space="preserve"> - Структура расходов бюджета муниципального образования города Когалыма в 2013 году, %</w:t>
      </w:r>
    </w:p>
    <w:p w:rsidR="004616EA" w:rsidRPr="0096501D" w:rsidRDefault="004616EA" w:rsidP="0096501D">
      <w:pPr>
        <w:rPr>
          <w:lang w:eastAsia="ru-RU"/>
        </w:rPr>
      </w:pPr>
    </w:p>
    <w:p w:rsidR="004616EA" w:rsidRPr="0096501D" w:rsidRDefault="004616EA" w:rsidP="0096501D">
      <w:pPr>
        <w:pStyle w:val="210"/>
        <w:tabs>
          <w:tab w:val="left" w:pos="1134"/>
        </w:tabs>
        <w:spacing w:line="240" w:lineRule="auto"/>
        <w:jc w:val="both"/>
        <w:rPr>
          <w:i w:val="0"/>
          <w:color w:val="auto"/>
          <w:sz w:val="26"/>
          <w:szCs w:val="26"/>
        </w:rPr>
      </w:pPr>
      <w:r w:rsidRPr="0096501D">
        <w:rPr>
          <w:i w:val="0"/>
          <w:color w:val="auto"/>
          <w:sz w:val="26"/>
          <w:szCs w:val="26"/>
        </w:rPr>
        <w:t xml:space="preserve">В части функционирования отрасли образования в первоочередном порядке производится финансирование расходов, связанных с выплатой заработной платы, предоставлением мер </w:t>
      </w:r>
      <w:r w:rsidRPr="0096501D">
        <w:rPr>
          <w:i w:val="0"/>
          <w:color w:val="auto"/>
          <w:sz w:val="26"/>
          <w:szCs w:val="26"/>
        </w:rPr>
        <w:lastRenderedPageBreak/>
        <w:t>социальной поддержки отдельным категориям граждан в соответствии с федеральным и окружным законодательством, расходов на питание детей в общеобразовательных и дошкольных учреждениях, оплата бюджетными учреждениями коммунальных услуг.</w:t>
      </w:r>
    </w:p>
    <w:p w:rsidR="004616EA" w:rsidRPr="0096501D" w:rsidRDefault="004616EA" w:rsidP="0096501D">
      <w:pPr>
        <w:pStyle w:val="210"/>
        <w:tabs>
          <w:tab w:val="left" w:pos="1134"/>
        </w:tabs>
        <w:spacing w:line="240" w:lineRule="auto"/>
        <w:jc w:val="both"/>
        <w:rPr>
          <w:i w:val="0"/>
          <w:color w:val="auto"/>
          <w:sz w:val="26"/>
          <w:szCs w:val="26"/>
        </w:rPr>
      </w:pPr>
      <w:r w:rsidRPr="0096501D">
        <w:rPr>
          <w:i w:val="0"/>
          <w:color w:val="auto"/>
          <w:sz w:val="26"/>
          <w:szCs w:val="26"/>
        </w:rPr>
        <w:lastRenderedPageBreak/>
        <w:t>В перспективе планируется увеличение расходов на образование и сокращение расходов на здравоохранение. Это связано с изменениями, принятыми на федеральном уровне, в соответствии с которыми произошла реорганизация системы здравоохранения и передача полномочий с муниципального на региональный уровень.</w:t>
      </w:r>
    </w:p>
    <w:p w:rsidR="004616EA" w:rsidRPr="0096501D" w:rsidRDefault="004616EA" w:rsidP="0096501D">
      <w:pPr>
        <w:spacing w:after="0" w:line="240" w:lineRule="auto"/>
        <w:ind w:firstLine="709"/>
        <w:jc w:val="both"/>
        <w:rPr>
          <w:rFonts w:ascii="Times New Roman" w:hAnsi="Times New Roman"/>
          <w:b/>
          <w:iCs/>
          <w:sz w:val="26"/>
          <w:szCs w:val="26"/>
          <w:lang w:eastAsia="ar-SA"/>
        </w:rPr>
      </w:pPr>
      <w:r w:rsidRPr="0096501D">
        <w:rPr>
          <w:rFonts w:ascii="Times New Roman" w:hAnsi="Times New Roman"/>
          <w:b/>
          <w:iCs/>
          <w:sz w:val="26"/>
          <w:szCs w:val="26"/>
          <w:lang w:eastAsia="ar-SA"/>
        </w:rPr>
        <w:lastRenderedPageBreak/>
        <w:t>Слабые стороны</w:t>
      </w:r>
    </w:p>
    <w:p w:rsidR="004616EA" w:rsidRPr="0096501D" w:rsidRDefault="004616EA" w:rsidP="0096501D">
      <w:pPr>
        <w:numPr>
          <w:ilvl w:val="0"/>
          <w:numId w:val="55"/>
        </w:numPr>
        <w:tabs>
          <w:tab w:val="left" w:pos="0"/>
        </w:tabs>
        <w:spacing w:after="0" w:line="240" w:lineRule="auto"/>
        <w:ind w:left="0" w:firstLine="709"/>
        <w:jc w:val="both"/>
        <w:rPr>
          <w:rFonts w:ascii="Times New Roman" w:hAnsi="Times New Roman"/>
          <w:i/>
          <w:sz w:val="26"/>
          <w:szCs w:val="26"/>
        </w:rPr>
      </w:pPr>
      <w:r w:rsidRPr="0096501D">
        <w:rPr>
          <w:rFonts w:ascii="Times New Roman" w:hAnsi="Times New Roman"/>
          <w:i/>
          <w:sz w:val="26"/>
          <w:szCs w:val="26"/>
        </w:rPr>
        <w:t>Низкий уровень финансовой самостоятельности</w:t>
      </w:r>
    </w:p>
    <w:p w:rsidR="004616EA" w:rsidRPr="0096501D" w:rsidRDefault="004616EA" w:rsidP="0096501D">
      <w:pPr>
        <w:spacing w:after="0" w:line="240" w:lineRule="auto"/>
        <w:ind w:firstLine="709"/>
        <w:jc w:val="both"/>
        <w:rPr>
          <w:rFonts w:ascii="Times New Roman" w:hAnsi="Times New Roman"/>
          <w:sz w:val="26"/>
          <w:szCs w:val="26"/>
        </w:rPr>
      </w:pPr>
      <w:r w:rsidRPr="0096501D">
        <w:rPr>
          <w:rFonts w:ascii="Times New Roman" w:hAnsi="Times New Roman"/>
          <w:sz w:val="26"/>
          <w:szCs w:val="26"/>
        </w:rPr>
        <w:t xml:space="preserve">Доля безвозмездных поступлений в совокупных доходах бюджета города Когалыма составляет 54%, что свидетельствует о финансовой зависимости </w:t>
      </w:r>
      <w:r w:rsidRPr="0096501D">
        <w:rPr>
          <w:rFonts w:ascii="Times New Roman" w:hAnsi="Times New Roman"/>
          <w:sz w:val="26"/>
          <w:szCs w:val="26"/>
        </w:rPr>
        <w:lastRenderedPageBreak/>
        <w:t>муниципалитета от действий вышестоящего регионального уровня (</w:t>
      </w:r>
      <w:r w:rsidR="001977F4">
        <w:fldChar w:fldCharType="begin"/>
      </w:r>
      <w:r w:rsidR="001977F4">
        <w:instrText xml:space="preserve"> REF _Ref394931508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26</w:t>
      </w:r>
      <w:r w:rsidR="001977F4">
        <w:fldChar w:fldCharType="end"/>
      </w:r>
      <w:r w:rsidRPr="0096501D">
        <w:rPr>
          <w:rFonts w:ascii="Times New Roman" w:hAnsi="Times New Roman"/>
          <w:sz w:val="26"/>
          <w:szCs w:val="26"/>
        </w:rPr>
        <w:t xml:space="preserve">). </w:t>
      </w:r>
    </w:p>
    <w:p w:rsidR="004616EA" w:rsidRPr="00475E67" w:rsidRDefault="00E70A58" w:rsidP="00283041">
      <w:pPr>
        <w:keepNext/>
        <w:spacing w:after="0"/>
        <w:ind w:firstLine="709"/>
        <w:contextualSpacing/>
        <w:jc w:val="both"/>
      </w:pPr>
      <w:r>
        <w:rPr>
          <w:rFonts w:ascii="Times New Roman" w:hAnsi="Times New Roman"/>
          <w:noProof/>
          <w:sz w:val="24"/>
          <w:szCs w:val="24"/>
          <w:lang w:eastAsia="ru-RU"/>
        </w:rPr>
        <w:lastRenderedPageBreak/>
        <w:drawing>
          <wp:inline distT="0" distB="0" distL="0" distR="0">
            <wp:extent cx="4572000" cy="2743200"/>
            <wp:effectExtent l="0" t="0" r="0" b="0"/>
            <wp:docPr id="2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4616EA" w:rsidRDefault="004616EA" w:rsidP="0096501D">
      <w:pPr>
        <w:pStyle w:val="af1"/>
        <w:spacing w:after="0"/>
        <w:ind w:firstLine="709"/>
        <w:jc w:val="both"/>
        <w:rPr>
          <w:rFonts w:ascii="Times New Roman" w:hAnsi="Times New Roman"/>
          <w:b w:val="0"/>
          <w:color w:val="auto"/>
          <w:sz w:val="24"/>
        </w:rPr>
      </w:pPr>
      <w:bookmarkStart w:id="84" w:name="_Ref394931508"/>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26</w:t>
      </w:r>
      <w:r w:rsidRPr="00475E67">
        <w:rPr>
          <w:rFonts w:ascii="Times New Roman" w:hAnsi="Times New Roman"/>
          <w:b w:val="0"/>
          <w:color w:val="auto"/>
          <w:sz w:val="24"/>
        </w:rPr>
        <w:fldChar w:fldCharType="end"/>
      </w:r>
      <w:bookmarkEnd w:id="84"/>
      <w:r w:rsidRPr="00475E67">
        <w:rPr>
          <w:rFonts w:ascii="Times New Roman" w:hAnsi="Times New Roman"/>
          <w:b w:val="0"/>
          <w:color w:val="auto"/>
          <w:sz w:val="24"/>
        </w:rPr>
        <w:t xml:space="preserve"> - Структура доходов бюджета города Когалыма, тыс. рублей</w:t>
      </w:r>
    </w:p>
    <w:p w:rsidR="004616EA" w:rsidRPr="0096501D" w:rsidRDefault="004616EA" w:rsidP="0096501D">
      <w:pPr>
        <w:spacing w:after="0" w:line="240" w:lineRule="auto"/>
        <w:ind w:firstLine="709"/>
        <w:jc w:val="both"/>
        <w:rPr>
          <w:sz w:val="26"/>
          <w:szCs w:val="26"/>
          <w:lang w:eastAsia="ru-RU"/>
        </w:rPr>
      </w:pPr>
    </w:p>
    <w:p w:rsidR="004616EA" w:rsidRPr="0096501D" w:rsidRDefault="004616EA" w:rsidP="0096501D">
      <w:pPr>
        <w:spacing w:after="0" w:line="240" w:lineRule="auto"/>
        <w:ind w:firstLine="709"/>
        <w:jc w:val="both"/>
        <w:rPr>
          <w:rFonts w:ascii="Times New Roman" w:hAnsi="Times New Roman"/>
          <w:sz w:val="26"/>
          <w:szCs w:val="26"/>
        </w:rPr>
      </w:pPr>
      <w:r w:rsidRPr="0096501D">
        <w:rPr>
          <w:rFonts w:ascii="Times New Roman" w:hAnsi="Times New Roman"/>
          <w:sz w:val="26"/>
          <w:szCs w:val="26"/>
        </w:rPr>
        <w:lastRenderedPageBreak/>
        <w:t>Большая часть безвозмездных перечислений поступает в городской бюджет в виде субсидий и субвенций (более 75 %) (</w:t>
      </w:r>
      <w:r w:rsidR="001977F4">
        <w:fldChar w:fldCharType="begin"/>
      </w:r>
      <w:r w:rsidR="001977F4">
        <w:instrText xml:space="preserve"> REF _Ref394933663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27</w:t>
      </w:r>
      <w:r w:rsidR="001977F4">
        <w:fldChar w:fldCharType="end"/>
      </w:r>
      <w:r w:rsidRPr="0096501D">
        <w:rPr>
          <w:rFonts w:ascii="Times New Roman" w:hAnsi="Times New Roman"/>
          <w:sz w:val="26"/>
          <w:szCs w:val="26"/>
        </w:rPr>
        <w:t xml:space="preserve">). </w:t>
      </w:r>
    </w:p>
    <w:p w:rsidR="004616EA" w:rsidRPr="00475E67" w:rsidRDefault="00E70A58" w:rsidP="00283041">
      <w:pPr>
        <w:spacing w:after="0"/>
        <w:ind w:firstLine="709"/>
        <w:contextualSpacing/>
        <w:jc w:val="both"/>
      </w:pPr>
      <w:r>
        <w:rPr>
          <w:noProof/>
          <w:lang w:eastAsia="ru-RU"/>
        </w:rPr>
        <w:lastRenderedPageBreak/>
        <w:drawing>
          <wp:inline distT="0" distB="0" distL="0" distR="0">
            <wp:extent cx="4572000" cy="2880360"/>
            <wp:effectExtent l="0" t="0" r="0" b="0"/>
            <wp:docPr id="27" name="Диаграмма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4616EA" w:rsidRDefault="004616EA" w:rsidP="00C00B64">
      <w:pPr>
        <w:pStyle w:val="af1"/>
        <w:spacing w:after="0"/>
        <w:ind w:firstLine="709"/>
        <w:jc w:val="both"/>
        <w:rPr>
          <w:rFonts w:ascii="Times New Roman" w:hAnsi="Times New Roman"/>
          <w:b w:val="0"/>
          <w:color w:val="auto"/>
          <w:sz w:val="24"/>
        </w:rPr>
      </w:pPr>
      <w:bookmarkStart w:id="85" w:name="_Ref394933663"/>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27</w:t>
      </w:r>
      <w:r w:rsidRPr="00475E67">
        <w:rPr>
          <w:rFonts w:ascii="Times New Roman" w:hAnsi="Times New Roman"/>
          <w:b w:val="0"/>
          <w:color w:val="auto"/>
          <w:sz w:val="24"/>
        </w:rPr>
        <w:fldChar w:fldCharType="end"/>
      </w:r>
      <w:bookmarkEnd w:id="85"/>
      <w:r w:rsidRPr="00475E67">
        <w:rPr>
          <w:rFonts w:ascii="Times New Roman" w:hAnsi="Times New Roman"/>
          <w:b w:val="0"/>
          <w:color w:val="auto"/>
          <w:sz w:val="24"/>
        </w:rPr>
        <w:t xml:space="preserve"> - Структура безвозмездных поступлений бюджета города Когалыма в 2013 году, тыс. рублей</w:t>
      </w:r>
    </w:p>
    <w:p w:rsidR="004616EA" w:rsidRPr="005B2DCE" w:rsidRDefault="004616EA" w:rsidP="005B2DCE">
      <w:pPr>
        <w:spacing w:after="0" w:line="240" w:lineRule="auto"/>
        <w:rPr>
          <w:lang w:eastAsia="ru-RU"/>
        </w:rPr>
      </w:pPr>
    </w:p>
    <w:p w:rsidR="004616EA" w:rsidRPr="00C00B64" w:rsidRDefault="004616EA" w:rsidP="005B2DCE">
      <w:pPr>
        <w:numPr>
          <w:ilvl w:val="0"/>
          <w:numId w:val="55"/>
        </w:numPr>
        <w:tabs>
          <w:tab w:val="left" w:pos="0"/>
        </w:tabs>
        <w:spacing w:after="0" w:line="240" w:lineRule="auto"/>
        <w:ind w:left="0" w:firstLine="709"/>
        <w:jc w:val="both"/>
        <w:rPr>
          <w:rFonts w:ascii="Times New Roman" w:hAnsi="Times New Roman"/>
          <w:i/>
          <w:sz w:val="26"/>
          <w:szCs w:val="26"/>
        </w:rPr>
      </w:pPr>
      <w:r w:rsidRPr="00C00B64">
        <w:rPr>
          <w:rFonts w:ascii="Times New Roman" w:hAnsi="Times New Roman"/>
          <w:i/>
          <w:sz w:val="26"/>
          <w:szCs w:val="26"/>
        </w:rPr>
        <w:lastRenderedPageBreak/>
        <w:t>Низкий уровень диверсификации налоговых и неналоговых доходов</w:t>
      </w:r>
    </w:p>
    <w:p w:rsidR="004616EA" w:rsidRPr="00C00B64" w:rsidRDefault="004616EA" w:rsidP="005B2DCE">
      <w:pPr>
        <w:spacing w:after="0" w:line="240" w:lineRule="auto"/>
        <w:ind w:firstLine="709"/>
        <w:jc w:val="both"/>
        <w:rPr>
          <w:rFonts w:ascii="Times New Roman" w:hAnsi="Times New Roman"/>
          <w:sz w:val="26"/>
          <w:szCs w:val="26"/>
        </w:rPr>
      </w:pPr>
      <w:r w:rsidRPr="00C00B64">
        <w:rPr>
          <w:rFonts w:ascii="Times New Roman" w:hAnsi="Times New Roman"/>
          <w:sz w:val="26"/>
          <w:szCs w:val="26"/>
        </w:rPr>
        <w:t xml:space="preserve">Наибольший удельный вес в структуре налоговых и неналоговых доходов бюджета города Когалыма занимает налог на доходы физических лиц, при этом налоговые доходы, составляющие финансовую основу местных </w:t>
      </w:r>
      <w:r w:rsidRPr="00C00B64">
        <w:rPr>
          <w:rFonts w:ascii="Times New Roman" w:hAnsi="Times New Roman"/>
          <w:sz w:val="26"/>
          <w:szCs w:val="26"/>
        </w:rPr>
        <w:lastRenderedPageBreak/>
        <w:t xml:space="preserve">бюджетов в соответствии с законодательством Российской Федерации, играют весьма скромную роль в бюджете муниципального образования (не более 1 %). </w:t>
      </w:r>
    </w:p>
    <w:p w:rsidR="004616EA" w:rsidRPr="00C00B64" w:rsidRDefault="004616EA" w:rsidP="00C00B64">
      <w:pPr>
        <w:numPr>
          <w:ilvl w:val="0"/>
          <w:numId w:val="55"/>
        </w:numPr>
        <w:tabs>
          <w:tab w:val="left" w:pos="0"/>
        </w:tabs>
        <w:spacing w:after="0" w:line="240" w:lineRule="auto"/>
        <w:ind w:left="0" w:firstLine="709"/>
        <w:jc w:val="both"/>
        <w:rPr>
          <w:rFonts w:ascii="Times New Roman" w:hAnsi="Times New Roman"/>
          <w:i/>
          <w:sz w:val="26"/>
          <w:szCs w:val="26"/>
        </w:rPr>
      </w:pPr>
      <w:r w:rsidRPr="00C00B64">
        <w:rPr>
          <w:rFonts w:ascii="Times New Roman" w:hAnsi="Times New Roman"/>
          <w:i/>
          <w:sz w:val="26"/>
          <w:szCs w:val="26"/>
        </w:rPr>
        <w:t>Незначительная доля расходов бюджета города Когалыма на развитие реального сектора экономики</w:t>
      </w:r>
    </w:p>
    <w:p w:rsidR="004616EA" w:rsidRPr="00C00B64" w:rsidRDefault="004616EA" w:rsidP="00C00B64">
      <w:pPr>
        <w:spacing w:after="0" w:line="240" w:lineRule="auto"/>
        <w:ind w:firstLine="709"/>
        <w:jc w:val="both"/>
        <w:rPr>
          <w:rFonts w:ascii="Times New Roman" w:hAnsi="Times New Roman"/>
          <w:sz w:val="26"/>
          <w:szCs w:val="26"/>
        </w:rPr>
      </w:pPr>
      <w:r w:rsidRPr="00C00B64">
        <w:rPr>
          <w:rFonts w:ascii="Times New Roman" w:hAnsi="Times New Roman"/>
          <w:sz w:val="26"/>
          <w:szCs w:val="26"/>
        </w:rPr>
        <w:lastRenderedPageBreak/>
        <w:t xml:space="preserve">По итогам 2013 года в структуре расходов бюджета города Когалыма расходы по разделу «Национальная экономика» составляют 8,5%, в том числе на «Сельское хозяйство и рыболовство» – 3,6%. </w:t>
      </w:r>
    </w:p>
    <w:p w:rsidR="004616EA" w:rsidRPr="00C00B64" w:rsidRDefault="004616EA" w:rsidP="00C00B64">
      <w:pPr>
        <w:spacing w:after="0" w:line="240" w:lineRule="auto"/>
        <w:ind w:firstLine="709"/>
        <w:jc w:val="both"/>
        <w:rPr>
          <w:rFonts w:ascii="Times New Roman" w:hAnsi="Times New Roman"/>
          <w:b/>
          <w:iCs/>
          <w:sz w:val="26"/>
          <w:szCs w:val="26"/>
          <w:lang w:eastAsia="ar-SA"/>
        </w:rPr>
      </w:pPr>
      <w:r w:rsidRPr="00C00B64">
        <w:rPr>
          <w:rFonts w:ascii="Times New Roman" w:hAnsi="Times New Roman"/>
          <w:b/>
          <w:iCs/>
          <w:sz w:val="26"/>
          <w:szCs w:val="26"/>
          <w:lang w:eastAsia="ar-SA"/>
        </w:rPr>
        <w:t>Возможности</w:t>
      </w:r>
    </w:p>
    <w:p w:rsidR="004616EA" w:rsidRPr="00C00B64" w:rsidRDefault="004616EA" w:rsidP="00C00B64">
      <w:pPr>
        <w:numPr>
          <w:ilvl w:val="0"/>
          <w:numId w:val="56"/>
        </w:numPr>
        <w:tabs>
          <w:tab w:val="left" w:pos="0"/>
          <w:tab w:val="left" w:pos="1134"/>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диверсификация собственной доходной базы;</w:t>
      </w:r>
    </w:p>
    <w:p w:rsidR="004616EA" w:rsidRPr="00C00B64" w:rsidRDefault="004616EA" w:rsidP="00C00B64">
      <w:pPr>
        <w:numPr>
          <w:ilvl w:val="0"/>
          <w:numId w:val="56"/>
        </w:numPr>
        <w:tabs>
          <w:tab w:val="left" w:pos="0"/>
          <w:tab w:val="left" w:pos="1134"/>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lastRenderedPageBreak/>
        <w:t>повышение уровня собираемости налогов, а также эффективности использования муниципального имущества;</w:t>
      </w:r>
    </w:p>
    <w:p w:rsidR="004616EA" w:rsidRPr="00C00B64" w:rsidRDefault="004616EA" w:rsidP="00C00B64">
      <w:pPr>
        <w:numPr>
          <w:ilvl w:val="0"/>
          <w:numId w:val="56"/>
        </w:numPr>
        <w:tabs>
          <w:tab w:val="left" w:pos="0"/>
          <w:tab w:val="left" w:pos="1134"/>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совершенствование системы управления общественными финансами, повышение эффективности деятельности органов местного самоуправления.</w:t>
      </w:r>
    </w:p>
    <w:p w:rsidR="004616EA" w:rsidRPr="00C00B64" w:rsidRDefault="004616EA" w:rsidP="00C00B64">
      <w:pPr>
        <w:spacing w:after="0" w:line="240" w:lineRule="auto"/>
        <w:ind w:firstLine="709"/>
        <w:jc w:val="both"/>
        <w:rPr>
          <w:rFonts w:ascii="Times New Roman" w:hAnsi="Times New Roman"/>
          <w:b/>
          <w:iCs/>
          <w:sz w:val="26"/>
          <w:szCs w:val="26"/>
          <w:u w:val="single"/>
          <w:lang w:eastAsia="ar-SA"/>
        </w:rPr>
      </w:pPr>
      <w:r w:rsidRPr="00C00B64">
        <w:rPr>
          <w:rFonts w:ascii="Times New Roman" w:hAnsi="Times New Roman"/>
          <w:b/>
          <w:iCs/>
          <w:sz w:val="26"/>
          <w:szCs w:val="26"/>
          <w:lang w:eastAsia="ar-SA"/>
        </w:rPr>
        <w:lastRenderedPageBreak/>
        <w:t>Угрозы</w:t>
      </w:r>
    </w:p>
    <w:p w:rsidR="004616EA" w:rsidRPr="00C00B64" w:rsidRDefault="004616EA" w:rsidP="00C00B64">
      <w:pPr>
        <w:numPr>
          <w:ilvl w:val="0"/>
          <w:numId w:val="56"/>
        </w:numPr>
        <w:tabs>
          <w:tab w:val="left" w:pos="0"/>
          <w:tab w:val="left" w:pos="1134"/>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 xml:space="preserve">сокращение доходов бюджета Ханты-Мансийского автономного округа – Югры, и, как следствие, сокращение объемов межбюджетных трансфертов из окружного бюджета в бюджет городского округа; </w:t>
      </w:r>
    </w:p>
    <w:p w:rsidR="004616EA" w:rsidRPr="00C00B64" w:rsidRDefault="004616EA" w:rsidP="00C00B64">
      <w:pPr>
        <w:numPr>
          <w:ilvl w:val="0"/>
          <w:numId w:val="56"/>
        </w:numPr>
        <w:tabs>
          <w:tab w:val="left" w:pos="0"/>
          <w:tab w:val="left" w:pos="1134"/>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 xml:space="preserve">изменение бюджетного законодательства Российской Федерации, </w:t>
      </w:r>
      <w:r w:rsidRPr="00C00B64">
        <w:rPr>
          <w:rFonts w:ascii="Times New Roman" w:hAnsi="Times New Roman"/>
          <w:sz w:val="26"/>
          <w:szCs w:val="26"/>
        </w:rPr>
        <w:lastRenderedPageBreak/>
        <w:t>предусматривающее дальнейшее ограничение бюджетных полномочий органов местного самоуправления высокодотационных муниципальных образований, а также возможностей привлечения заемных средств;</w:t>
      </w:r>
    </w:p>
    <w:p w:rsidR="004616EA" w:rsidRPr="00C00B64" w:rsidRDefault="004616EA" w:rsidP="00C00B64">
      <w:pPr>
        <w:numPr>
          <w:ilvl w:val="0"/>
          <w:numId w:val="56"/>
        </w:numPr>
        <w:tabs>
          <w:tab w:val="left" w:pos="0"/>
          <w:tab w:val="left" w:pos="1134"/>
        </w:tabs>
        <w:spacing w:after="0" w:line="240" w:lineRule="auto"/>
        <w:ind w:left="0" w:firstLine="709"/>
        <w:jc w:val="both"/>
        <w:rPr>
          <w:rStyle w:val="a4"/>
          <w:color w:val="auto"/>
          <w:sz w:val="26"/>
          <w:szCs w:val="26"/>
        </w:rPr>
      </w:pPr>
      <w:r w:rsidRPr="00C00B64">
        <w:rPr>
          <w:rFonts w:ascii="Times New Roman" w:hAnsi="Times New Roman"/>
          <w:sz w:val="26"/>
          <w:szCs w:val="26"/>
        </w:rPr>
        <w:t xml:space="preserve">увеличение объемов текущих социальных расходов, ограничивающих </w:t>
      </w:r>
      <w:r w:rsidRPr="00C00B64">
        <w:rPr>
          <w:rFonts w:ascii="Times New Roman" w:hAnsi="Times New Roman"/>
          <w:sz w:val="26"/>
          <w:szCs w:val="26"/>
        </w:rPr>
        <w:lastRenderedPageBreak/>
        <w:t>бюджетные вложения в перспективные сферы социально-экономического развития.</w:t>
      </w:r>
      <w:r w:rsidRPr="00C00B64">
        <w:rPr>
          <w:sz w:val="26"/>
          <w:szCs w:val="26"/>
        </w:rPr>
        <w:t xml:space="preserve"> </w:t>
      </w:r>
    </w:p>
    <w:p w:rsidR="004616EA" w:rsidRPr="00C00B64" w:rsidRDefault="004616EA" w:rsidP="00C00B64">
      <w:pPr>
        <w:pStyle w:val="3"/>
        <w:spacing w:line="240" w:lineRule="auto"/>
        <w:ind w:firstLine="709"/>
        <w:rPr>
          <w:sz w:val="26"/>
        </w:rPr>
      </w:pPr>
      <w:bookmarkStart w:id="86" w:name="_Toc387238999"/>
      <w:bookmarkStart w:id="87" w:name="_Toc405805501"/>
      <w:r w:rsidRPr="00C00B64">
        <w:rPr>
          <w:sz w:val="26"/>
        </w:rPr>
        <w:t>2.10 Анализ эффективности деятельности органов местного самоуправления</w:t>
      </w:r>
      <w:bookmarkEnd w:id="86"/>
      <w:bookmarkEnd w:id="87"/>
    </w:p>
    <w:p w:rsidR="004616EA" w:rsidRPr="00C00B64" w:rsidRDefault="004616EA" w:rsidP="00C00B64">
      <w:pPr>
        <w:tabs>
          <w:tab w:val="left" w:pos="426"/>
        </w:tabs>
        <w:spacing w:after="0" w:line="240" w:lineRule="auto"/>
        <w:ind w:firstLine="709"/>
        <w:jc w:val="both"/>
        <w:rPr>
          <w:rFonts w:ascii="Times New Roman" w:hAnsi="Times New Roman"/>
          <w:sz w:val="26"/>
          <w:szCs w:val="26"/>
        </w:rPr>
      </w:pPr>
      <w:r w:rsidRPr="00C00B64">
        <w:rPr>
          <w:rFonts w:ascii="Times New Roman" w:hAnsi="Times New Roman"/>
          <w:sz w:val="26"/>
          <w:szCs w:val="26"/>
        </w:rPr>
        <w:t xml:space="preserve">Значимость управления процессом обеспечения устойчивого социально-экономического развития основана на </w:t>
      </w:r>
      <w:r w:rsidRPr="00C00B64">
        <w:rPr>
          <w:rFonts w:ascii="Times New Roman" w:hAnsi="Times New Roman"/>
          <w:sz w:val="26"/>
          <w:szCs w:val="26"/>
        </w:rPr>
        <w:lastRenderedPageBreak/>
        <w:t>приведении в действие всех составных частей самоорганизации общества. Совершенствование общественного развития при одновременном устранении недостатков и противоречий должно происходить с целью структуризации элементов, обеспечивающих условия функционирования город</w:t>
      </w:r>
      <w:r w:rsidRPr="00C00B64">
        <w:rPr>
          <w:rFonts w:ascii="Times New Roman" w:hAnsi="Times New Roman"/>
          <w:sz w:val="26"/>
          <w:szCs w:val="26"/>
        </w:rPr>
        <w:lastRenderedPageBreak/>
        <w:t>ского округа и формирования возможностей для более объективных условий взаимодействия людей в сферах их жизнедеятельности. Действия в данном направлении с использованием элементов системы местного самоуправления признаны стать одной из основ содействия повышению эф</w:t>
      </w:r>
      <w:r w:rsidRPr="00C00B64">
        <w:rPr>
          <w:rFonts w:ascii="Times New Roman" w:hAnsi="Times New Roman"/>
          <w:sz w:val="26"/>
          <w:szCs w:val="26"/>
        </w:rPr>
        <w:lastRenderedPageBreak/>
        <w:t>фективности местной экономики и качества жизни населения. Базовой составляющей этого процесса является совмещение интересов администрации городского округа, бизнес-сообщества, общественности и отдельных граждан, общая совокупность которых обеспечивает территориальное вос</w:t>
      </w:r>
      <w:r w:rsidRPr="00C00B64">
        <w:rPr>
          <w:rFonts w:ascii="Times New Roman" w:hAnsi="Times New Roman"/>
          <w:sz w:val="26"/>
          <w:szCs w:val="26"/>
        </w:rPr>
        <w:lastRenderedPageBreak/>
        <w:t>производство экономических, социальных, демографических, инфраструктурных и иных процессов.</w:t>
      </w:r>
    </w:p>
    <w:p w:rsidR="004616EA" w:rsidRPr="00C00B64" w:rsidRDefault="004616EA" w:rsidP="00C00B64">
      <w:pPr>
        <w:spacing w:after="0" w:line="240" w:lineRule="auto"/>
        <w:ind w:firstLine="709"/>
        <w:jc w:val="both"/>
        <w:rPr>
          <w:rFonts w:ascii="Times New Roman" w:hAnsi="Times New Roman"/>
          <w:sz w:val="26"/>
          <w:szCs w:val="26"/>
        </w:rPr>
      </w:pPr>
      <w:r w:rsidRPr="00C00B64">
        <w:rPr>
          <w:rFonts w:ascii="Times New Roman" w:hAnsi="Times New Roman"/>
          <w:sz w:val="26"/>
          <w:szCs w:val="26"/>
        </w:rPr>
        <w:t>Оценка эффективности деятельности органов местного самоуправления позволяет своевременно принимать решения по корректировке проводимой муниципальной политики, устра</w:t>
      </w:r>
      <w:r w:rsidRPr="00C00B64">
        <w:rPr>
          <w:rFonts w:ascii="Times New Roman" w:hAnsi="Times New Roman"/>
          <w:sz w:val="26"/>
          <w:szCs w:val="26"/>
        </w:rPr>
        <w:lastRenderedPageBreak/>
        <w:t>нять недостатки, определять новые социально-экономические целевые ориентиры.</w:t>
      </w:r>
    </w:p>
    <w:p w:rsidR="004616EA" w:rsidRPr="00C00B64" w:rsidRDefault="004616EA" w:rsidP="00C00B64">
      <w:pPr>
        <w:spacing w:after="0" w:line="240" w:lineRule="auto"/>
        <w:ind w:firstLine="709"/>
        <w:jc w:val="both"/>
        <w:rPr>
          <w:rFonts w:ascii="Times New Roman" w:hAnsi="Times New Roman"/>
          <w:sz w:val="26"/>
          <w:szCs w:val="26"/>
        </w:rPr>
      </w:pPr>
      <w:r w:rsidRPr="00C00B64">
        <w:rPr>
          <w:rFonts w:ascii="Times New Roman" w:hAnsi="Times New Roman"/>
          <w:sz w:val="26"/>
          <w:szCs w:val="26"/>
        </w:rPr>
        <w:t>Формализованный подход по проведению аудита деятельности органов местного самоуправления города Когалыма основан на причинно-следственной связи между проводимой по</w:t>
      </w:r>
      <w:r w:rsidRPr="00C00B64">
        <w:rPr>
          <w:rFonts w:ascii="Times New Roman" w:hAnsi="Times New Roman"/>
          <w:sz w:val="26"/>
          <w:szCs w:val="26"/>
        </w:rPr>
        <w:lastRenderedPageBreak/>
        <w:t xml:space="preserve">литикой муниципальных властей и показателями, характеризующими социально-экономическое развитие территории. Нормативно-правовой основой служит Указ Президента Российской Федерации от 28.04.2008 №607 «Об оценке эффективности деятельности </w:t>
      </w:r>
      <w:r w:rsidRPr="00C00B64">
        <w:rPr>
          <w:rFonts w:ascii="Times New Roman" w:hAnsi="Times New Roman"/>
          <w:sz w:val="26"/>
          <w:szCs w:val="26"/>
        </w:rPr>
        <w:lastRenderedPageBreak/>
        <w:t xml:space="preserve">органов местного самоуправления городских округов и муниципальных районов». </w:t>
      </w:r>
    </w:p>
    <w:p w:rsidR="004616EA" w:rsidRPr="00C00B64" w:rsidRDefault="004616EA" w:rsidP="00C00B64">
      <w:pPr>
        <w:spacing w:after="0" w:line="240" w:lineRule="auto"/>
        <w:ind w:firstLine="709"/>
        <w:jc w:val="both"/>
        <w:rPr>
          <w:rFonts w:ascii="Times New Roman" w:hAnsi="Times New Roman"/>
          <w:sz w:val="26"/>
          <w:szCs w:val="26"/>
        </w:rPr>
      </w:pPr>
      <w:r w:rsidRPr="00C00B64">
        <w:rPr>
          <w:rFonts w:ascii="Times New Roman" w:hAnsi="Times New Roman"/>
          <w:sz w:val="26"/>
          <w:szCs w:val="26"/>
        </w:rPr>
        <w:t xml:space="preserve">Результативные данные целесообразно представить в виде </w:t>
      </w:r>
      <w:r w:rsidRPr="00C00B64">
        <w:rPr>
          <w:rFonts w:ascii="Times New Roman" w:hAnsi="Times New Roman"/>
          <w:sz w:val="26"/>
          <w:szCs w:val="26"/>
          <w:lang w:val="en-US"/>
        </w:rPr>
        <w:t>SWOT</w:t>
      </w:r>
      <w:r w:rsidRPr="00C00B64">
        <w:rPr>
          <w:rFonts w:ascii="Times New Roman" w:hAnsi="Times New Roman"/>
          <w:sz w:val="26"/>
          <w:szCs w:val="26"/>
        </w:rPr>
        <w:t>-анализа с указанием сильных, слабых сторон, а также возможностей и угроз.</w:t>
      </w:r>
    </w:p>
    <w:p w:rsidR="004616EA" w:rsidRPr="00C00B64" w:rsidRDefault="004616EA" w:rsidP="00C00B64">
      <w:pPr>
        <w:tabs>
          <w:tab w:val="left" w:pos="426"/>
        </w:tabs>
        <w:spacing w:after="0" w:line="240" w:lineRule="auto"/>
        <w:ind w:firstLine="709"/>
        <w:jc w:val="both"/>
        <w:rPr>
          <w:rFonts w:ascii="Times New Roman" w:hAnsi="Times New Roman"/>
          <w:b/>
          <w:sz w:val="26"/>
          <w:szCs w:val="26"/>
        </w:rPr>
      </w:pPr>
      <w:r w:rsidRPr="00C00B64">
        <w:rPr>
          <w:rFonts w:ascii="Times New Roman" w:hAnsi="Times New Roman"/>
          <w:b/>
          <w:sz w:val="26"/>
          <w:szCs w:val="26"/>
        </w:rPr>
        <w:t>Сильные стороны</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lastRenderedPageBreak/>
        <w:t xml:space="preserve">высокий рейтинг среди городских округов автономного округа по показателю «Доля детей в возрасте 1 - 6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в возрасте 1 - 6 лет» - 1 </w:t>
      </w:r>
      <w:r w:rsidRPr="00C00B64">
        <w:rPr>
          <w:rFonts w:ascii="Times New Roman" w:hAnsi="Times New Roman"/>
          <w:sz w:val="26"/>
          <w:szCs w:val="26"/>
        </w:rPr>
        <w:lastRenderedPageBreak/>
        <w:t>место. Более 68% детей города Когалыма посещают детские сады. В перспективах увеличение данного показателя за счет строительства новых детских садов;</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высокий рейтинг среди городских округов автономного округа по показателю «Доля муниципальных обще</w:t>
      </w:r>
      <w:r w:rsidRPr="00C00B64">
        <w:rPr>
          <w:rFonts w:ascii="Times New Roman" w:hAnsi="Times New Roman"/>
          <w:sz w:val="26"/>
          <w:szCs w:val="26"/>
        </w:rPr>
        <w:lastRenderedPageBreak/>
        <w:t>образовательных учреждений, соответствующих современным требованиям обучения, в общем количестве муниципальных общеобразовательных учреждений» - 1 место;</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высокий рейтинг среди городских округов автономного округа по пока</w:t>
      </w:r>
      <w:r w:rsidRPr="00C00B64">
        <w:rPr>
          <w:rFonts w:ascii="Times New Roman" w:hAnsi="Times New Roman"/>
          <w:sz w:val="26"/>
          <w:szCs w:val="26"/>
        </w:rPr>
        <w:lastRenderedPageBreak/>
        <w:t>зателю «Уровень фактической обеспеченности учреждениями культуры от нормативной потребности» - 3 место;</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 xml:space="preserve">высокий рейтинг среди городских округов автономного округа по показателю «Доля налоговых и неналоговых доходов местного бюджета (за исключением поступлений налоговых </w:t>
      </w:r>
      <w:r w:rsidRPr="00C00B64">
        <w:rPr>
          <w:rFonts w:ascii="Times New Roman" w:hAnsi="Times New Roman"/>
          <w:sz w:val="26"/>
          <w:szCs w:val="26"/>
        </w:rPr>
        <w:lastRenderedPageBreak/>
        <w:t xml:space="preserve">доходов по дополнительным нормативам отчислений) в общем объеме собственных доходов бюджета муниципального образования (без учета субвенций)» - 3 место; </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 xml:space="preserve">высокий рейтинг среди городских округов автономного округа по показателю «Среднемесячная номинальная </w:t>
      </w:r>
      <w:r w:rsidRPr="00C00B64">
        <w:rPr>
          <w:rFonts w:ascii="Times New Roman" w:hAnsi="Times New Roman"/>
          <w:sz w:val="26"/>
          <w:szCs w:val="26"/>
        </w:rPr>
        <w:lastRenderedPageBreak/>
        <w:t>начисленная заработная плата работников» - 4 место;</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средний рейтинг среди городских округов автономного округа по показателю «Объем инвестиций в основной капитал (за исключением бюджетных средств) в расчете на 1 жителя» - 5 место;</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lastRenderedPageBreak/>
        <w:t>средний рейтинг среди городских округов автономного округа по показателю «Расходы бюджета муниципального образования на общее образование в расчете на 1 обучающегося в муниципальных общеобразовательных учреждениях» - 6 место;</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lastRenderedPageBreak/>
        <w:t>средний рейтинг среди городских округов автономного округа по показателю «Доля населения, систематически занимающегося физической культурой и спортом» - 5 место.</w:t>
      </w:r>
    </w:p>
    <w:p w:rsidR="004616EA" w:rsidRPr="00C00B64" w:rsidRDefault="004616EA" w:rsidP="00C00B64">
      <w:pPr>
        <w:tabs>
          <w:tab w:val="left" w:pos="426"/>
        </w:tabs>
        <w:spacing w:after="0" w:line="240" w:lineRule="auto"/>
        <w:ind w:firstLine="709"/>
        <w:jc w:val="both"/>
        <w:rPr>
          <w:rFonts w:ascii="Times New Roman" w:hAnsi="Times New Roman"/>
          <w:b/>
          <w:sz w:val="26"/>
          <w:szCs w:val="26"/>
        </w:rPr>
      </w:pPr>
      <w:r w:rsidRPr="00C00B64">
        <w:rPr>
          <w:rFonts w:ascii="Times New Roman" w:hAnsi="Times New Roman"/>
          <w:b/>
          <w:sz w:val="26"/>
          <w:szCs w:val="26"/>
        </w:rPr>
        <w:t>Слабые стороны</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 xml:space="preserve">низкий рейтинг среди городских округов автономного округа по показателю «Число субъектов малого и </w:t>
      </w:r>
      <w:r w:rsidRPr="00C00B64">
        <w:rPr>
          <w:rFonts w:ascii="Times New Roman" w:hAnsi="Times New Roman"/>
          <w:sz w:val="26"/>
          <w:szCs w:val="26"/>
        </w:rPr>
        <w:lastRenderedPageBreak/>
        <w:t>среднего предпринимательства в расчете на 10 тыс. человек населения» - 13 место;</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низкий рейтинг среди городских округов автономного округа по показателю «Доля среднесписочной численности работников (без внешних совместителей) малых и средних пред</w:t>
      </w:r>
      <w:r w:rsidRPr="00C00B64">
        <w:rPr>
          <w:rFonts w:ascii="Times New Roman" w:hAnsi="Times New Roman"/>
          <w:sz w:val="26"/>
          <w:szCs w:val="26"/>
        </w:rPr>
        <w:lastRenderedPageBreak/>
        <w:t>приятий в среднесписочной численности работников (без внешних совместителей) всех предприятий и организаций» - 13 место;</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 xml:space="preserve">низкий рейтинг среди городских округов автономного округа по показателю «Доля площади земельных участков, являющихся объектами налогообложения земельным налогом, </w:t>
      </w:r>
      <w:r w:rsidRPr="00C00B64">
        <w:rPr>
          <w:rFonts w:ascii="Times New Roman" w:hAnsi="Times New Roman"/>
          <w:sz w:val="26"/>
          <w:szCs w:val="26"/>
        </w:rPr>
        <w:lastRenderedPageBreak/>
        <w:t xml:space="preserve">в общей площади территории городского округа (муниципального района)» - 10 место; </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низкий рейтинг среди городских округов автономного округа по показателю «Доля детей в возрасте 5 - 18 лет, получающих услуги по дополнительному образованию в организациях различной организационно-</w:t>
      </w:r>
      <w:r w:rsidRPr="00C00B64">
        <w:rPr>
          <w:rFonts w:ascii="Times New Roman" w:hAnsi="Times New Roman"/>
          <w:sz w:val="26"/>
          <w:szCs w:val="26"/>
        </w:rPr>
        <w:lastRenderedPageBreak/>
        <w:t>правовой формы и формы собственности, в общей численности детей данной возрастной группы» - 13 место;</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низкий рейтинг среди городских округов автономного округа по показателю «Общая площадь жилых помещений, приходящаяся в среднем на одного жителя» - 11 место;</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lastRenderedPageBreak/>
        <w:t>низкий рейтинг среди городских округов автономного округа по показателю «Удовлетворенность населения деятельностью местного самоуправления городского округа» - 13 место;</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высокий рейтинг среди городских округов автономного округа по пока</w:t>
      </w:r>
      <w:r w:rsidRPr="00C00B64">
        <w:rPr>
          <w:rFonts w:ascii="Times New Roman" w:hAnsi="Times New Roman"/>
          <w:sz w:val="26"/>
          <w:szCs w:val="26"/>
        </w:rPr>
        <w:lastRenderedPageBreak/>
        <w:t>зателю «Доля муниципальных учреждений культуры, здания которых находятся в аварийном состоянии или требуют капитального ремонта, в общем количестве муниципальных учреждений культуры» - 1 место.</w:t>
      </w:r>
    </w:p>
    <w:p w:rsidR="004616EA" w:rsidRPr="00C00B64" w:rsidRDefault="004616EA" w:rsidP="00C00B64">
      <w:pPr>
        <w:tabs>
          <w:tab w:val="left" w:pos="426"/>
        </w:tabs>
        <w:spacing w:after="0" w:line="240" w:lineRule="auto"/>
        <w:ind w:firstLine="709"/>
        <w:jc w:val="both"/>
        <w:rPr>
          <w:rFonts w:ascii="Times New Roman" w:hAnsi="Times New Roman"/>
          <w:b/>
          <w:sz w:val="26"/>
          <w:szCs w:val="26"/>
        </w:rPr>
      </w:pPr>
      <w:r w:rsidRPr="00C00B64">
        <w:rPr>
          <w:rFonts w:ascii="Times New Roman" w:hAnsi="Times New Roman"/>
          <w:b/>
          <w:sz w:val="26"/>
          <w:szCs w:val="26"/>
        </w:rPr>
        <w:t>Возможности</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lastRenderedPageBreak/>
        <w:t>использование существующих социальных превосходств по отношению к другим городским округам автономного округа для привлечения и закрепления высококвалифицированных кадров в различных сферах экономической деятельности;</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lastRenderedPageBreak/>
        <w:t>развитие сектора малого и среднего предпринимательства во всех сферах деятельности;</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 xml:space="preserve">развитие жилищного строительства; </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 xml:space="preserve">развитие материально-технической базы учреждений культурно-досугового типа. </w:t>
      </w:r>
    </w:p>
    <w:p w:rsidR="004616EA" w:rsidRPr="00C00B64" w:rsidRDefault="004616EA" w:rsidP="00C00B64">
      <w:pPr>
        <w:tabs>
          <w:tab w:val="left" w:pos="426"/>
        </w:tabs>
        <w:spacing w:after="0" w:line="240" w:lineRule="auto"/>
        <w:ind w:firstLine="709"/>
        <w:jc w:val="both"/>
        <w:rPr>
          <w:rFonts w:ascii="Times New Roman" w:hAnsi="Times New Roman"/>
          <w:b/>
          <w:sz w:val="26"/>
          <w:szCs w:val="26"/>
        </w:rPr>
      </w:pPr>
      <w:r w:rsidRPr="00C00B64">
        <w:rPr>
          <w:rFonts w:ascii="Times New Roman" w:hAnsi="Times New Roman"/>
          <w:b/>
          <w:sz w:val="26"/>
          <w:szCs w:val="26"/>
        </w:rPr>
        <w:lastRenderedPageBreak/>
        <w:t>Угрозы</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 xml:space="preserve"> дальнейшее ухудшение рейтинговых позиций города Когалыма по показателям, относящимся к деятельности малых и средних предприятий; </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 xml:space="preserve">потеря доверия населения, бизнес-сообщества к местным властям; </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lastRenderedPageBreak/>
        <w:t xml:space="preserve">ухудшение качества жизни населения, ведущее к потере привлекательности городского округа и уменьшению численности населения. </w:t>
      </w:r>
    </w:p>
    <w:p w:rsidR="004616EA" w:rsidRPr="00475E67" w:rsidRDefault="004616EA" w:rsidP="00C00B64">
      <w:pPr>
        <w:tabs>
          <w:tab w:val="left" w:pos="426"/>
          <w:tab w:val="left" w:pos="1134"/>
        </w:tabs>
        <w:spacing w:after="0" w:line="240" w:lineRule="auto"/>
        <w:ind w:firstLine="709"/>
        <w:jc w:val="both"/>
        <w:rPr>
          <w:rFonts w:ascii="Times New Roman" w:hAnsi="Times New Roman"/>
          <w:sz w:val="24"/>
          <w:szCs w:val="24"/>
        </w:rPr>
      </w:pPr>
      <w:r w:rsidRPr="00C00B64">
        <w:rPr>
          <w:rFonts w:ascii="Times New Roman" w:hAnsi="Times New Roman"/>
          <w:sz w:val="26"/>
          <w:szCs w:val="26"/>
        </w:rPr>
        <w:t xml:space="preserve">Устойчивое развитие экономики невозможно без улучшения бизнес-климата в городе Когалыме. Состояние бизнес-климата в городском округе </w:t>
      </w:r>
      <w:r w:rsidRPr="00C00B64">
        <w:rPr>
          <w:rFonts w:ascii="Times New Roman" w:hAnsi="Times New Roman"/>
          <w:sz w:val="26"/>
          <w:szCs w:val="26"/>
        </w:rPr>
        <w:lastRenderedPageBreak/>
        <w:t>определяется уровнем развития действующего инвестиционного законодательства, наличием системы мер по поддержке инвесторов органами местного самоуправления, наличия механизмов по выявлению приоритетных проектов и других факторов развития</w:t>
      </w:r>
      <w:r w:rsidRPr="00475E67">
        <w:rPr>
          <w:rFonts w:ascii="Times New Roman" w:hAnsi="Times New Roman"/>
          <w:sz w:val="24"/>
          <w:szCs w:val="24"/>
        </w:rPr>
        <w:t xml:space="preserve"> инвестиционной деятельности на территории городского округа.</w:t>
      </w:r>
    </w:p>
    <w:p w:rsidR="004616EA" w:rsidRPr="005B2DCE" w:rsidRDefault="004616EA" w:rsidP="005B2DCE">
      <w:pPr>
        <w:tabs>
          <w:tab w:val="left" w:pos="1134"/>
        </w:tabs>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 xml:space="preserve">Законодательство Российской Федерации, Ханты-Мансийского автономного округа - Югры, документы государственного стратегического планирования, градостроительная документация определяют цели и задачи для муниципальных образований автономного округа. В соответствии с </w:t>
      </w:r>
      <w:r w:rsidRPr="005B2DCE">
        <w:rPr>
          <w:rFonts w:ascii="Times New Roman" w:hAnsi="Times New Roman"/>
          <w:sz w:val="26"/>
          <w:szCs w:val="26"/>
        </w:rPr>
        <w:lastRenderedPageBreak/>
        <w:t>этим, органы местного самоуправления Ханты-Мансийского автономного округа – Югры должны поддерживать курс региона на реализацию направлений государственной политики и планов мероприятий, в том числе:</w:t>
      </w:r>
    </w:p>
    <w:p w:rsidR="004616EA" w:rsidRPr="005B2DCE" w:rsidRDefault="004616EA" w:rsidP="005B2DCE">
      <w:pPr>
        <w:numPr>
          <w:ilvl w:val="0"/>
          <w:numId w:val="63"/>
        </w:numPr>
        <w:tabs>
          <w:tab w:val="left" w:pos="1134"/>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План мероприятий («дорожная карта») Российской Федерации «Со</w:t>
      </w:r>
      <w:r w:rsidRPr="005B2DCE">
        <w:rPr>
          <w:rFonts w:ascii="Times New Roman" w:hAnsi="Times New Roman"/>
          <w:sz w:val="26"/>
          <w:szCs w:val="26"/>
        </w:rPr>
        <w:lastRenderedPageBreak/>
        <w:t>вершенствование правового регулирования градостроительной деятельности и улучшение предпринимательского климата в сфере строительства» и План мероприятий («дорожная карта») «Организация системы мер, направленных на сокращение сроков, количества согласований (разреше</w:t>
      </w:r>
      <w:r w:rsidRPr="005B2DCE">
        <w:rPr>
          <w:rFonts w:ascii="Times New Roman" w:hAnsi="Times New Roman"/>
          <w:sz w:val="26"/>
          <w:szCs w:val="26"/>
        </w:rPr>
        <w:lastRenderedPageBreak/>
        <w:t>ний) в сфере строительства и сокращение сроков формирования и предоставления земельных участков, предназначенных для строительства, в Ханты-Мансийском автономном округе - Югре» (далее также – ДК Строительство-Земля Ханты-Мансийского автономного округа -</w:t>
      </w:r>
      <w:r>
        <w:rPr>
          <w:rFonts w:ascii="Times New Roman" w:hAnsi="Times New Roman"/>
          <w:sz w:val="26"/>
          <w:szCs w:val="26"/>
        </w:rPr>
        <w:t xml:space="preserve"> </w:t>
      </w:r>
      <w:r w:rsidRPr="005B2DCE">
        <w:rPr>
          <w:rFonts w:ascii="Times New Roman" w:hAnsi="Times New Roman"/>
          <w:sz w:val="26"/>
          <w:szCs w:val="26"/>
        </w:rPr>
        <w:t xml:space="preserve">Югры) </w:t>
      </w:r>
      <w:r w:rsidRPr="005B2DCE">
        <w:rPr>
          <w:rFonts w:ascii="Times New Roman" w:hAnsi="Times New Roman"/>
          <w:sz w:val="26"/>
          <w:szCs w:val="26"/>
        </w:rPr>
        <w:lastRenderedPageBreak/>
        <w:t xml:space="preserve">определяют задачу по совершенствованию системы муниципального управления для обеспечения благоприятного инвестиционного климата в строительстве; </w:t>
      </w:r>
    </w:p>
    <w:p w:rsidR="004616EA" w:rsidRPr="005B2DCE" w:rsidRDefault="004616EA" w:rsidP="005B2DCE">
      <w:pPr>
        <w:numPr>
          <w:ilvl w:val="0"/>
          <w:numId w:val="63"/>
        </w:numPr>
        <w:tabs>
          <w:tab w:val="left" w:pos="426"/>
          <w:tab w:val="left" w:pos="1134"/>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 xml:space="preserve">Стандарт деятельности органов исполнительной власти субъекта Российской Федерации по обеспечению </w:t>
      </w:r>
      <w:r w:rsidRPr="005B2DCE">
        <w:rPr>
          <w:rFonts w:ascii="Times New Roman" w:hAnsi="Times New Roman"/>
          <w:sz w:val="26"/>
          <w:szCs w:val="26"/>
        </w:rPr>
        <w:lastRenderedPageBreak/>
        <w:t xml:space="preserve">благоприятного инвестиционного климата в регионе (далее также Стандарт), утвержденный решением от 03.02.2012 наблюдательного совета АНО «Агентство стратегических инициатив по продвижению новых проектов», который при надлежащей реализации позволяет достичь цели создания условий для увеличения притока </w:t>
      </w:r>
      <w:r w:rsidRPr="005B2DCE">
        <w:rPr>
          <w:rFonts w:ascii="Times New Roman" w:hAnsi="Times New Roman"/>
          <w:sz w:val="26"/>
          <w:szCs w:val="26"/>
        </w:rPr>
        <w:lastRenderedPageBreak/>
        <w:t xml:space="preserve">инвестиций в регион, определяет задачу по осуществлению содействия органами местного самоуправления в реализации Стандарта. </w:t>
      </w:r>
    </w:p>
    <w:p w:rsidR="004616EA" w:rsidRPr="005B2DCE" w:rsidRDefault="004616EA" w:rsidP="005B2DCE">
      <w:pPr>
        <w:tabs>
          <w:tab w:val="left" w:pos="426"/>
        </w:tabs>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В городе Когалыме отмечается активность органов власти в стремлении создать благоприятные условия для ведения бизнеса, активизации инвестиционной деятельности и улучшения </w:t>
      </w:r>
      <w:r w:rsidRPr="005B2DCE">
        <w:rPr>
          <w:rFonts w:ascii="Times New Roman" w:hAnsi="Times New Roman"/>
          <w:sz w:val="26"/>
          <w:szCs w:val="26"/>
        </w:rPr>
        <w:lastRenderedPageBreak/>
        <w:t>социально-экономической ситуации в целом. При этом проведенный SWOT-анализ показал наличие как сильных, так и слабых сторон в формировании бизнес-климата на территории городского округа:</w:t>
      </w:r>
    </w:p>
    <w:p w:rsidR="004616EA" w:rsidRPr="005B2DCE" w:rsidRDefault="004616EA" w:rsidP="005B2DCE">
      <w:pPr>
        <w:tabs>
          <w:tab w:val="left" w:pos="426"/>
        </w:tabs>
        <w:spacing w:after="0" w:line="240" w:lineRule="auto"/>
        <w:ind w:firstLine="709"/>
        <w:jc w:val="both"/>
        <w:rPr>
          <w:rFonts w:ascii="Times New Roman" w:hAnsi="Times New Roman"/>
          <w:sz w:val="26"/>
          <w:szCs w:val="26"/>
        </w:rPr>
      </w:pPr>
      <w:r w:rsidRPr="005B2DCE">
        <w:rPr>
          <w:rFonts w:ascii="Times New Roman" w:hAnsi="Times New Roman"/>
          <w:sz w:val="26"/>
          <w:szCs w:val="26"/>
        </w:rPr>
        <w:t>Сильные стороны</w:t>
      </w:r>
    </w:p>
    <w:p w:rsidR="004616EA" w:rsidRPr="005B2DCE" w:rsidRDefault="004616EA" w:rsidP="005B2DCE">
      <w:pPr>
        <w:numPr>
          <w:ilvl w:val="0"/>
          <w:numId w:val="58"/>
        </w:numPr>
        <w:tabs>
          <w:tab w:val="left" w:pos="0"/>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lastRenderedPageBreak/>
        <w:t>На территории города Когалыма разработаны и приняты муниципальные правовые акты, регламентирующие вопросы поддержки инвестиционной деятельности.</w:t>
      </w:r>
    </w:p>
    <w:p w:rsidR="004616EA" w:rsidRPr="005B2DCE" w:rsidRDefault="004616EA" w:rsidP="005B2DCE">
      <w:pPr>
        <w:tabs>
          <w:tab w:val="left" w:pos="426"/>
        </w:tabs>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В городе действуют нормативные акты, устанавливающие порядок и условия получения отдельных мер по </w:t>
      </w:r>
      <w:r w:rsidRPr="005B2DCE">
        <w:rPr>
          <w:rFonts w:ascii="Times New Roman" w:hAnsi="Times New Roman"/>
          <w:sz w:val="26"/>
          <w:szCs w:val="26"/>
        </w:rPr>
        <w:lastRenderedPageBreak/>
        <w:t>поддержке инвесторов органами местного самоуправления:</w:t>
      </w:r>
    </w:p>
    <w:p w:rsidR="004616EA" w:rsidRPr="005B2DCE" w:rsidRDefault="004616EA" w:rsidP="005B2DCE">
      <w:pPr>
        <w:numPr>
          <w:ilvl w:val="0"/>
          <w:numId w:val="59"/>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 xml:space="preserve">решение Думы города Когалыма от 23.05.2014 №426-ГД «Об утверждении Порядка предоставления муниципальных гарантий города Когалым»; </w:t>
      </w:r>
    </w:p>
    <w:p w:rsidR="004616EA" w:rsidRPr="005B2DCE" w:rsidRDefault="004616EA" w:rsidP="005B2DCE">
      <w:pPr>
        <w:numPr>
          <w:ilvl w:val="0"/>
          <w:numId w:val="59"/>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 xml:space="preserve">постановление Администрации города Когалыма Ханты-Мансийского автономного округа – Югры от </w:t>
      </w:r>
      <w:r w:rsidRPr="005B2DCE">
        <w:rPr>
          <w:rFonts w:ascii="Times New Roman" w:hAnsi="Times New Roman"/>
          <w:sz w:val="26"/>
          <w:szCs w:val="26"/>
        </w:rPr>
        <w:lastRenderedPageBreak/>
        <w:t xml:space="preserve">14.03.2014 №515 «Об утверждении Инвестиционного паспорта города Когалыма»; </w:t>
      </w:r>
    </w:p>
    <w:p w:rsidR="004616EA" w:rsidRPr="005B2DCE" w:rsidRDefault="004616EA" w:rsidP="005B2DCE">
      <w:pPr>
        <w:numPr>
          <w:ilvl w:val="0"/>
          <w:numId w:val="59"/>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 xml:space="preserve">постановление Администрации города Когалыма от 05.06.2012 №1323 «Об утверждении Положения об участии муниципального образования Ханты-Мансийского автономного округа – Югры городской округ город </w:t>
      </w:r>
      <w:r w:rsidRPr="005B2DCE">
        <w:rPr>
          <w:rFonts w:ascii="Times New Roman" w:hAnsi="Times New Roman"/>
          <w:sz w:val="26"/>
          <w:szCs w:val="26"/>
        </w:rPr>
        <w:lastRenderedPageBreak/>
        <w:t xml:space="preserve">Когалым в государственно-частных партнерствах»; </w:t>
      </w:r>
    </w:p>
    <w:p w:rsidR="004616EA" w:rsidRPr="005B2DCE" w:rsidRDefault="004616EA" w:rsidP="005B2DCE">
      <w:pPr>
        <w:numPr>
          <w:ilvl w:val="0"/>
          <w:numId w:val="59"/>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 xml:space="preserve">постановление Администрации города Когалыма от 08.08.2011 №1996 «Об утверждении Порядка предоставления бюджетных инвестиций муниципальным автономным и бюджетным учреждениям города Когалыма»; </w:t>
      </w:r>
    </w:p>
    <w:p w:rsidR="004616EA" w:rsidRPr="005B2DCE" w:rsidRDefault="004616EA" w:rsidP="005B2DCE">
      <w:pPr>
        <w:numPr>
          <w:ilvl w:val="0"/>
          <w:numId w:val="59"/>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lastRenderedPageBreak/>
        <w:t xml:space="preserve">постановление Администрации </w:t>
      </w:r>
      <w:r>
        <w:rPr>
          <w:rFonts w:ascii="Times New Roman" w:hAnsi="Times New Roman"/>
          <w:sz w:val="26"/>
          <w:szCs w:val="26"/>
        </w:rPr>
        <w:t>города Когалыма от 23.06.2009 №</w:t>
      </w:r>
      <w:r w:rsidRPr="005B2DCE">
        <w:rPr>
          <w:rFonts w:ascii="Times New Roman" w:hAnsi="Times New Roman"/>
          <w:sz w:val="26"/>
          <w:szCs w:val="26"/>
        </w:rPr>
        <w:t xml:space="preserve">1305 «Об утверждении Порядка принятия решений о подготовке и реализации бюджетных инвестиций в объекты капитального строительства муниципальной собственности города Когалыма»; </w:t>
      </w:r>
    </w:p>
    <w:p w:rsidR="004616EA" w:rsidRPr="005B2DCE" w:rsidRDefault="004616EA" w:rsidP="005B2DCE">
      <w:pPr>
        <w:numPr>
          <w:ilvl w:val="0"/>
          <w:numId w:val="59"/>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lastRenderedPageBreak/>
        <w:t>распоряжение Администрации города Когалыма от 25.12.2013 №323-р «Об утверждении Плана мероприятий по формированию благоприятного инвестиционного климата в городе Когалыме».</w:t>
      </w:r>
    </w:p>
    <w:p w:rsidR="004616EA" w:rsidRPr="005B2DCE" w:rsidRDefault="004616EA" w:rsidP="005B2DCE">
      <w:pPr>
        <w:tabs>
          <w:tab w:val="left" w:pos="426"/>
        </w:tabs>
        <w:spacing w:after="0" w:line="240" w:lineRule="auto"/>
        <w:ind w:firstLine="709"/>
        <w:jc w:val="both"/>
        <w:rPr>
          <w:rFonts w:ascii="Times New Roman" w:hAnsi="Times New Roman"/>
          <w:sz w:val="26"/>
          <w:szCs w:val="26"/>
        </w:rPr>
      </w:pPr>
      <w:r w:rsidRPr="005B2DCE">
        <w:rPr>
          <w:rFonts w:ascii="Times New Roman" w:hAnsi="Times New Roman"/>
          <w:sz w:val="26"/>
          <w:szCs w:val="26"/>
        </w:rPr>
        <w:t>В городе Когалыме реализуются муниципальные программы, направлен</w:t>
      </w:r>
      <w:r w:rsidRPr="005B2DCE">
        <w:rPr>
          <w:rFonts w:ascii="Times New Roman" w:hAnsi="Times New Roman"/>
          <w:sz w:val="26"/>
          <w:szCs w:val="26"/>
        </w:rPr>
        <w:lastRenderedPageBreak/>
        <w:t>ные на поддержку инвесторов на муниципальном уровне, что облегчает ведение бизнеса для местных предпринимателей:</w:t>
      </w:r>
    </w:p>
    <w:p w:rsidR="004616EA" w:rsidRPr="005B2DCE" w:rsidRDefault="004616EA" w:rsidP="005B2DCE">
      <w:pPr>
        <w:numPr>
          <w:ilvl w:val="0"/>
          <w:numId w:val="59"/>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 xml:space="preserve">постановление Администрации города Когалыма Ханты-Мансийского автономного округа – Югры от 11.10.2013 №2931 «Об утверждении </w:t>
      </w:r>
      <w:r w:rsidRPr="005B2DCE">
        <w:rPr>
          <w:rFonts w:ascii="Times New Roman" w:hAnsi="Times New Roman"/>
          <w:sz w:val="26"/>
          <w:szCs w:val="26"/>
        </w:rPr>
        <w:lastRenderedPageBreak/>
        <w:t xml:space="preserve">муниципальной программы «Обеспечение доступным и комфортным жильем жителей города Когалыма на 2014-2016 годы»; </w:t>
      </w:r>
    </w:p>
    <w:p w:rsidR="004616EA" w:rsidRPr="005B2DCE" w:rsidRDefault="004616EA" w:rsidP="005B2DCE">
      <w:pPr>
        <w:numPr>
          <w:ilvl w:val="0"/>
          <w:numId w:val="59"/>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 xml:space="preserve">постановление Администрации города Когалыма Ханты-Мансийского автономного округа – Югры от 11.10.2013 №2919 «Об утверждении </w:t>
      </w:r>
      <w:r w:rsidRPr="005B2DCE">
        <w:rPr>
          <w:rFonts w:ascii="Times New Roman" w:hAnsi="Times New Roman"/>
          <w:sz w:val="26"/>
          <w:szCs w:val="26"/>
        </w:rPr>
        <w:lastRenderedPageBreak/>
        <w:t xml:space="preserve">муниципальной программы «Социально-экономическое развитие и инвестиции муниципального образования город Когалым на 2014-2016 годы»; </w:t>
      </w:r>
    </w:p>
    <w:p w:rsidR="004616EA" w:rsidRPr="005B2DCE" w:rsidRDefault="004616EA" w:rsidP="005B2DCE">
      <w:pPr>
        <w:numPr>
          <w:ilvl w:val="0"/>
          <w:numId w:val="59"/>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 xml:space="preserve">постановление Администрации города Когалыма Ханты-Мансийского автономного округа – Югры от 11.10.2012 №2908 «Об утверждении муниципальной программы «Развитие </w:t>
      </w:r>
      <w:r w:rsidRPr="005B2DCE">
        <w:rPr>
          <w:rFonts w:ascii="Times New Roman" w:hAnsi="Times New Roman"/>
          <w:sz w:val="26"/>
          <w:szCs w:val="26"/>
        </w:rPr>
        <w:lastRenderedPageBreak/>
        <w:t xml:space="preserve">жилищно-коммунального комплекса и повышение энергетической эффективности в городе Когалыме на 2014-2016 годы». </w:t>
      </w:r>
    </w:p>
    <w:p w:rsidR="004616EA" w:rsidRPr="005B2DCE" w:rsidRDefault="004616EA" w:rsidP="005B2DCE">
      <w:pPr>
        <w:numPr>
          <w:ilvl w:val="0"/>
          <w:numId w:val="58"/>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 xml:space="preserve">В целях обеспечения реализации планов мероприятий ДК Строительство-Земля Ханты-Мансийского автономного округа – Югры подготовлена </w:t>
      </w:r>
      <w:r w:rsidRPr="005B2DCE">
        <w:rPr>
          <w:rFonts w:ascii="Times New Roman" w:hAnsi="Times New Roman"/>
          <w:sz w:val="26"/>
          <w:szCs w:val="26"/>
        </w:rPr>
        <w:lastRenderedPageBreak/>
        <w:t xml:space="preserve">муниципальная дорожная карта «Организация системы мер, направленных на сокращение сроков, количества согласований (разрешений) в сфере строительства и сокращение сроков формирования и предоставления земельных участков, предназначенных для строительства, в городе Когалыме </w:t>
      </w:r>
      <w:r w:rsidRPr="005B2DCE">
        <w:rPr>
          <w:rFonts w:ascii="Times New Roman" w:hAnsi="Times New Roman"/>
          <w:sz w:val="26"/>
          <w:szCs w:val="26"/>
        </w:rPr>
        <w:lastRenderedPageBreak/>
        <w:t xml:space="preserve">(2013 - 2018 годы)» (утверждена постановлением Администрации </w:t>
      </w:r>
      <w:r>
        <w:rPr>
          <w:rFonts w:ascii="Times New Roman" w:hAnsi="Times New Roman"/>
          <w:sz w:val="26"/>
          <w:szCs w:val="26"/>
        </w:rPr>
        <w:t>города Когалыма от 01.07.2013 №</w:t>
      </w:r>
      <w:r w:rsidRPr="005B2DCE">
        <w:rPr>
          <w:rFonts w:ascii="Times New Roman" w:hAnsi="Times New Roman"/>
          <w:sz w:val="26"/>
          <w:szCs w:val="26"/>
        </w:rPr>
        <w:t>1999).</w:t>
      </w:r>
    </w:p>
    <w:p w:rsidR="004616EA" w:rsidRPr="005B2DCE" w:rsidRDefault="004616EA" w:rsidP="005B2DCE">
      <w:pPr>
        <w:numPr>
          <w:ilvl w:val="0"/>
          <w:numId w:val="58"/>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 xml:space="preserve">В городе Когалыме в сравнении с другими муниципальными образованиями Ханты-Мансийского автономного округа – Югры процедуры, необходимые для получения разрешения на строительство, регламентированы </w:t>
      </w:r>
      <w:r w:rsidRPr="005B2DCE">
        <w:rPr>
          <w:rFonts w:ascii="Times New Roman" w:hAnsi="Times New Roman"/>
          <w:sz w:val="26"/>
          <w:szCs w:val="26"/>
        </w:rPr>
        <w:lastRenderedPageBreak/>
        <w:t xml:space="preserve">наиболее подробно (по результатам анализа, проведенного в рамках НИР «Проведение детального анализа положения дел в области  градостроительной и инвестиционной деятельности,  выявление существующих проблем и выработка  предложений по организации системы мер, направленных  </w:t>
      </w:r>
      <w:r w:rsidRPr="005B2DCE">
        <w:rPr>
          <w:rFonts w:ascii="Times New Roman" w:hAnsi="Times New Roman"/>
          <w:sz w:val="26"/>
          <w:szCs w:val="26"/>
        </w:rPr>
        <w:lastRenderedPageBreak/>
        <w:t>на обеспечение благоприятного инвестиционного климата в сфере строительства и при подключении к энергетической инфраструктуре в Ханты-Мансийском автономном округе – Югре» (далее – НИР), выполненного ООО ИТП «Град» в 2013 г. по заказу Правительства Ханты-Мансийского автономного округа – Югры).</w:t>
      </w:r>
    </w:p>
    <w:p w:rsidR="004616EA" w:rsidRPr="005B2DCE" w:rsidRDefault="004616EA" w:rsidP="005B2DCE">
      <w:pPr>
        <w:numPr>
          <w:ilvl w:val="0"/>
          <w:numId w:val="58"/>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lastRenderedPageBreak/>
        <w:t>Выполнен ряд положений Стандарта деятельности органов местного самоуправления по обеспечению благоприятного инвестиционного климата в муниципальном образовании:</w:t>
      </w:r>
    </w:p>
    <w:p w:rsidR="004616EA" w:rsidRPr="005B2DCE" w:rsidRDefault="004616EA" w:rsidP="005B2DCE">
      <w:pPr>
        <w:numPr>
          <w:ilvl w:val="0"/>
          <w:numId w:val="60"/>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 xml:space="preserve">в целях стимулирования инвестиционной активности, поддержки перспективных инвестиционных проектов на территории города Когалыма </w:t>
      </w:r>
      <w:r w:rsidRPr="005B2DCE">
        <w:rPr>
          <w:rFonts w:ascii="Times New Roman" w:hAnsi="Times New Roman"/>
          <w:sz w:val="26"/>
          <w:szCs w:val="26"/>
        </w:rPr>
        <w:lastRenderedPageBreak/>
        <w:t xml:space="preserve">создан Совет по вопросам развития инвестиционной деятельности в городе Когалыме. Совет позволяет согласовывать и координировать действия бизнеса и власти в вопросах улучшения инвестиционного климата, обеспечивает вовлечение инвесторов в разработку и реализацию политики по </w:t>
      </w:r>
      <w:r w:rsidRPr="005B2DCE">
        <w:rPr>
          <w:rFonts w:ascii="Times New Roman" w:hAnsi="Times New Roman"/>
          <w:sz w:val="26"/>
          <w:szCs w:val="26"/>
        </w:rPr>
        <w:lastRenderedPageBreak/>
        <w:t>привлечению инвестиций, общественную экспертизу инвестиционных проектов, рассмотрение инициатив бизнес-сообщества;</w:t>
      </w:r>
    </w:p>
    <w:p w:rsidR="004616EA" w:rsidRPr="005B2DCE" w:rsidRDefault="004616EA" w:rsidP="005B2DCE">
      <w:pPr>
        <w:numPr>
          <w:ilvl w:val="0"/>
          <w:numId w:val="60"/>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 xml:space="preserve">выделены земельные участки в целях реализации инвестиционных проектов на территории города Когалыма; </w:t>
      </w:r>
    </w:p>
    <w:p w:rsidR="004616EA" w:rsidRPr="005B2DCE" w:rsidRDefault="004616EA" w:rsidP="005B2DCE">
      <w:pPr>
        <w:numPr>
          <w:ilvl w:val="0"/>
          <w:numId w:val="60"/>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lastRenderedPageBreak/>
        <w:t>утвержден План мероприятий по формированию благоприятного инвестиционного климата в городе Когалыме;</w:t>
      </w:r>
    </w:p>
    <w:p w:rsidR="004616EA" w:rsidRPr="005B2DCE" w:rsidRDefault="004616EA" w:rsidP="005B2DCE">
      <w:pPr>
        <w:numPr>
          <w:ilvl w:val="0"/>
          <w:numId w:val="60"/>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 xml:space="preserve">сформирован План-график проведения аукционов по продаже и (или) предоставлению в аренду земельных </w:t>
      </w:r>
      <w:r w:rsidRPr="005B2DCE">
        <w:rPr>
          <w:rFonts w:ascii="Times New Roman" w:hAnsi="Times New Roman"/>
          <w:sz w:val="26"/>
          <w:szCs w:val="26"/>
        </w:rPr>
        <w:lastRenderedPageBreak/>
        <w:t>участков для жилищного строительства в городе Когалыме на период 2014-2016 годов;</w:t>
      </w:r>
    </w:p>
    <w:p w:rsidR="004616EA" w:rsidRPr="005B2DCE" w:rsidRDefault="004616EA" w:rsidP="005B2DCE">
      <w:pPr>
        <w:numPr>
          <w:ilvl w:val="0"/>
          <w:numId w:val="60"/>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представлен перечень утвержденных инвестиционных проектов;</w:t>
      </w:r>
    </w:p>
    <w:p w:rsidR="004616EA" w:rsidRPr="005B2DCE" w:rsidRDefault="004616EA" w:rsidP="005B2DCE">
      <w:pPr>
        <w:numPr>
          <w:ilvl w:val="0"/>
          <w:numId w:val="60"/>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 xml:space="preserve">организованы каналы прямой связи инвесторов с органами местного </w:t>
      </w:r>
      <w:r w:rsidRPr="005B2DCE">
        <w:rPr>
          <w:rFonts w:ascii="Times New Roman" w:hAnsi="Times New Roman"/>
          <w:sz w:val="26"/>
          <w:szCs w:val="26"/>
        </w:rPr>
        <w:lastRenderedPageBreak/>
        <w:t>самоуправления для оперативного решения возникающих в процессе инвестиционной деятельности вопросов.</w:t>
      </w:r>
    </w:p>
    <w:p w:rsidR="004616EA" w:rsidRPr="005B2DCE" w:rsidRDefault="004616EA" w:rsidP="005B2DCE">
      <w:pPr>
        <w:tabs>
          <w:tab w:val="left" w:pos="426"/>
        </w:tabs>
        <w:spacing w:after="0" w:line="240" w:lineRule="auto"/>
        <w:ind w:firstLine="709"/>
        <w:jc w:val="both"/>
        <w:rPr>
          <w:rFonts w:ascii="Times New Roman" w:hAnsi="Times New Roman"/>
          <w:sz w:val="26"/>
          <w:szCs w:val="26"/>
        </w:rPr>
      </w:pPr>
      <w:r w:rsidRPr="005B2DCE">
        <w:rPr>
          <w:rFonts w:ascii="Times New Roman" w:hAnsi="Times New Roman"/>
          <w:sz w:val="26"/>
          <w:szCs w:val="26"/>
        </w:rPr>
        <w:t>Слабые стороны</w:t>
      </w:r>
    </w:p>
    <w:p w:rsidR="004616EA" w:rsidRPr="005B2DCE" w:rsidRDefault="004616EA" w:rsidP="005B2DCE">
      <w:pPr>
        <w:numPr>
          <w:ilvl w:val="0"/>
          <w:numId w:val="61"/>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Отсутствует специализированный двуязычный Интернет-ресурс инвестиционной деятельности в муниципальном образовании.</w:t>
      </w:r>
    </w:p>
    <w:p w:rsidR="004616EA" w:rsidRPr="005B2DCE" w:rsidRDefault="004616EA" w:rsidP="005B2DCE">
      <w:pPr>
        <w:numPr>
          <w:ilvl w:val="0"/>
          <w:numId w:val="61"/>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lastRenderedPageBreak/>
        <w:t>Отсутствует программа формирования и развития имиджа муниципального образования.</w:t>
      </w:r>
    </w:p>
    <w:p w:rsidR="004616EA" w:rsidRPr="005B2DCE" w:rsidRDefault="004616EA" w:rsidP="005B2DCE">
      <w:pPr>
        <w:numPr>
          <w:ilvl w:val="0"/>
          <w:numId w:val="61"/>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 xml:space="preserve">Согласно проведенному анализу в рамках НИР выявлены нарушения взаимодействия заявителя, органа, оказывающего государственную или муниципальную услугу, и органов власти и организаций, обращение в которые </w:t>
      </w:r>
      <w:r w:rsidRPr="005B2DCE">
        <w:rPr>
          <w:rFonts w:ascii="Times New Roman" w:hAnsi="Times New Roman"/>
          <w:sz w:val="26"/>
          <w:szCs w:val="26"/>
        </w:rPr>
        <w:lastRenderedPageBreak/>
        <w:t>необходимо для предоставления услуги, в рамках оказания государственных и муниципальных услуг в сфере земельно-имущественных отношений, инвестиционной деятельности, градостроительства (нарушение прав заявителей на предоставление услуги в многофункциональном центре).</w:t>
      </w:r>
    </w:p>
    <w:p w:rsidR="004616EA" w:rsidRPr="005B2DCE" w:rsidRDefault="004616EA" w:rsidP="005B2DCE">
      <w:pPr>
        <w:numPr>
          <w:ilvl w:val="0"/>
          <w:numId w:val="61"/>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lastRenderedPageBreak/>
        <w:t>В городе Когалыме средняя степень согласованности документов территориального и социально-экономического развития и составляет от 40 до 70 % (по результатам анализа, проведенного в рамках НИР).</w:t>
      </w:r>
    </w:p>
    <w:p w:rsidR="004616EA" w:rsidRPr="005B2DCE" w:rsidRDefault="004616EA" w:rsidP="005B2DCE">
      <w:pPr>
        <w:tabs>
          <w:tab w:val="left" w:pos="426"/>
        </w:tabs>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Город Когалым характеризуется низкой согласованностью по среднему ежегодному темпу прироста целевых </w:t>
      </w:r>
      <w:r w:rsidRPr="005B2DCE">
        <w:rPr>
          <w:rFonts w:ascii="Times New Roman" w:hAnsi="Times New Roman"/>
          <w:sz w:val="26"/>
          <w:szCs w:val="26"/>
        </w:rPr>
        <w:lastRenderedPageBreak/>
        <w:t>показателей развития, а также несоответствием сроков разработки документов социально-экономического и территориального планирования, что тормозит реализацию целей и задач социально-экономического развития муниципального образования.</w:t>
      </w:r>
    </w:p>
    <w:p w:rsidR="004616EA" w:rsidRPr="005B2DCE" w:rsidRDefault="004616EA" w:rsidP="005B2DCE">
      <w:pPr>
        <w:tabs>
          <w:tab w:val="left" w:pos="426"/>
        </w:tabs>
        <w:spacing w:after="0" w:line="240" w:lineRule="auto"/>
        <w:ind w:firstLine="709"/>
        <w:jc w:val="both"/>
        <w:rPr>
          <w:rFonts w:ascii="Times New Roman" w:hAnsi="Times New Roman"/>
          <w:sz w:val="26"/>
          <w:szCs w:val="26"/>
        </w:rPr>
      </w:pPr>
      <w:r w:rsidRPr="005B2DCE">
        <w:rPr>
          <w:rFonts w:ascii="Times New Roman" w:hAnsi="Times New Roman"/>
          <w:sz w:val="26"/>
          <w:szCs w:val="26"/>
        </w:rPr>
        <w:t>Возможности</w:t>
      </w:r>
    </w:p>
    <w:p w:rsidR="004616EA" w:rsidRPr="005B2DCE" w:rsidRDefault="004616EA" w:rsidP="005B2DCE">
      <w:pPr>
        <w:numPr>
          <w:ilvl w:val="0"/>
          <w:numId w:val="62"/>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lastRenderedPageBreak/>
        <w:t>Увеличение вероятности реализации инвестиционных проектов на территории городского округа за счет актуализации документов территориального планирования муниципального образования с учетом стратегических документов, принятых на федераль</w:t>
      </w:r>
      <w:r w:rsidRPr="005B2DCE">
        <w:rPr>
          <w:rFonts w:ascii="Times New Roman" w:hAnsi="Times New Roman"/>
          <w:sz w:val="26"/>
          <w:szCs w:val="26"/>
        </w:rPr>
        <w:lastRenderedPageBreak/>
        <w:t>ном уровне, на уровне Ханты-Мансийского автономного округа – Югры и муниципального образования.</w:t>
      </w:r>
    </w:p>
    <w:p w:rsidR="004616EA" w:rsidRPr="005B2DCE" w:rsidRDefault="004616EA" w:rsidP="005B2DCE">
      <w:pPr>
        <w:numPr>
          <w:ilvl w:val="0"/>
          <w:numId w:val="62"/>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Дальнейшее развитие доступной инфраструктуры для размещения производственных и иных объектов инвесторов, в том числе промышленных парков, технологических парков, бизнес-центров.</w:t>
      </w:r>
    </w:p>
    <w:p w:rsidR="004616EA" w:rsidRPr="005B2DCE" w:rsidRDefault="004616EA" w:rsidP="005B2DCE">
      <w:pPr>
        <w:numPr>
          <w:ilvl w:val="0"/>
          <w:numId w:val="62"/>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lastRenderedPageBreak/>
        <w:t>Устранение административных барьеров на пути развития бизнеса путем обеспечения действия режима «одного окна» для инвесторов при взаимодействии с исполнительными органами местного самоуправления.</w:t>
      </w:r>
    </w:p>
    <w:p w:rsidR="004616EA" w:rsidRPr="005B2DCE" w:rsidRDefault="004616EA" w:rsidP="005B2DCE">
      <w:pPr>
        <w:numPr>
          <w:ilvl w:val="0"/>
          <w:numId w:val="62"/>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Организация межмуниципального сотрудничества в целях реализации инвестиционных проектов.</w:t>
      </w:r>
    </w:p>
    <w:p w:rsidR="004616EA" w:rsidRPr="005B2DCE" w:rsidRDefault="004616EA" w:rsidP="005B2DCE">
      <w:pPr>
        <w:tabs>
          <w:tab w:val="left" w:pos="426"/>
        </w:tabs>
        <w:spacing w:after="0" w:line="240" w:lineRule="auto"/>
        <w:ind w:firstLine="709"/>
        <w:jc w:val="both"/>
        <w:rPr>
          <w:rFonts w:ascii="Times New Roman" w:hAnsi="Times New Roman"/>
          <w:b/>
          <w:sz w:val="26"/>
          <w:szCs w:val="26"/>
        </w:rPr>
      </w:pPr>
      <w:r w:rsidRPr="005B2DCE">
        <w:rPr>
          <w:rFonts w:ascii="Times New Roman" w:hAnsi="Times New Roman"/>
          <w:b/>
          <w:sz w:val="26"/>
          <w:szCs w:val="26"/>
        </w:rPr>
        <w:lastRenderedPageBreak/>
        <w:t>Угрозы</w:t>
      </w:r>
    </w:p>
    <w:p w:rsidR="004616EA" w:rsidRPr="005B2DCE" w:rsidRDefault="004616EA" w:rsidP="005B2DCE">
      <w:pPr>
        <w:tabs>
          <w:tab w:val="left" w:pos="426"/>
        </w:tabs>
        <w:spacing w:after="0" w:line="240" w:lineRule="auto"/>
        <w:ind w:firstLine="709"/>
        <w:jc w:val="both"/>
        <w:rPr>
          <w:rFonts w:ascii="Times New Roman" w:hAnsi="Times New Roman"/>
          <w:sz w:val="26"/>
          <w:szCs w:val="26"/>
        </w:rPr>
      </w:pPr>
      <w:r w:rsidRPr="005B2DCE">
        <w:rPr>
          <w:rFonts w:ascii="Times New Roman" w:hAnsi="Times New Roman"/>
          <w:sz w:val="26"/>
          <w:szCs w:val="26"/>
        </w:rPr>
        <w:t>1.</w:t>
      </w:r>
      <w:r w:rsidRPr="005B2DCE">
        <w:rPr>
          <w:rFonts w:ascii="Times New Roman" w:hAnsi="Times New Roman"/>
          <w:sz w:val="26"/>
          <w:szCs w:val="26"/>
        </w:rPr>
        <w:tab/>
        <w:t>Снижение уровня комфорта для ведения бизнеса на территории города Когалыма без активизации органов местного самоуправления в совершенствовании системы мер поддержки инвесторов, в том числе в виде налого</w:t>
      </w:r>
      <w:r w:rsidRPr="005B2DCE">
        <w:rPr>
          <w:rFonts w:ascii="Times New Roman" w:hAnsi="Times New Roman"/>
          <w:sz w:val="26"/>
          <w:szCs w:val="26"/>
        </w:rPr>
        <w:lastRenderedPageBreak/>
        <w:t>вых льгот, снижения административных барьеров, предоставления субсидий и муниципальных гарантий.</w:t>
      </w:r>
    </w:p>
    <w:p w:rsidR="004616EA" w:rsidRPr="002D1208" w:rsidRDefault="004616EA" w:rsidP="005B2DCE">
      <w:pPr>
        <w:pStyle w:val="3"/>
        <w:spacing w:line="240" w:lineRule="auto"/>
        <w:ind w:firstLine="709"/>
        <w:rPr>
          <w:bCs w:val="0"/>
          <w:sz w:val="26"/>
        </w:rPr>
      </w:pPr>
      <w:bookmarkStart w:id="88" w:name="_Toc387239000"/>
      <w:r w:rsidRPr="005B2DCE">
        <w:rPr>
          <w:b w:val="0"/>
          <w:bCs w:val="0"/>
          <w:sz w:val="26"/>
        </w:rPr>
        <w:tab/>
      </w:r>
      <w:bookmarkStart w:id="89" w:name="_Toc405805502"/>
      <w:r w:rsidRPr="002D1208">
        <w:rPr>
          <w:bCs w:val="0"/>
          <w:sz w:val="26"/>
        </w:rPr>
        <w:t>2.11 Историко-культурный потенциал территории</w:t>
      </w:r>
      <w:bookmarkEnd w:id="88"/>
      <w:bookmarkEnd w:id="89"/>
      <w:r w:rsidRPr="002D1208">
        <w:rPr>
          <w:bCs w:val="0"/>
          <w:sz w:val="26"/>
        </w:rPr>
        <w:t xml:space="preserve"> </w:t>
      </w:r>
    </w:p>
    <w:p w:rsidR="004616EA" w:rsidRPr="005B2DCE" w:rsidRDefault="004616EA" w:rsidP="005B2DCE">
      <w:pPr>
        <w:pStyle w:val="af6"/>
        <w:tabs>
          <w:tab w:val="left" w:pos="567"/>
        </w:tabs>
        <w:spacing w:after="0"/>
        <w:ind w:left="0" w:firstLine="709"/>
        <w:jc w:val="both"/>
        <w:rPr>
          <w:lang w:eastAsia="en-US"/>
        </w:rPr>
      </w:pPr>
      <w:r w:rsidRPr="005B2DCE">
        <w:rPr>
          <w:lang w:eastAsia="en-US"/>
        </w:rPr>
        <w:t>Коренные малочисленные народы Севера</w:t>
      </w:r>
    </w:p>
    <w:p w:rsidR="004616EA" w:rsidRPr="005B2DCE" w:rsidRDefault="004616EA" w:rsidP="005B2DCE">
      <w:pPr>
        <w:pStyle w:val="af6"/>
        <w:tabs>
          <w:tab w:val="left" w:pos="567"/>
        </w:tabs>
        <w:spacing w:after="0"/>
        <w:ind w:left="0" w:firstLine="709"/>
        <w:jc w:val="both"/>
        <w:rPr>
          <w:lang w:eastAsia="en-US"/>
        </w:rPr>
      </w:pPr>
      <w:r w:rsidRPr="005B2DCE">
        <w:rPr>
          <w:lang w:eastAsia="en-US"/>
        </w:rPr>
        <w:lastRenderedPageBreak/>
        <w:t xml:space="preserve">Важное место в культуре Ханты-Мансийского автономного округа занимают коренные малочисленные народы Севера. В результате анализа культуры и традиционной деятельности коренных малочисленных народов Севера (далее КМНС) города Когалыма можно выделить следующие ключевые сильные и слабые стороны, </w:t>
      </w:r>
      <w:r w:rsidRPr="005B2DCE">
        <w:rPr>
          <w:lang w:eastAsia="en-US"/>
        </w:rPr>
        <w:lastRenderedPageBreak/>
        <w:t>а также ряд потенциальных возможностей и угроз.</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Сильные стороны</w:t>
      </w:r>
    </w:p>
    <w:p w:rsidR="004616EA" w:rsidRPr="005B2DCE" w:rsidRDefault="004616EA" w:rsidP="005B2DCE">
      <w:pPr>
        <w:pStyle w:val="a9"/>
        <w:numPr>
          <w:ilvl w:val="0"/>
          <w:numId w:val="29"/>
        </w:numPr>
        <w:tabs>
          <w:tab w:val="left" w:pos="284"/>
          <w:tab w:val="left" w:pos="426"/>
          <w:tab w:val="left" w:pos="851"/>
          <w:tab w:val="left" w:pos="1134"/>
        </w:tabs>
        <w:spacing w:after="0"/>
        <w:ind w:left="0" w:firstLine="709"/>
        <w:rPr>
          <w:sz w:val="26"/>
          <w:szCs w:val="26"/>
          <w:lang w:eastAsia="en-US"/>
        </w:rPr>
      </w:pPr>
      <w:r w:rsidRPr="005B2DCE">
        <w:rPr>
          <w:sz w:val="26"/>
          <w:szCs w:val="26"/>
          <w:lang w:eastAsia="en-US"/>
        </w:rPr>
        <w:t>наличие на территории города Когалыма постоянно проживающих коренных малочисленных народов Севера (236 человек);</w:t>
      </w:r>
    </w:p>
    <w:p w:rsidR="004616EA" w:rsidRPr="005B2DCE" w:rsidRDefault="004616EA" w:rsidP="005B2DCE">
      <w:pPr>
        <w:pStyle w:val="a9"/>
        <w:numPr>
          <w:ilvl w:val="0"/>
          <w:numId w:val="29"/>
        </w:numPr>
        <w:tabs>
          <w:tab w:val="left" w:pos="284"/>
          <w:tab w:val="left" w:pos="426"/>
          <w:tab w:val="left" w:pos="851"/>
          <w:tab w:val="left" w:pos="1134"/>
        </w:tabs>
        <w:spacing w:after="0"/>
        <w:ind w:left="0" w:firstLine="709"/>
        <w:rPr>
          <w:sz w:val="26"/>
          <w:szCs w:val="26"/>
          <w:lang w:eastAsia="en-US"/>
        </w:rPr>
      </w:pPr>
      <w:r w:rsidRPr="005B2DCE">
        <w:rPr>
          <w:sz w:val="26"/>
          <w:szCs w:val="26"/>
          <w:lang w:eastAsia="en-US"/>
        </w:rPr>
        <w:t>наличие МБУ "Музейно-выставочный центр";</w:t>
      </w:r>
    </w:p>
    <w:p w:rsidR="004616EA" w:rsidRPr="005B2DCE" w:rsidRDefault="004616EA" w:rsidP="005B2DCE">
      <w:pPr>
        <w:pStyle w:val="a9"/>
        <w:numPr>
          <w:ilvl w:val="0"/>
          <w:numId w:val="29"/>
        </w:numPr>
        <w:tabs>
          <w:tab w:val="left" w:pos="284"/>
          <w:tab w:val="left" w:pos="426"/>
          <w:tab w:val="left" w:pos="851"/>
          <w:tab w:val="left" w:pos="1134"/>
        </w:tabs>
        <w:spacing w:after="0"/>
        <w:ind w:left="0" w:firstLine="709"/>
        <w:rPr>
          <w:sz w:val="26"/>
          <w:szCs w:val="26"/>
          <w:lang w:eastAsia="en-US"/>
        </w:rPr>
      </w:pPr>
      <w:r w:rsidRPr="005B2DCE">
        <w:rPr>
          <w:sz w:val="26"/>
          <w:szCs w:val="26"/>
          <w:lang w:eastAsia="en-US"/>
        </w:rPr>
        <w:lastRenderedPageBreak/>
        <w:t>наличие программ, стратегий и концепций, направленных на создание оптимальных условий для устойчивого экономического и социально-культурного развития коренных малочисленных народов Севера.</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Слабые стороны</w:t>
      </w:r>
    </w:p>
    <w:p w:rsidR="004616EA" w:rsidRPr="005B2DCE" w:rsidRDefault="004616EA" w:rsidP="005B2DCE">
      <w:pPr>
        <w:pStyle w:val="a9"/>
        <w:numPr>
          <w:ilvl w:val="0"/>
          <w:numId w:val="29"/>
        </w:numPr>
        <w:tabs>
          <w:tab w:val="left" w:pos="284"/>
          <w:tab w:val="left" w:pos="426"/>
          <w:tab w:val="left" w:pos="851"/>
          <w:tab w:val="left" w:pos="1134"/>
        </w:tabs>
        <w:spacing w:after="0"/>
        <w:ind w:left="0" w:firstLine="709"/>
        <w:rPr>
          <w:sz w:val="26"/>
          <w:szCs w:val="26"/>
          <w:lang w:eastAsia="en-US"/>
        </w:rPr>
      </w:pPr>
      <w:r w:rsidRPr="005B2DCE">
        <w:rPr>
          <w:sz w:val="26"/>
          <w:szCs w:val="26"/>
          <w:lang w:eastAsia="en-US"/>
        </w:rPr>
        <w:t>уменьшение численности коренных малочисленных народов Севера;</w:t>
      </w:r>
    </w:p>
    <w:p w:rsidR="004616EA" w:rsidRPr="005B2DCE" w:rsidRDefault="004616EA" w:rsidP="005B2DCE">
      <w:pPr>
        <w:pStyle w:val="a9"/>
        <w:numPr>
          <w:ilvl w:val="0"/>
          <w:numId w:val="29"/>
        </w:numPr>
        <w:tabs>
          <w:tab w:val="left" w:pos="284"/>
          <w:tab w:val="left" w:pos="426"/>
          <w:tab w:val="left" w:pos="851"/>
          <w:tab w:val="left" w:pos="1134"/>
        </w:tabs>
        <w:spacing w:after="0"/>
        <w:ind w:left="0" w:firstLine="709"/>
        <w:rPr>
          <w:sz w:val="26"/>
          <w:szCs w:val="26"/>
          <w:lang w:eastAsia="en-US"/>
        </w:rPr>
      </w:pPr>
      <w:r w:rsidRPr="005B2DCE">
        <w:rPr>
          <w:sz w:val="26"/>
          <w:szCs w:val="26"/>
          <w:lang w:eastAsia="en-US"/>
        </w:rPr>
        <w:lastRenderedPageBreak/>
        <w:t>наличие семей из числа КМНС, нуждающихся в улучшении жилищных условий;</w:t>
      </w:r>
    </w:p>
    <w:p w:rsidR="004616EA" w:rsidRPr="005B2DCE" w:rsidRDefault="004616EA" w:rsidP="005B2DCE">
      <w:pPr>
        <w:pStyle w:val="a9"/>
        <w:numPr>
          <w:ilvl w:val="0"/>
          <w:numId w:val="29"/>
        </w:numPr>
        <w:tabs>
          <w:tab w:val="left" w:pos="284"/>
          <w:tab w:val="left" w:pos="426"/>
          <w:tab w:val="left" w:pos="851"/>
          <w:tab w:val="left" w:pos="1134"/>
        </w:tabs>
        <w:spacing w:after="0"/>
        <w:ind w:left="0" w:firstLine="709"/>
        <w:rPr>
          <w:sz w:val="26"/>
          <w:szCs w:val="26"/>
          <w:lang w:eastAsia="en-US"/>
        </w:rPr>
      </w:pPr>
      <w:r w:rsidRPr="005B2DCE">
        <w:rPr>
          <w:sz w:val="26"/>
          <w:szCs w:val="26"/>
          <w:lang w:eastAsia="en-US"/>
        </w:rPr>
        <w:t>недостаточно высокий уровень доходов среди коренного населения.</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Возможности</w:t>
      </w:r>
    </w:p>
    <w:p w:rsidR="004616EA" w:rsidRPr="005B2DCE" w:rsidRDefault="004616EA" w:rsidP="005B2DCE">
      <w:pPr>
        <w:pStyle w:val="a9"/>
        <w:numPr>
          <w:ilvl w:val="0"/>
          <w:numId w:val="29"/>
        </w:numPr>
        <w:tabs>
          <w:tab w:val="left" w:pos="284"/>
          <w:tab w:val="left" w:pos="426"/>
          <w:tab w:val="left" w:pos="851"/>
          <w:tab w:val="left" w:pos="1134"/>
        </w:tabs>
        <w:spacing w:after="0"/>
        <w:ind w:left="0" w:firstLine="709"/>
        <w:rPr>
          <w:sz w:val="26"/>
          <w:szCs w:val="26"/>
          <w:lang w:eastAsia="en-US"/>
        </w:rPr>
      </w:pPr>
      <w:r w:rsidRPr="005B2DCE">
        <w:rPr>
          <w:sz w:val="26"/>
          <w:szCs w:val="26"/>
          <w:lang w:eastAsia="en-US"/>
        </w:rPr>
        <w:lastRenderedPageBreak/>
        <w:t>создание условий для устойчивого функционирования традиционных отраслей хозяйствования, поддержку традиционного образа жизни и природопользования;</w:t>
      </w:r>
    </w:p>
    <w:p w:rsidR="004616EA" w:rsidRPr="005B2DCE" w:rsidRDefault="004616EA" w:rsidP="005B2DCE">
      <w:pPr>
        <w:pStyle w:val="a9"/>
        <w:numPr>
          <w:ilvl w:val="0"/>
          <w:numId w:val="29"/>
        </w:numPr>
        <w:tabs>
          <w:tab w:val="left" w:pos="284"/>
          <w:tab w:val="left" w:pos="426"/>
          <w:tab w:val="left" w:pos="851"/>
          <w:tab w:val="left" w:pos="1134"/>
        </w:tabs>
        <w:spacing w:after="0"/>
        <w:ind w:left="0" w:firstLine="709"/>
        <w:rPr>
          <w:sz w:val="26"/>
          <w:szCs w:val="26"/>
          <w:lang w:eastAsia="en-US"/>
        </w:rPr>
      </w:pPr>
      <w:r w:rsidRPr="005B2DCE">
        <w:rPr>
          <w:sz w:val="26"/>
          <w:szCs w:val="26"/>
          <w:lang w:eastAsia="en-US"/>
        </w:rPr>
        <w:t>обеспечение повышения качества жизни, улучшения здоровья, создания системы жизнеобеспечения и соци</w:t>
      </w:r>
      <w:r w:rsidRPr="005B2DCE">
        <w:rPr>
          <w:sz w:val="26"/>
          <w:szCs w:val="26"/>
          <w:lang w:eastAsia="en-US"/>
        </w:rPr>
        <w:lastRenderedPageBreak/>
        <w:t>ально-бытовых условий, способствующих удовлетворению жизненно важных потребностей коренных малочисленных народов;</w:t>
      </w:r>
    </w:p>
    <w:p w:rsidR="004616EA" w:rsidRPr="005B2DCE" w:rsidRDefault="004616EA" w:rsidP="005B2DCE">
      <w:pPr>
        <w:pStyle w:val="a9"/>
        <w:numPr>
          <w:ilvl w:val="0"/>
          <w:numId w:val="29"/>
        </w:numPr>
        <w:tabs>
          <w:tab w:val="left" w:pos="284"/>
          <w:tab w:val="left" w:pos="426"/>
          <w:tab w:val="left" w:pos="851"/>
          <w:tab w:val="left" w:pos="1134"/>
        </w:tabs>
        <w:spacing w:after="0"/>
        <w:ind w:left="0" w:firstLine="709"/>
        <w:rPr>
          <w:sz w:val="26"/>
          <w:szCs w:val="26"/>
          <w:lang w:eastAsia="en-US"/>
        </w:rPr>
      </w:pPr>
      <w:r w:rsidRPr="005B2DCE">
        <w:rPr>
          <w:sz w:val="26"/>
          <w:szCs w:val="26"/>
          <w:lang w:eastAsia="en-US"/>
        </w:rPr>
        <w:t>создание условий для сохранения наследия, развития и популяризации языков, культуры, фольклора, ремесел и искусств коренных малочисленных народов.</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Угрозы</w:t>
      </w:r>
    </w:p>
    <w:p w:rsidR="004616EA" w:rsidRPr="005B2DCE" w:rsidRDefault="004616EA" w:rsidP="005B2DCE">
      <w:pPr>
        <w:pStyle w:val="a9"/>
        <w:numPr>
          <w:ilvl w:val="0"/>
          <w:numId w:val="29"/>
        </w:numPr>
        <w:tabs>
          <w:tab w:val="left" w:pos="284"/>
          <w:tab w:val="left" w:pos="426"/>
          <w:tab w:val="left" w:pos="851"/>
          <w:tab w:val="left" w:pos="1134"/>
        </w:tabs>
        <w:spacing w:after="0"/>
        <w:ind w:left="0" w:firstLine="709"/>
        <w:rPr>
          <w:sz w:val="26"/>
          <w:szCs w:val="26"/>
          <w:lang w:eastAsia="en-US"/>
        </w:rPr>
      </w:pPr>
      <w:r w:rsidRPr="005B2DCE">
        <w:rPr>
          <w:sz w:val="26"/>
          <w:szCs w:val="26"/>
          <w:lang w:eastAsia="en-US"/>
        </w:rPr>
        <w:t>развитие высокой степени заболеваемости и смертности среди коренного населения;</w:t>
      </w:r>
    </w:p>
    <w:p w:rsidR="004616EA" w:rsidRPr="005B2DCE" w:rsidRDefault="004616EA" w:rsidP="005B2DCE">
      <w:pPr>
        <w:pStyle w:val="a9"/>
        <w:numPr>
          <w:ilvl w:val="0"/>
          <w:numId w:val="29"/>
        </w:numPr>
        <w:tabs>
          <w:tab w:val="left" w:pos="284"/>
          <w:tab w:val="left" w:pos="426"/>
          <w:tab w:val="left" w:pos="851"/>
          <w:tab w:val="left" w:pos="1134"/>
        </w:tabs>
        <w:spacing w:after="0"/>
        <w:ind w:left="0" w:firstLine="709"/>
        <w:rPr>
          <w:sz w:val="26"/>
          <w:szCs w:val="26"/>
          <w:lang w:eastAsia="en-US"/>
        </w:rPr>
      </w:pPr>
      <w:r w:rsidRPr="005B2DCE">
        <w:rPr>
          <w:sz w:val="26"/>
          <w:szCs w:val="26"/>
          <w:lang w:eastAsia="en-US"/>
        </w:rPr>
        <w:t>исчезновение коренного населения, а также их культуры и традиций в результате усиления процессов ассимиляции.</w:t>
      </w:r>
    </w:p>
    <w:p w:rsidR="004616EA" w:rsidRPr="002D1208" w:rsidRDefault="004616EA" w:rsidP="005B2DCE">
      <w:pPr>
        <w:pStyle w:val="3"/>
        <w:spacing w:line="240" w:lineRule="auto"/>
        <w:ind w:firstLine="709"/>
        <w:rPr>
          <w:bCs w:val="0"/>
          <w:sz w:val="26"/>
        </w:rPr>
      </w:pPr>
      <w:r w:rsidRPr="005B2DCE">
        <w:rPr>
          <w:b w:val="0"/>
          <w:bCs w:val="0"/>
          <w:sz w:val="26"/>
        </w:rPr>
        <w:lastRenderedPageBreak/>
        <w:tab/>
      </w:r>
      <w:bookmarkStart w:id="90" w:name="_Toc405805503"/>
      <w:r w:rsidRPr="002D1208">
        <w:rPr>
          <w:bCs w:val="0"/>
          <w:sz w:val="26"/>
        </w:rPr>
        <w:t>2.12 Анализ развития малого и среднего предпринимательства</w:t>
      </w:r>
      <w:bookmarkEnd w:id="90"/>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Развитие малого и среднего бизнеса имеет огромное значение для экономики города. По состоянию на 01.01.2014 в городе Когалыме зарегистрировано 1426 индивидуальных предпринимателей и 316 средних и малых предприятий.</w:t>
      </w:r>
    </w:p>
    <w:p w:rsidR="004616EA" w:rsidRPr="005B2DCE" w:rsidRDefault="004616EA" w:rsidP="005B2DCE">
      <w:pPr>
        <w:widowControl w:val="0"/>
        <w:autoSpaceDE w:val="0"/>
        <w:autoSpaceDN w:val="0"/>
        <w:adjustRightInd w:val="0"/>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Сегодня малый и средний бизнес на территории городского округа характеризуется высокой степенью риска, значительной зависимостью от инициативы и способностей руководителя, финансовой и коммерческой неустойчивостью, низким уровнем финансовых резервов, ограниченностью ос</w:t>
      </w:r>
      <w:r w:rsidRPr="005B2DCE">
        <w:rPr>
          <w:rFonts w:ascii="Times New Roman" w:hAnsi="Times New Roman"/>
          <w:sz w:val="26"/>
          <w:szCs w:val="26"/>
        </w:rPr>
        <w:lastRenderedPageBreak/>
        <w:t>новных фондов, сравнительно небольшим перечнем развитых сфер хозяйственной деятельности, небольшой численностью работников и ограниченным числом квалифицированного управленческого персонала.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В структуре распределения малых и средних предприятий по видам экономической деятельности наибольшую </w:t>
      </w:r>
      <w:r w:rsidRPr="005B2DCE">
        <w:rPr>
          <w:rFonts w:ascii="Times New Roman" w:hAnsi="Times New Roman"/>
          <w:sz w:val="26"/>
          <w:szCs w:val="26"/>
        </w:rPr>
        <w:lastRenderedPageBreak/>
        <w:t>долю занимают предприятия в сфере оптовой и розничной торговли (около 31%). Около 17% малых и средних предприятий осуществляют деятельность в сфере транспорта и связи, 14,5% - в сфере операций с недвижимым имуществом, 13,6% - в строительстве (</w:t>
      </w:r>
      <w:r w:rsidR="001977F4">
        <w:fldChar w:fldCharType="begin"/>
      </w:r>
      <w:r w:rsidR="001977F4">
        <w:instrText xml:space="preserve"> REF _Ref397020438 \h  \* MERGEFORMAT </w:instrText>
      </w:r>
      <w:r w:rsidR="001977F4">
        <w:fldChar w:fldCharType="separate"/>
      </w:r>
      <w:r w:rsidR="001977F4" w:rsidRPr="001977F4">
        <w:rPr>
          <w:rFonts w:ascii="Times New Roman" w:hAnsi="Times New Roman"/>
          <w:sz w:val="26"/>
          <w:szCs w:val="26"/>
        </w:rPr>
        <w:t>Рисунок 28</w:t>
      </w:r>
      <w:r w:rsidR="001977F4">
        <w:fldChar w:fldCharType="end"/>
      </w:r>
      <w:r w:rsidRPr="005B2DCE">
        <w:rPr>
          <w:rFonts w:ascii="Times New Roman" w:hAnsi="Times New Roman"/>
          <w:sz w:val="26"/>
          <w:szCs w:val="26"/>
        </w:rPr>
        <w:t>).</w:t>
      </w:r>
    </w:p>
    <w:p w:rsidR="004616EA" w:rsidRPr="00475E67" w:rsidRDefault="00E70A58" w:rsidP="00DD0E0E">
      <w:pPr>
        <w:keepNext/>
        <w:autoSpaceDE w:val="0"/>
        <w:autoSpaceDN w:val="0"/>
        <w:adjustRightInd w:val="0"/>
        <w:spacing w:after="0"/>
        <w:ind w:firstLine="426"/>
        <w:jc w:val="both"/>
      </w:pPr>
      <w:r w:rsidRPr="00857607">
        <w:rPr>
          <w:rFonts w:ascii="Times New Roman" w:hAnsi="Times New Roman"/>
          <w:noProof/>
          <w:sz w:val="24"/>
          <w:szCs w:val="24"/>
          <w:lang w:eastAsia="ru-RU"/>
        </w:rPr>
        <w:lastRenderedPageBreak/>
        <w:drawing>
          <wp:inline distT="0" distB="0" distL="0" distR="0">
            <wp:extent cx="5836920" cy="1767840"/>
            <wp:effectExtent l="0" t="0" r="0" b="0"/>
            <wp:docPr id="28" name="Объект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4616EA" w:rsidRPr="005B2DCE" w:rsidRDefault="004616EA" w:rsidP="005B2DCE">
      <w:pPr>
        <w:pStyle w:val="af1"/>
        <w:spacing w:after="0"/>
        <w:ind w:firstLine="709"/>
        <w:jc w:val="both"/>
        <w:rPr>
          <w:rFonts w:ascii="Times New Roman" w:hAnsi="Times New Roman"/>
          <w:b w:val="0"/>
          <w:color w:val="auto"/>
          <w:sz w:val="26"/>
          <w:szCs w:val="26"/>
        </w:rPr>
      </w:pPr>
      <w:bookmarkStart w:id="91" w:name="_Ref397020438"/>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28</w:t>
      </w:r>
      <w:r w:rsidRPr="00475E67">
        <w:rPr>
          <w:rFonts w:ascii="Times New Roman" w:hAnsi="Times New Roman"/>
          <w:b w:val="0"/>
          <w:color w:val="auto"/>
          <w:sz w:val="24"/>
        </w:rPr>
        <w:fldChar w:fldCharType="end"/>
      </w:r>
      <w:bookmarkEnd w:id="91"/>
      <w:r w:rsidRPr="00475E67">
        <w:rPr>
          <w:rFonts w:ascii="Times New Roman" w:hAnsi="Times New Roman"/>
          <w:b w:val="0"/>
          <w:color w:val="auto"/>
          <w:sz w:val="24"/>
        </w:rPr>
        <w:t xml:space="preserve"> - Распределение малых и средних предприятий по видам экономической деятельности в 2013 году</w:t>
      </w:r>
    </w:p>
    <w:p w:rsidR="004616EA" w:rsidRDefault="004616EA" w:rsidP="005B2DCE">
      <w:pPr>
        <w:spacing w:after="0" w:line="240" w:lineRule="auto"/>
        <w:ind w:firstLine="709"/>
        <w:jc w:val="both"/>
        <w:rPr>
          <w:rFonts w:ascii="Times New Roman" w:hAnsi="Times New Roman"/>
          <w:sz w:val="26"/>
          <w:szCs w:val="26"/>
        </w:rPr>
      </w:pP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 xml:space="preserve">Анализ </w:t>
      </w:r>
      <w:r w:rsidRPr="005B2DCE">
        <w:rPr>
          <w:rFonts w:ascii="Times New Roman" w:hAnsi="Times New Roman"/>
          <w:sz w:val="26"/>
          <w:szCs w:val="26"/>
          <w:lang w:eastAsia="ru-RU"/>
        </w:rPr>
        <w:t xml:space="preserve">существующей ситуации в сфере малого и среднего бизнеса </w:t>
      </w:r>
      <w:r w:rsidRPr="005B2DCE">
        <w:rPr>
          <w:rFonts w:ascii="Times New Roman" w:hAnsi="Times New Roman"/>
          <w:sz w:val="26"/>
          <w:szCs w:val="26"/>
        </w:rPr>
        <w:t>позволяет выделить следующие ключевые сильные и слабые стороны данной сферы в городе Когалыме, а также ряд потенциальных возможностей и угроз.</w:t>
      </w:r>
    </w:p>
    <w:p w:rsidR="004616EA" w:rsidRPr="005B2DCE" w:rsidRDefault="004616EA" w:rsidP="005B2DCE">
      <w:pPr>
        <w:widowControl w:val="0"/>
        <w:autoSpaceDE w:val="0"/>
        <w:autoSpaceDN w:val="0"/>
        <w:adjustRightInd w:val="0"/>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Общие данные, характеризующие развитие малого предпринимательства в городе Когалыме, свидетельствуют о </w:t>
      </w:r>
      <w:r w:rsidRPr="005B2DCE">
        <w:rPr>
          <w:rFonts w:ascii="Times New Roman" w:hAnsi="Times New Roman"/>
          <w:sz w:val="26"/>
          <w:szCs w:val="26"/>
        </w:rPr>
        <w:lastRenderedPageBreak/>
        <w:t>позитивных тенденциях в его развитии, но также показывают и ряд существующих проблем.</w:t>
      </w:r>
    </w:p>
    <w:p w:rsidR="004616EA" w:rsidRPr="005B2DCE" w:rsidRDefault="004616EA" w:rsidP="005B2DCE">
      <w:pPr>
        <w:spacing w:after="0" w:line="240" w:lineRule="auto"/>
        <w:ind w:firstLine="709"/>
        <w:jc w:val="both"/>
        <w:rPr>
          <w:rFonts w:ascii="Times New Roman" w:hAnsi="Times New Roman"/>
          <w:b/>
          <w:sz w:val="26"/>
          <w:szCs w:val="26"/>
          <w:lang w:eastAsia="ru-RU"/>
        </w:rPr>
      </w:pPr>
      <w:r w:rsidRPr="005B2DCE">
        <w:rPr>
          <w:rFonts w:ascii="Times New Roman" w:hAnsi="Times New Roman"/>
          <w:b/>
          <w:sz w:val="26"/>
          <w:szCs w:val="26"/>
          <w:lang w:eastAsia="ru-RU"/>
        </w:rPr>
        <w:t>Сильные стороны</w:t>
      </w:r>
    </w:p>
    <w:p w:rsidR="004616EA" w:rsidRPr="005B2DCE" w:rsidRDefault="004616EA" w:rsidP="005B2DCE">
      <w:pPr>
        <w:pStyle w:val="af2"/>
        <w:ind w:firstLine="709"/>
        <w:jc w:val="both"/>
        <w:rPr>
          <w:rFonts w:ascii="Times New Roman" w:hAnsi="Times New Roman"/>
          <w:i/>
          <w:sz w:val="26"/>
          <w:szCs w:val="26"/>
        </w:rPr>
      </w:pPr>
      <w:r w:rsidRPr="005B2DCE">
        <w:rPr>
          <w:rFonts w:ascii="Times New Roman" w:hAnsi="Times New Roman"/>
          <w:i/>
          <w:sz w:val="26"/>
          <w:szCs w:val="26"/>
        </w:rPr>
        <w:t>1. Сложившаяся инфраструктура поддержки малого и среднего предпринимательства</w:t>
      </w:r>
    </w:p>
    <w:p w:rsidR="004616EA" w:rsidRPr="005B2DCE" w:rsidRDefault="004616EA" w:rsidP="005B2DCE">
      <w:pPr>
        <w:pStyle w:val="af2"/>
        <w:ind w:firstLine="709"/>
        <w:jc w:val="both"/>
        <w:rPr>
          <w:rFonts w:ascii="Times New Roman" w:hAnsi="Times New Roman"/>
          <w:sz w:val="26"/>
          <w:szCs w:val="26"/>
        </w:rPr>
      </w:pPr>
      <w:r w:rsidRPr="005B2DCE">
        <w:rPr>
          <w:rFonts w:ascii="Times New Roman" w:hAnsi="Times New Roman"/>
          <w:sz w:val="26"/>
          <w:szCs w:val="26"/>
        </w:rPr>
        <w:t xml:space="preserve">Создание благоприятных условий для поддержки и развития малого и </w:t>
      </w:r>
      <w:r w:rsidRPr="005B2DCE">
        <w:rPr>
          <w:rFonts w:ascii="Times New Roman" w:hAnsi="Times New Roman"/>
          <w:sz w:val="26"/>
          <w:szCs w:val="26"/>
        </w:rPr>
        <w:lastRenderedPageBreak/>
        <w:t xml:space="preserve">среднего предпринимательства, а также оказание услуг субъектам малого и среднего предпринимательства, предоставление им консультационной, финансовой и иной материальной помощи в городе Когалыме осуществляют организации, образующие инфраструктуру поддержки субъектов </w:t>
      </w:r>
      <w:r w:rsidRPr="005B2DCE">
        <w:rPr>
          <w:rFonts w:ascii="Times New Roman" w:hAnsi="Times New Roman"/>
          <w:sz w:val="26"/>
          <w:szCs w:val="26"/>
        </w:rPr>
        <w:lastRenderedPageBreak/>
        <w:t>малого и среднего предпринимательства, такие как:</w:t>
      </w:r>
    </w:p>
    <w:p w:rsidR="004616EA" w:rsidRPr="005B2DCE" w:rsidRDefault="004616EA" w:rsidP="005B2DCE">
      <w:pPr>
        <w:pStyle w:val="af2"/>
        <w:numPr>
          <w:ilvl w:val="0"/>
          <w:numId w:val="73"/>
        </w:numPr>
        <w:tabs>
          <w:tab w:val="clear" w:pos="720"/>
          <w:tab w:val="num" w:pos="0"/>
          <w:tab w:val="left" w:pos="993"/>
        </w:tabs>
        <w:ind w:left="0" w:firstLine="709"/>
        <w:jc w:val="both"/>
        <w:rPr>
          <w:rFonts w:ascii="Times New Roman" w:hAnsi="Times New Roman"/>
          <w:sz w:val="26"/>
          <w:szCs w:val="26"/>
        </w:rPr>
      </w:pPr>
      <w:r w:rsidRPr="005B2DCE">
        <w:rPr>
          <w:rFonts w:ascii="Times New Roman" w:hAnsi="Times New Roman"/>
          <w:sz w:val="26"/>
          <w:szCs w:val="26"/>
        </w:rPr>
        <w:t>Центр инноваций социальной сферы в городе Когалыме;</w:t>
      </w:r>
    </w:p>
    <w:p w:rsidR="004616EA" w:rsidRPr="005B2DCE" w:rsidRDefault="004616EA" w:rsidP="005B2DCE">
      <w:pPr>
        <w:numPr>
          <w:ilvl w:val="0"/>
          <w:numId w:val="73"/>
        </w:numPr>
        <w:tabs>
          <w:tab w:val="clear" w:pos="720"/>
          <w:tab w:val="left" w:pos="142"/>
          <w:tab w:val="left" w:pos="993"/>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Представительство Сургутского филиала Фонда поддержки предпринимательства Югры в городе Когалыме;</w:t>
      </w:r>
    </w:p>
    <w:p w:rsidR="004616EA" w:rsidRPr="005B2DCE" w:rsidRDefault="004616EA" w:rsidP="005B2DCE">
      <w:pPr>
        <w:numPr>
          <w:ilvl w:val="0"/>
          <w:numId w:val="73"/>
        </w:numPr>
        <w:tabs>
          <w:tab w:val="clear" w:pos="720"/>
          <w:tab w:val="left" w:pos="142"/>
          <w:tab w:val="left" w:pos="993"/>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lastRenderedPageBreak/>
        <w:t>Фонд микрофинансирования Югры в городе Когалыме;</w:t>
      </w:r>
    </w:p>
    <w:p w:rsidR="004616EA" w:rsidRPr="005B2DCE" w:rsidRDefault="004616EA" w:rsidP="005B2DCE">
      <w:pPr>
        <w:numPr>
          <w:ilvl w:val="0"/>
          <w:numId w:val="73"/>
        </w:numPr>
        <w:tabs>
          <w:tab w:val="clear" w:pos="720"/>
          <w:tab w:val="left" w:pos="142"/>
          <w:tab w:val="left" w:pos="993"/>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Координационный совет по развитию малого и среднего предпринимательства при Администрации города Когалыма;</w:t>
      </w:r>
    </w:p>
    <w:p w:rsidR="004616EA" w:rsidRPr="005B2DCE" w:rsidRDefault="004616EA" w:rsidP="005B2DCE">
      <w:pPr>
        <w:numPr>
          <w:ilvl w:val="0"/>
          <w:numId w:val="73"/>
        </w:numPr>
        <w:tabs>
          <w:tab w:val="clear" w:pos="720"/>
          <w:tab w:val="left" w:pos="142"/>
          <w:tab w:val="left" w:pos="993"/>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Представительство ООО «Окружной Бизнес-Инкубатор» Югры в городе Когалыме.</w:t>
      </w:r>
    </w:p>
    <w:p w:rsidR="004616EA" w:rsidRPr="005B2DCE" w:rsidRDefault="004616EA" w:rsidP="005B2DCE">
      <w:pPr>
        <w:pStyle w:val="a7"/>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lastRenderedPageBreak/>
        <w:t>2. Активная поддержка субъектов малого и среднего бизнеса со стороны Администрации города Когалыма</w:t>
      </w:r>
    </w:p>
    <w:p w:rsidR="004616EA" w:rsidRPr="005B2DCE" w:rsidRDefault="004616EA" w:rsidP="005B2DCE">
      <w:pPr>
        <w:autoSpaceDE w:val="0"/>
        <w:autoSpaceDN w:val="0"/>
        <w:adjustRightInd w:val="0"/>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В целях создания благоприятных условий для развития малого и среднего предпринимательства на территории города Когалыма реализуются мероприятия подпрограммы «Развитие </w:t>
      </w:r>
      <w:r w:rsidRPr="005B2DCE">
        <w:rPr>
          <w:rFonts w:ascii="Times New Roman" w:hAnsi="Times New Roman"/>
          <w:sz w:val="26"/>
          <w:szCs w:val="26"/>
        </w:rPr>
        <w:lastRenderedPageBreak/>
        <w:t xml:space="preserve">малого и среднего предпринимательства в городе Когалыме на 2014 - 2016 годы» (в рамках муниципальной программы «Социально-экономическое развитие и инвестиции муниципального образования город Когалым на 2014-2016 годы»). </w:t>
      </w:r>
    </w:p>
    <w:p w:rsidR="004616EA" w:rsidRPr="005B2DCE" w:rsidRDefault="004616EA" w:rsidP="005B2DCE">
      <w:pPr>
        <w:autoSpaceDE w:val="0"/>
        <w:autoSpaceDN w:val="0"/>
        <w:adjustRightInd w:val="0"/>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 xml:space="preserve">В рамках подпрограммы Администрацией города Когалыма оказывается финансовая, имущественная, информационная поддержка. В связи с реализацией данной подпрограммы в прогнозируемом периоде планируется увеличение количества субъектов малого и среднего предпринимательства, </w:t>
      </w:r>
      <w:r w:rsidRPr="005B2DCE">
        <w:rPr>
          <w:rFonts w:ascii="Times New Roman" w:hAnsi="Times New Roman"/>
          <w:sz w:val="26"/>
          <w:szCs w:val="26"/>
        </w:rPr>
        <w:lastRenderedPageBreak/>
        <w:t>в среднем на 2,0% в год и к 2017 году их количество составит 2065 единиц.</w:t>
      </w:r>
    </w:p>
    <w:p w:rsidR="004616EA" w:rsidRPr="005B2DCE" w:rsidRDefault="004616EA" w:rsidP="005B2DCE">
      <w:pPr>
        <w:autoSpaceDE w:val="0"/>
        <w:autoSpaceDN w:val="0"/>
        <w:adjustRightInd w:val="0"/>
        <w:spacing w:after="0" w:line="240" w:lineRule="auto"/>
        <w:ind w:firstLine="709"/>
        <w:jc w:val="both"/>
        <w:rPr>
          <w:rFonts w:ascii="Times New Roman" w:hAnsi="Times New Roman"/>
          <w:sz w:val="26"/>
          <w:szCs w:val="26"/>
        </w:rPr>
      </w:pPr>
      <w:r w:rsidRPr="005B2DCE">
        <w:rPr>
          <w:rFonts w:ascii="Times New Roman" w:hAnsi="Times New Roman"/>
          <w:i/>
          <w:sz w:val="26"/>
          <w:szCs w:val="26"/>
        </w:rPr>
        <w:t>3. П</w:t>
      </w:r>
      <w:r w:rsidRPr="005B2DCE">
        <w:rPr>
          <w:rFonts w:ascii="Times New Roman" w:hAnsi="Times New Roman"/>
          <w:i/>
          <w:sz w:val="26"/>
          <w:szCs w:val="26"/>
          <w:lang w:eastAsia="ru-RU"/>
        </w:rPr>
        <w:t>оложительная динамика развития малого и среднего предпринимательства на территории городского округа</w:t>
      </w:r>
    </w:p>
    <w:p w:rsidR="004616EA" w:rsidRPr="005B2DCE" w:rsidRDefault="004616EA" w:rsidP="005B2DCE">
      <w:pPr>
        <w:pStyle w:val="af1"/>
        <w:keepNext/>
        <w:spacing w:after="0"/>
        <w:ind w:firstLine="709"/>
        <w:jc w:val="both"/>
        <w:rPr>
          <w:rFonts w:ascii="Times New Roman" w:hAnsi="Times New Roman"/>
          <w:b w:val="0"/>
          <w:color w:val="auto"/>
          <w:sz w:val="26"/>
          <w:szCs w:val="26"/>
        </w:rPr>
      </w:pPr>
      <w:bookmarkStart w:id="92" w:name="_Ref397021152"/>
      <w:r w:rsidRPr="005B2DCE">
        <w:rPr>
          <w:rFonts w:ascii="Times New Roman" w:hAnsi="Times New Roman"/>
          <w:b w:val="0"/>
          <w:color w:val="auto"/>
          <w:sz w:val="26"/>
          <w:szCs w:val="26"/>
        </w:rPr>
        <w:lastRenderedPageBreak/>
        <w:t xml:space="preserve">Таблица </w:t>
      </w:r>
      <w:r w:rsidRPr="005B2DCE">
        <w:rPr>
          <w:rFonts w:ascii="Times New Roman" w:hAnsi="Times New Roman"/>
          <w:b w:val="0"/>
          <w:color w:val="auto"/>
          <w:sz w:val="26"/>
          <w:szCs w:val="26"/>
        </w:rPr>
        <w:fldChar w:fldCharType="begin"/>
      </w:r>
      <w:r w:rsidRPr="005B2DCE">
        <w:rPr>
          <w:rFonts w:ascii="Times New Roman" w:hAnsi="Times New Roman"/>
          <w:b w:val="0"/>
          <w:color w:val="auto"/>
          <w:sz w:val="26"/>
          <w:szCs w:val="26"/>
        </w:rPr>
        <w:instrText xml:space="preserve"> SEQ Таблица \* ARABIC </w:instrText>
      </w:r>
      <w:r w:rsidRPr="005B2DCE">
        <w:rPr>
          <w:rFonts w:ascii="Times New Roman" w:hAnsi="Times New Roman"/>
          <w:b w:val="0"/>
          <w:color w:val="auto"/>
          <w:sz w:val="26"/>
          <w:szCs w:val="26"/>
        </w:rPr>
        <w:fldChar w:fldCharType="separate"/>
      </w:r>
      <w:r w:rsidR="001977F4">
        <w:rPr>
          <w:rFonts w:ascii="Times New Roman" w:hAnsi="Times New Roman"/>
          <w:b w:val="0"/>
          <w:noProof/>
          <w:color w:val="auto"/>
          <w:sz w:val="26"/>
          <w:szCs w:val="26"/>
        </w:rPr>
        <w:t>5</w:t>
      </w:r>
      <w:r w:rsidRPr="005B2DCE">
        <w:rPr>
          <w:rFonts w:ascii="Times New Roman" w:hAnsi="Times New Roman"/>
          <w:b w:val="0"/>
          <w:color w:val="auto"/>
          <w:sz w:val="26"/>
          <w:szCs w:val="26"/>
        </w:rPr>
        <w:fldChar w:fldCharType="end"/>
      </w:r>
      <w:bookmarkEnd w:id="92"/>
      <w:r w:rsidRPr="005B2DCE">
        <w:rPr>
          <w:rFonts w:ascii="Times New Roman" w:hAnsi="Times New Roman"/>
          <w:b w:val="0"/>
          <w:color w:val="auto"/>
          <w:sz w:val="26"/>
          <w:szCs w:val="26"/>
        </w:rPr>
        <w:t xml:space="preserve"> - Динамика численности субъектов малого и среднего предпринимательства в городе Когалыме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56"/>
        <w:gridCol w:w="707"/>
        <w:gridCol w:w="707"/>
        <w:gridCol w:w="707"/>
        <w:gridCol w:w="707"/>
        <w:gridCol w:w="707"/>
        <w:gridCol w:w="707"/>
        <w:gridCol w:w="789"/>
        <w:gridCol w:w="858"/>
        <w:gridCol w:w="858"/>
      </w:tblGrid>
      <w:tr w:rsidR="004616EA" w:rsidRPr="00475E67" w:rsidTr="0084791B">
        <w:tc>
          <w:tcPr>
            <w:tcW w:w="1178" w:type="pct"/>
          </w:tcPr>
          <w:p w:rsidR="004616EA" w:rsidRPr="00475E67" w:rsidRDefault="004616EA" w:rsidP="0084791B">
            <w:pPr>
              <w:spacing w:after="0" w:line="240" w:lineRule="auto"/>
              <w:ind w:left="142"/>
              <w:jc w:val="center"/>
              <w:rPr>
                <w:rFonts w:ascii="Times New Roman" w:hAnsi="Times New Roman"/>
                <w:sz w:val="24"/>
                <w:szCs w:val="24"/>
              </w:rPr>
            </w:pPr>
            <w:r w:rsidRPr="00475E67">
              <w:rPr>
                <w:rFonts w:ascii="Times New Roman" w:hAnsi="Times New Roman"/>
                <w:sz w:val="24"/>
                <w:szCs w:val="24"/>
              </w:rPr>
              <w:t>Показатель</w:t>
            </w:r>
          </w:p>
        </w:tc>
        <w:tc>
          <w:tcPr>
            <w:tcW w:w="413" w:type="pct"/>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2008</w:t>
            </w:r>
          </w:p>
        </w:tc>
        <w:tc>
          <w:tcPr>
            <w:tcW w:w="407" w:type="pct"/>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2009</w:t>
            </w:r>
          </w:p>
        </w:tc>
        <w:tc>
          <w:tcPr>
            <w:tcW w:w="407" w:type="pct"/>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2010</w:t>
            </w:r>
          </w:p>
        </w:tc>
        <w:tc>
          <w:tcPr>
            <w:tcW w:w="413" w:type="pct"/>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2011</w:t>
            </w:r>
          </w:p>
        </w:tc>
        <w:tc>
          <w:tcPr>
            <w:tcW w:w="413" w:type="pct"/>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2012</w:t>
            </w:r>
          </w:p>
        </w:tc>
        <w:tc>
          <w:tcPr>
            <w:tcW w:w="413" w:type="pct"/>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2013</w:t>
            </w:r>
          </w:p>
        </w:tc>
        <w:tc>
          <w:tcPr>
            <w:tcW w:w="425" w:type="pct"/>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 xml:space="preserve">2014 </w:t>
            </w:r>
            <w:r w:rsidRPr="00475E67">
              <w:rPr>
                <w:rFonts w:ascii="Times New Roman" w:hAnsi="Times New Roman"/>
                <w:sz w:val="16"/>
                <w:szCs w:val="16"/>
              </w:rPr>
              <w:t>(оценка)</w:t>
            </w:r>
          </w:p>
        </w:tc>
        <w:tc>
          <w:tcPr>
            <w:tcW w:w="448" w:type="pct"/>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 xml:space="preserve">2015 </w:t>
            </w:r>
            <w:r w:rsidRPr="00475E67">
              <w:rPr>
                <w:rFonts w:ascii="Times New Roman" w:hAnsi="Times New Roman"/>
                <w:sz w:val="16"/>
                <w:szCs w:val="16"/>
              </w:rPr>
              <w:t>(прогноз)</w:t>
            </w:r>
          </w:p>
        </w:tc>
        <w:tc>
          <w:tcPr>
            <w:tcW w:w="483" w:type="pct"/>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 xml:space="preserve">2016 </w:t>
            </w:r>
            <w:r w:rsidRPr="00475E67">
              <w:rPr>
                <w:rFonts w:ascii="Times New Roman" w:hAnsi="Times New Roman"/>
                <w:sz w:val="16"/>
                <w:szCs w:val="16"/>
              </w:rPr>
              <w:t>(прогноз)</w:t>
            </w:r>
          </w:p>
        </w:tc>
      </w:tr>
      <w:tr w:rsidR="004616EA" w:rsidRPr="00475E67" w:rsidTr="0084791B">
        <w:tc>
          <w:tcPr>
            <w:tcW w:w="1178" w:type="pct"/>
          </w:tcPr>
          <w:p w:rsidR="004616EA" w:rsidRPr="00475E67" w:rsidRDefault="004616EA" w:rsidP="0084791B">
            <w:pPr>
              <w:spacing w:after="0" w:line="240" w:lineRule="auto"/>
              <w:rPr>
                <w:rFonts w:ascii="Times New Roman" w:hAnsi="Times New Roman"/>
                <w:sz w:val="24"/>
                <w:szCs w:val="24"/>
              </w:rPr>
            </w:pPr>
            <w:r w:rsidRPr="00475E67">
              <w:rPr>
                <w:rFonts w:ascii="Times New Roman" w:hAnsi="Times New Roman"/>
              </w:rPr>
              <w:t>Число субъектов малого и среднего предпринимательства в расчете на 10 тыс. человек, единиц</w:t>
            </w:r>
          </w:p>
        </w:tc>
        <w:tc>
          <w:tcPr>
            <w:tcW w:w="413"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239,1</w:t>
            </w:r>
          </w:p>
        </w:tc>
        <w:tc>
          <w:tcPr>
            <w:tcW w:w="407"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252</w:t>
            </w:r>
          </w:p>
        </w:tc>
        <w:tc>
          <w:tcPr>
            <w:tcW w:w="407"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261</w:t>
            </w:r>
          </w:p>
        </w:tc>
        <w:tc>
          <w:tcPr>
            <w:tcW w:w="413"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276,6</w:t>
            </w:r>
          </w:p>
        </w:tc>
        <w:tc>
          <w:tcPr>
            <w:tcW w:w="413"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322,8</w:t>
            </w:r>
          </w:p>
        </w:tc>
        <w:tc>
          <w:tcPr>
            <w:tcW w:w="413"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287,3</w:t>
            </w:r>
          </w:p>
        </w:tc>
        <w:tc>
          <w:tcPr>
            <w:tcW w:w="425"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287,8</w:t>
            </w:r>
          </w:p>
        </w:tc>
        <w:tc>
          <w:tcPr>
            <w:tcW w:w="448"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289</w:t>
            </w:r>
          </w:p>
        </w:tc>
        <w:tc>
          <w:tcPr>
            <w:tcW w:w="483"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290,7</w:t>
            </w:r>
          </w:p>
        </w:tc>
      </w:tr>
      <w:tr w:rsidR="004616EA" w:rsidRPr="00475E67" w:rsidTr="0084791B">
        <w:tc>
          <w:tcPr>
            <w:tcW w:w="1178" w:type="pct"/>
          </w:tcPr>
          <w:p w:rsidR="004616EA" w:rsidRPr="00475E67" w:rsidRDefault="004616EA" w:rsidP="0084791B">
            <w:pPr>
              <w:spacing w:after="0" w:line="240" w:lineRule="auto"/>
              <w:rPr>
                <w:rFonts w:ascii="Times New Roman" w:hAnsi="Times New Roman"/>
              </w:rPr>
            </w:pPr>
            <w:r w:rsidRPr="00475E67">
              <w:rPr>
                <w:rFonts w:ascii="Times New Roman" w:hAnsi="Times New Roman"/>
              </w:rPr>
              <w:t>Темпы роста, %</w:t>
            </w:r>
          </w:p>
        </w:tc>
        <w:tc>
          <w:tcPr>
            <w:tcW w:w="413"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w:t>
            </w:r>
          </w:p>
        </w:tc>
        <w:tc>
          <w:tcPr>
            <w:tcW w:w="407"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105,4</w:t>
            </w:r>
          </w:p>
        </w:tc>
        <w:tc>
          <w:tcPr>
            <w:tcW w:w="407"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103,6</w:t>
            </w:r>
          </w:p>
        </w:tc>
        <w:tc>
          <w:tcPr>
            <w:tcW w:w="413"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106,0</w:t>
            </w:r>
          </w:p>
        </w:tc>
        <w:tc>
          <w:tcPr>
            <w:tcW w:w="413"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116,7</w:t>
            </w:r>
          </w:p>
        </w:tc>
        <w:tc>
          <w:tcPr>
            <w:tcW w:w="413"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89,0</w:t>
            </w:r>
          </w:p>
        </w:tc>
        <w:tc>
          <w:tcPr>
            <w:tcW w:w="425"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100,2</w:t>
            </w:r>
          </w:p>
        </w:tc>
        <w:tc>
          <w:tcPr>
            <w:tcW w:w="448"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100,4</w:t>
            </w:r>
          </w:p>
        </w:tc>
        <w:tc>
          <w:tcPr>
            <w:tcW w:w="483"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100,5</w:t>
            </w:r>
          </w:p>
        </w:tc>
      </w:tr>
    </w:tbl>
    <w:p w:rsidR="004616EA" w:rsidRPr="005B2DCE" w:rsidRDefault="004616EA" w:rsidP="005B2DCE">
      <w:pPr>
        <w:pStyle w:val="af2"/>
        <w:ind w:firstLine="709"/>
        <w:jc w:val="both"/>
        <w:rPr>
          <w:rFonts w:ascii="Times New Roman" w:hAnsi="Times New Roman"/>
          <w:sz w:val="26"/>
          <w:szCs w:val="26"/>
        </w:rPr>
      </w:pPr>
    </w:p>
    <w:p w:rsidR="004616EA" w:rsidRPr="005B2DCE" w:rsidRDefault="004616EA" w:rsidP="005B2DCE">
      <w:pPr>
        <w:pStyle w:val="af2"/>
        <w:ind w:firstLine="709"/>
        <w:jc w:val="both"/>
        <w:rPr>
          <w:rFonts w:ascii="Times New Roman" w:hAnsi="Times New Roman"/>
          <w:sz w:val="26"/>
          <w:szCs w:val="26"/>
        </w:rPr>
      </w:pPr>
      <w:r w:rsidRPr="005B2DCE">
        <w:rPr>
          <w:rFonts w:ascii="Times New Roman" w:hAnsi="Times New Roman"/>
          <w:sz w:val="26"/>
          <w:szCs w:val="26"/>
        </w:rPr>
        <w:t>В 2013 году произошло снижение количества субъектов малого и среднего предпринимательства (</w:t>
      </w:r>
      <w:r w:rsidR="001977F4">
        <w:fldChar w:fldCharType="begin"/>
      </w:r>
      <w:r w:rsidR="001977F4">
        <w:instrText xml:space="preserve"> REF _Ref397021152 \h  \* MERGEFORMAT </w:instrText>
      </w:r>
      <w:r w:rsidR="001977F4">
        <w:fldChar w:fldCharType="separate"/>
      </w:r>
      <w:r w:rsidR="001977F4" w:rsidRPr="005B2DCE">
        <w:rPr>
          <w:rFonts w:ascii="Times New Roman" w:hAnsi="Times New Roman"/>
          <w:sz w:val="26"/>
          <w:szCs w:val="26"/>
        </w:rPr>
        <w:t xml:space="preserve">Таблица </w:t>
      </w:r>
      <w:r w:rsidR="001977F4" w:rsidRPr="001977F4">
        <w:rPr>
          <w:rFonts w:ascii="Times New Roman" w:hAnsi="Times New Roman"/>
          <w:sz w:val="26"/>
          <w:szCs w:val="26"/>
        </w:rPr>
        <w:lastRenderedPageBreak/>
        <w:t>5</w:t>
      </w:r>
      <w:r w:rsidR="001977F4">
        <w:fldChar w:fldCharType="end"/>
      </w:r>
      <w:r w:rsidRPr="005B2DCE">
        <w:rPr>
          <w:rFonts w:ascii="Times New Roman" w:hAnsi="Times New Roman"/>
          <w:sz w:val="26"/>
          <w:szCs w:val="26"/>
        </w:rPr>
        <w:t xml:space="preserve">). В качестве основных причин можно выделить следующие причины - рост размера страховых взносов для индивидуальных предпринимателей, и в целом налоговой нагрузка на малый бизнес. В прогнозном периоде планируется увеличение количества субъектов малого и среднего предпринимательства (снижение страховых взносов </w:t>
      </w:r>
      <w:r w:rsidRPr="005B2DCE">
        <w:rPr>
          <w:rFonts w:ascii="Times New Roman" w:hAnsi="Times New Roman"/>
          <w:sz w:val="26"/>
          <w:szCs w:val="26"/>
        </w:rPr>
        <w:lastRenderedPageBreak/>
        <w:t>для индивидуальных предпринимателей с 1 января 2014 года, реализация подпрограммы «Развитие малого и среднего предпринимательства в городе Когалыме на 2014-2016 годы»).</w:t>
      </w:r>
    </w:p>
    <w:p w:rsidR="004616EA" w:rsidRDefault="004616EA" w:rsidP="005B2DCE">
      <w:pPr>
        <w:pStyle w:val="a7"/>
        <w:autoSpaceDE w:val="0"/>
        <w:autoSpaceDN w:val="0"/>
        <w:adjustRightInd w:val="0"/>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4. Рост объема отгруженной продукции малыми и средними предприятиями</w:t>
      </w:r>
    </w:p>
    <w:p w:rsidR="004616EA" w:rsidRPr="005B2DCE" w:rsidRDefault="004616EA" w:rsidP="005B2DCE">
      <w:pPr>
        <w:pStyle w:val="a7"/>
        <w:autoSpaceDE w:val="0"/>
        <w:autoSpaceDN w:val="0"/>
        <w:adjustRightInd w:val="0"/>
        <w:spacing w:after="0" w:line="240" w:lineRule="auto"/>
        <w:ind w:left="0" w:firstLine="709"/>
        <w:contextualSpacing w:val="0"/>
        <w:jc w:val="both"/>
        <w:rPr>
          <w:rFonts w:ascii="Times New Roman" w:hAnsi="Times New Roman"/>
          <w:i/>
          <w:sz w:val="26"/>
          <w:szCs w:val="26"/>
        </w:rPr>
      </w:pPr>
    </w:p>
    <w:p w:rsidR="004616EA" w:rsidRPr="005B2DCE" w:rsidRDefault="004616EA" w:rsidP="005B2DCE">
      <w:pPr>
        <w:spacing w:after="0" w:line="240" w:lineRule="auto"/>
        <w:ind w:firstLine="709"/>
        <w:jc w:val="both"/>
        <w:rPr>
          <w:rFonts w:ascii="Times New Roman" w:hAnsi="Times New Roman"/>
          <w:b/>
          <w:sz w:val="26"/>
          <w:szCs w:val="26"/>
          <w:lang w:eastAsia="ru-RU"/>
        </w:rPr>
      </w:pPr>
      <w:r w:rsidRPr="005B2DCE">
        <w:rPr>
          <w:rFonts w:ascii="Times New Roman" w:hAnsi="Times New Roman"/>
          <w:b/>
          <w:sz w:val="26"/>
          <w:szCs w:val="26"/>
          <w:lang w:eastAsia="ru-RU"/>
        </w:rPr>
        <w:lastRenderedPageBreak/>
        <w:t>Слабые стороны</w:t>
      </w:r>
    </w:p>
    <w:p w:rsidR="004616EA" w:rsidRPr="005B2DCE" w:rsidRDefault="004616EA" w:rsidP="005B2DCE">
      <w:pPr>
        <w:spacing w:after="0" w:line="240" w:lineRule="auto"/>
        <w:ind w:firstLine="709"/>
        <w:jc w:val="both"/>
        <w:rPr>
          <w:rFonts w:ascii="Times New Roman" w:hAnsi="Times New Roman"/>
          <w:b/>
          <w:i/>
          <w:sz w:val="26"/>
          <w:szCs w:val="26"/>
          <w:lang w:eastAsia="ru-RU"/>
        </w:rPr>
      </w:pPr>
      <w:r w:rsidRPr="005B2DCE">
        <w:rPr>
          <w:rFonts w:ascii="Times New Roman" w:hAnsi="Times New Roman"/>
          <w:i/>
          <w:sz w:val="26"/>
          <w:szCs w:val="26"/>
        </w:rPr>
        <w:t>1. Дефицит помещений, подходящих для осуществления предпринимательской деятельности</w:t>
      </w:r>
    </w:p>
    <w:p w:rsidR="004616EA" w:rsidRPr="005B2DCE" w:rsidRDefault="004616EA" w:rsidP="005B2DCE">
      <w:pPr>
        <w:spacing w:after="0" w:line="240" w:lineRule="auto"/>
        <w:ind w:firstLine="709"/>
        <w:jc w:val="both"/>
        <w:rPr>
          <w:rFonts w:ascii="Times New Roman" w:hAnsi="Times New Roman"/>
          <w:b/>
          <w:i/>
          <w:sz w:val="26"/>
          <w:szCs w:val="26"/>
          <w:lang w:eastAsia="ru-RU"/>
        </w:rPr>
      </w:pPr>
      <w:r w:rsidRPr="005B2DCE">
        <w:rPr>
          <w:rFonts w:ascii="Times New Roman" w:hAnsi="Times New Roman"/>
          <w:i/>
          <w:sz w:val="26"/>
          <w:szCs w:val="26"/>
        </w:rPr>
        <w:t>2. Ограниченность доступа субъектов малого и среднего предпринимательства к финансовым ресурсам на всех стадиях развития бизнеса</w:t>
      </w:r>
    </w:p>
    <w:p w:rsidR="004616EA" w:rsidRPr="005B2DCE" w:rsidRDefault="004616EA" w:rsidP="005B2DCE">
      <w:pPr>
        <w:widowControl w:val="0"/>
        <w:autoSpaceDE w:val="0"/>
        <w:autoSpaceDN w:val="0"/>
        <w:adjustRightInd w:val="0"/>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 xml:space="preserve">Фактическая недоступность финансово-кредитных ресурсов, необходимых для создания и развития бизнеса, обусловлена в большей части следующими причинами: высокими процентными ставками по кредитам и чрезмерно жесткими требованиями к гарантийному обеспечению кредитов. </w:t>
      </w:r>
      <w:r w:rsidRPr="005B2DCE">
        <w:rPr>
          <w:rFonts w:ascii="Times New Roman" w:hAnsi="Times New Roman"/>
          <w:sz w:val="26"/>
          <w:szCs w:val="26"/>
        </w:rPr>
        <w:lastRenderedPageBreak/>
        <w:t xml:space="preserve">Особенно это касается предпринимателей, находящихся на стадии создания своего бизнеса. Банки избегают кредитовать таких предпринимателей ввиду высокого риска невозврата кредита и отсутствия ликвидного залога. Поэтому особо важную роль в решении данной проблемы играют организации, образующие инфраструктуру </w:t>
      </w:r>
      <w:r w:rsidRPr="005B2DCE">
        <w:rPr>
          <w:rFonts w:ascii="Times New Roman" w:hAnsi="Times New Roman"/>
          <w:sz w:val="26"/>
          <w:szCs w:val="26"/>
        </w:rPr>
        <w:lastRenderedPageBreak/>
        <w:t>поддержки субъектов малого и среднего бизнеса, которые предоставляют обеспечение их обязательств перед банками и другими кредитными учреждениями в форме поручительства.</w:t>
      </w:r>
    </w:p>
    <w:p w:rsidR="004616EA" w:rsidRPr="005B2DCE" w:rsidRDefault="004616EA" w:rsidP="005B2DCE">
      <w:pPr>
        <w:spacing w:after="0" w:line="240" w:lineRule="auto"/>
        <w:ind w:firstLine="709"/>
        <w:jc w:val="both"/>
        <w:rPr>
          <w:rFonts w:ascii="Times New Roman" w:hAnsi="Times New Roman"/>
          <w:b/>
          <w:sz w:val="26"/>
          <w:szCs w:val="26"/>
          <w:lang w:eastAsia="ru-RU"/>
        </w:rPr>
      </w:pPr>
      <w:r w:rsidRPr="005B2DCE">
        <w:rPr>
          <w:rFonts w:ascii="Times New Roman" w:hAnsi="Times New Roman"/>
          <w:b/>
          <w:sz w:val="26"/>
          <w:szCs w:val="26"/>
          <w:lang w:eastAsia="ru-RU"/>
        </w:rPr>
        <w:t>Возможности</w:t>
      </w:r>
    </w:p>
    <w:p w:rsidR="004616EA" w:rsidRPr="005B2DCE" w:rsidRDefault="004616EA" w:rsidP="005B2DCE">
      <w:pPr>
        <w:pStyle w:val="a7"/>
        <w:tabs>
          <w:tab w:val="left" w:pos="0"/>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ab/>
        <w:t>1. Развитие приоритетных сфер экономики городского округа</w:t>
      </w:r>
    </w:p>
    <w:p w:rsidR="004616EA" w:rsidRPr="005B2DCE" w:rsidRDefault="004616EA" w:rsidP="005B2DCE">
      <w:pPr>
        <w:spacing w:after="0" w:line="240" w:lineRule="auto"/>
        <w:ind w:firstLine="709"/>
        <w:jc w:val="both"/>
        <w:rPr>
          <w:rFonts w:ascii="Times New Roman" w:hAnsi="Times New Roman"/>
          <w:sz w:val="26"/>
          <w:szCs w:val="26"/>
          <w:lang w:eastAsia="ru-RU"/>
        </w:rPr>
      </w:pPr>
      <w:r w:rsidRPr="005B2DCE">
        <w:rPr>
          <w:rFonts w:ascii="Times New Roman" w:hAnsi="Times New Roman"/>
          <w:sz w:val="26"/>
          <w:szCs w:val="26"/>
        </w:rPr>
        <w:lastRenderedPageBreak/>
        <w:t xml:space="preserve">Важнейшим направлением диверсификации экономики города Когалыма является создание малых промышленных предприятий, развитие малого и среднего бизнеса, увеличение его роли в экономике города. В перспективе прогнозируется увеличение доли малого и среднего предпринимательства в сфере оказания социальных услуг </w:t>
      </w:r>
      <w:r w:rsidRPr="005B2DCE">
        <w:rPr>
          <w:rFonts w:ascii="Times New Roman" w:hAnsi="Times New Roman"/>
          <w:sz w:val="26"/>
          <w:szCs w:val="26"/>
        </w:rPr>
        <w:lastRenderedPageBreak/>
        <w:t xml:space="preserve">населению: рекреация, лечение, обучение, - и в промышленной сфере: пищевая промышленность, сельское хозяйство и строительная промышленность. </w:t>
      </w:r>
    </w:p>
    <w:p w:rsidR="004616EA" w:rsidRPr="005B2DCE" w:rsidRDefault="004616EA" w:rsidP="005B2DCE">
      <w:pPr>
        <w:pStyle w:val="a7"/>
        <w:tabs>
          <w:tab w:val="left" w:pos="0"/>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ab/>
        <w:t>2. Оказание всесторонней муниципальной поддержки начинающим предпринимателям муниципального образования</w:t>
      </w:r>
    </w:p>
    <w:p w:rsidR="004616EA" w:rsidRPr="005B2DCE" w:rsidRDefault="004616EA" w:rsidP="005B2DCE">
      <w:pPr>
        <w:spacing w:after="0" w:line="240" w:lineRule="auto"/>
        <w:ind w:firstLine="709"/>
        <w:jc w:val="both"/>
        <w:rPr>
          <w:rFonts w:ascii="Times New Roman" w:hAnsi="Times New Roman"/>
          <w:b/>
          <w:sz w:val="26"/>
          <w:szCs w:val="26"/>
          <w:lang w:eastAsia="ru-RU"/>
        </w:rPr>
      </w:pPr>
      <w:r w:rsidRPr="005B2DCE">
        <w:rPr>
          <w:rFonts w:ascii="Times New Roman" w:hAnsi="Times New Roman"/>
          <w:b/>
          <w:sz w:val="26"/>
          <w:szCs w:val="26"/>
          <w:lang w:eastAsia="ru-RU"/>
        </w:rPr>
        <w:t>Угрозы</w:t>
      </w:r>
    </w:p>
    <w:p w:rsidR="004616EA" w:rsidRPr="005B2DCE" w:rsidRDefault="004616EA" w:rsidP="005B2DCE">
      <w:pPr>
        <w:pStyle w:val="a7"/>
        <w:numPr>
          <w:ilvl w:val="0"/>
          <w:numId w:val="74"/>
        </w:numPr>
        <w:tabs>
          <w:tab w:val="left" w:pos="0"/>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lastRenderedPageBreak/>
        <w:t xml:space="preserve">сокращение реальных доходов населения в связи с кризисными явлениями в экономике, что приведет к изменению стандарта потребления товаров и услуг; </w:t>
      </w:r>
    </w:p>
    <w:p w:rsidR="004616EA" w:rsidRPr="005B2DCE" w:rsidRDefault="004616EA" w:rsidP="005B2DCE">
      <w:pPr>
        <w:pStyle w:val="a7"/>
        <w:numPr>
          <w:ilvl w:val="0"/>
          <w:numId w:val="74"/>
        </w:numPr>
        <w:tabs>
          <w:tab w:val="left" w:pos="0"/>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недоступность банковских кредитов;</w:t>
      </w:r>
    </w:p>
    <w:p w:rsidR="004616EA" w:rsidRPr="005B2DCE" w:rsidRDefault="004616EA" w:rsidP="005B2DCE">
      <w:pPr>
        <w:pStyle w:val="a7"/>
        <w:numPr>
          <w:ilvl w:val="0"/>
          <w:numId w:val="74"/>
        </w:numPr>
        <w:tabs>
          <w:tab w:val="left" w:pos="0"/>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lastRenderedPageBreak/>
        <w:t>увеличение стоимости аренды помещений;</w:t>
      </w:r>
    </w:p>
    <w:p w:rsidR="004616EA" w:rsidRPr="005B2DCE" w:rsidRDefault="004616EA" w:rsidP="005B2DCE">
      <w:pPr>
        <w:pStyle w:val="a7"/>
        <w:numPr>
          <w:ilvl w:val="0"/>
          <w:numId w:val="74"/>
        </w:numPr>
        <w:tabs>
          <w:tab w:val="left" w:pos="0"/>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высокие тарифы на услуги монопольных организаций;</w:t>
      </w:r>
    </w:p>
    <w:p w:rsidR="004616EA" w:rsidRPr="005B2DCE" w:rsidRDefault="004616EA" w:rsidP="005B2DCE">
      <w:pPr>
        <w:pStyle w:val="a7"/>
        <w:numPr>
          <w:ilvl w:val="0"/>
          <w:numId w:val="74"/>
        </w:numPr>
        <w:tabs>
          <w:tab w:val="left" w:pos="0"/>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низкое качество производимой субъектами малого и среднего предпринимательства продукции.</w:t>
      </w:r>
    </w:p>
    <w:p w:rsidR="004616EA" w:rsidRPr="00475E67" w:rsidRDefault="004616EA" w:rsidP="002D1208">
      <w:pPr>
        <w:pStyle w:val="a9"/>
        <w:tabs>
          <w:tab w:val="left" w:pos="284"/>
          <w:tab w:val="left" w:pos="426"/>
          <w:tab w:val="left" w:pos="851"/>
          <w:tab w:val="left" w:pos="1134"/>
        </w:tabs>
        <w:spacing w:after="0"/>
        <w:ind w:firstLine="709"/>
      </w:pPr>
      <w:r w:rsidRPr="005B2DCE">
        <w:rPr>
          <w:sz w:val="26"/>
          <w:szCs w:val="26"/>
        </w:rPr>
        <w:lastRenderedPageBreak/>
        <w:tab/>
      </w:r>
      <w:r w:rsidRPr="005B2DCE">
        <w:rPr>
          <w:sz w:val="26"/>
          <w:szCs w:val="26"/>
        </w:rPr>
        <w:tab/>
      </w:r>
      <w:r w:rsidRPr="005B2DCE">
        <w:rPr>
          <w:sz w:val="26"/>
          <w:szCs w:val="26"/>
        </w:rPr>
        <w:tab/>
        <w:t xml:space="preserve">В целом устойчивое развитие малого и среднего предпринимательства в прогнозируемом периоде, по-прежнему, будет обеспечивать экономическую и социальную стабильность в городе. Наиболее эффективное решение существующих проблем в сфере малого и среднего бизнеса возможно </w:t>
      </w:r>
      <w:r w:rsidRPr="005B2DCE">
        <w:rPr>
          <w:sz w:val="26"/>
          <w:szCs w:val="26"/>
        </w:rPr>
        <w:lastRenderedPageBreak/>
        <w:t>лишь путем объединения усилий и согласованности действий предпринимателей, организаций, образующих инфраструктуру поддержки субъектов малого и среднего предпринимательства, органов государственной власти и органов местного самоуправления.</w:t>
      </w:r>
    </w:p>
    <w:p w:rsidR="004616EA" w:rsidRPr="00475E67" w:rsidRDefault="004616EA" w:rsidP="007927E1">
      <w:pPr>
        <w:pStyle w:val="a7"/>
        <w:tabs>
          <w:tab w:val="left" w:pos="426"/>
        </w:tabs>
        <w:spacing w:before="120" w:after="0"/>
        <w:ind w:left="360"/>
        <w:contextualSpacing w:val="0"/>
        <w:jc w:val="both"/>
        <w:rPr>
          <w:rStyle w:val="a4"/>
          <w:color w:val="auto"/>
          <w:sz w:val="24"/>
          <w:szCs w:val="24"/>
        </w:rPr>
        <w:sectPr w:rsidR="004616EA" w:rsidRPr="00475E67" w:rsidSect="00CF65DB">
          <w:pgSz w:w="11906" w:h="16838"/>
          <w:pgMar w:top="1134" w:right="567" w:bottom="1134" w:left="2552" w:header="709" w:footer="709" w:gutter="0"/>
          <w:cols w:space="708"/>
          <w:docGrid w:linePitch="360"/>
        </w:sectPr>
      </w:pPr>
    </w:p>
    <w:p w:rsidR="004616EA" w:rsidRDefault="004616EA" w:rsidP="005B2DCE">
      <w:pPr>
        <w:pStyle w:val="1"/>
        <w:spacing w:before="0" w:after="0"/>
        <w:ind w:firstLine="709"/>
        <w:rPr>
          <w:b w:val="0"/>
          <w:sz w:val="26"/>
          <w:szCs w:val="26"/>
        </w:rPr>
      </w:pPr>
      <w:bookmarkStart w:id="93" w:name="_Toc387239001"/>
      <w:bookmarkStart w:id="94" w:name="_Toc405805504"/>
      <w:r w:rsidRPr="005B2DCE">
        <w:rPr>
          <w:b w:val="0"/>
          <w:sz w:val="26"/>
          <w:szCs w:val="26"/>
        </w:rPr>
        <w:lastRenderedPageBreak/>
        <w:t xml:space="preserve">3 Внешние условия и факторы развития </w:t>
      </w:r>
      <w:bookmarkEnd w:id="93"/>
      <w:r w:rsidRPr="005B2DCE">
        <w:rPr>
          <w:b w:val="0"/>
          <w:sz w:val="26"/>
          <w:szCs w:val="26"/>
        </w:rPr>
        <w:t>городского округа город когалым</w:t>
      </w:r>
      <w:bookmarkEnd w:id="94"/>
    </w:p>
    <w:p w:rsidR="004616EA" w:rsidRPr="005B2DCE" w:rsidRDefault="004616EA" w:rsidP="005B2DCE"/>
    <w:p w:rsidR="004616EA" w:rsidRPr="005B2DCE" w:rsidRDefault="004616EA" w:rsidP="005B2DCE">
      <w:pPr>
        <w:pStyle w:val="3"/>
        <w:spacing w:line="240" w:lineRule="auto"/>
        <w:ind w:firstLine="709"/>
        <w:rPr>
          <w:sz w:val="26"/>
        </w:rPr>
      </w:pPr>
      <w:bookmarkStart w:id="95" w:name="_Toc405805505"/>
      <w:bookmarkStart w:id="96" w:name="_Toc387239002"/>
      <w:r w:rsidRPr="005B2DCE">
        <w:rPr>
          <w:sz w:val="26"/>
        </w:rPr>
        <w:lastRenderedPageBreak/>
        <w:t>3.1 Условия развития приоритетных видов производственной деятельности</w:t>
      </w:r>
      <w:bookmarkEnd w:id="95"/>
    </w:p>
    <w:p w:rsidR="004616EA" w:rsidRPr="005B2DCE" w:rsidRDefault="004616EA" w:rsidP="005B2DCE">
      <w:pPr>
        <w:pStyle w:val="3"/>
        <w:spacing w:line="240" w:lineRule="auto"/>
        <w:ind w:firstLine="709"/>
        <w:rPr>
          <w:sz w:val="26"/>
        </w:rPr>
      </w:pPr>
      <w:bookmarkStart w:id="97" w:name="_Toc405805506"/>
      <w:r w:rsidRPr="005B2DCE">
        <w:rPr>
          <w:sz w:val="26"/>
        </w:rPr>
        <w:t>3.1.1 Конъюнктура отраслевых рынков товаров и услуг</w:t>
      </w:r>
      <w:bookmarkEnd w:id="97"/>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В Стратегии социально-экономического развития Ханты-Мансийского автономного округа - Югры </w:t>
      </w:r>
      <w:r w:rsidRPr="005B2DCE">
        <w:rPr>
          <w:rFonts w:ascii="Times New Roman" w:hAnsi="Times New Roman"/>
          <w:bCs/>
          <w:sz w:val="26"/>
          <w:szCs w:val="26"/>
        </w:rPr>
        <w:t>до 2020 года и на период до 2030 года</w:t>
      </w:r>
      <w:r w:rsidRPr="005B2DCE">
        <w:rPr>
          <w:rFonts w:ascii="Times New Roman" w:hAnsi="Times New Roman"/>
          <w:sz w:val="26"/>
          <w:szCs w:val="26"/>
        </w:rPr>
        <w:t xml:space="preserve">, в части </w:t>
      </w:r>
      <w:r w:rsidRPr="005B2DCE">
        <w:rPr>
          <w:rFonts w:ascii="Times New Roman" w:hAnsi="Times New Roman"/>
          <w:sz w:val="26"/>
          <w:szCs w:val="26"/>
        </w:rPr>
        <w:lastRenderedPageBreak/>
        <w:t xml:space="preserve">направлений развития экономики городского округа город Когалым, предполагается развитие следующих видов деятельности: нефтегазодобычи (развитие нефтесервисных компаний; развитие научно-инновационных предприятий); нефтегазопереработки (глубокая переработка нефти и газа, в том </w:t>
      </w:r>
      <w:r w:rsidRPr="005B2DCE">
        <w:rPr>
          <w:rFonts w:ascii="Times New Roman" w:hAnsi="Times New Roman"/>
          <w:sz w:val="26"/>
          <w:szCs w:val="26"/>
        </w:rPr>
        <w:lastRenderedPageBreak/>
        <w:t xml:space="preserve">числе попутного нефтяного газа); развитие агропромышленного комплекса (строительство мини-завода по переработке молока, цеха по производству молока и молочных продуктов, производству куриного яйца; строительство трех мясоперерабатывающих цехов, птицефермы (выращивание кур бройлера, перепелов в производственном </w:t>
      </w:r>
      <w:r w:rsidRPr="005B2DCE">
        <w:rPr>
          <w:rFonts w:ascii="Times New Roman" w:hAnsi="Times New Roman"/>
          <w:sz w:val="26"/>
          <w:szCs w:val="26"/>
        </w:rPr>
        <w:lastRenderedPageBreak/>
        <w:t>объеме, реализация яиц); расширение ассортимента выращивания цветочных и зеленных культур (модернизация теплицы); создание производства по переработке дикорастущих ягод и грибов (сиропы, джемы, продукты глубокой заморозки, лекарственные сиропы и т.д.); создание рыбоводче</w:t>
      </w:r>
      <w:r w:rsidRPr="005B2DCE">
        <w:rPr>
          <w:rFonts w:ascii="Times New Roman" w:hAnsi="Times New Roman"/>
          <w:sz w:val="26"/>
          <w:szCs w:val="26"/>
        </w:rPr>
        <w:lastRenderedPageBreak/>
        <w:t xml:space="preserve">ской фермы); и развитие промышленного производства (производство на основе торфа продукции для строительной промышленности (теплоизоляционные материалы, утеплители, отделочные материалы и т.д.), топливно-энергетической промышленности (топливные брикеты, биогаз, жидкое топливо, торфяной кокс)). В связи с </w:t>
      </w:r>
      <w:r w:rsidRPr="005B2DCE">
        <w:rPr>
          <w:rFonts w:ascii="Times New Roman" w:hAnsi="Times New Roman"/>
          <w:sz w:val="26"/>
          <w:szCs w:val="26"/>
        </w:rPr>
        <w:lastRenderedPageBreak/>
        <w:t>этим далее приведен анализ соответствующих отраслевых рынков товаров и услуг.</w:t>
      </w:r>
    </w:p>
    <w:p w:rsidR="004616EA" w:rsidRPr="005B2DCE" w:rsidRDefault="004616EA" w:rsidP="005B2DCE">
      <w:pPr>
        <w:pStyle w:val="a7"/>
        <w:numPr>
          <w:ilvl w:val="0"/>
          <w:numId w:val="2"/>
        </w:numPr>
        <w:tabs>
          <w:tab w:val="left" w:pos="1134"/>
        </w:tabs>
        <w:spacing w:after="0" w:line="240" w:lineRule="auto"/>
        <w:ind w:left="0" w:firstLine="709"/>
        <w:contextualSpacing w:val="0"/>
        <w:jc w:val="both"/>
        <w:rPr>
          <w:rFonts w:ascii="Times New Roman" w:hAnsi="Times New Roman"/>
          <w:b/>
          <w:i/>
          <w:sz w:val="26"/>
          <w:szCs w:val="26"/>
        </w:rPr>
      </w:pPr>
      <w:r w:rsidRPr="005B2DCE">
        <w:rPr>
          <w:rFonts w:ascii="Times New Roman" w:hAnsi="Times New Roman"/>
          <w:b/>
          <w:i/>
          <w:sz w:val="26"/>
          <w:szCs w:val="26"/>
        </w:rPr>
        <w:t>Нефтегазодобыча и нефтегазопереработка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В настоящее время нефтяной сектор топливно-энергетического комплекса России является одним из наиболее </w:t>
      </w:r>
      <w:r w:rsidRPr="005B2DCE">
        <w:rPr>
          <w:rFonts w:ascii="Times New Roman" w:hAnsi="Times New Roman"/>
          <w:sz w:val="26"/>
          <w:szCs w:val="26"/>
        </w:rPr>
        <w:lastRenderedPageBreak/>
        <w:t>устойчиво работающих производственных комплексов. Нефтяной комплекс обеспечивает значительный вклад в формирование положительного торгового баланса и налоговых поступлений в бюджеты всех уровней. Этот вклад существенно выше доли комплекса в промышленном произ</w:t>
      </w:r>
      <w:r w:rsidRPr="005B2DCE">
        <w:rPr>
          <w:rFonts w:ascii="Times New Roman" w:hAnsi="Times New Roman"/>
          <w:sz w:val="26"/>
          <w:szCs w:val="26"/>
        </w:rPr>
        <w:lastRenderedPageBreak/>
        <w:t>водстве. На его долю приходится более 16% произведенного ВВП России, четвертая часть налоговых и таможенных поступлений в бюджеты всех уровней, а также более трети поступающей в Россию валютной выручки.</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Нефтяная промышленность России играет важную роль, как в экономиче</w:t>
      </w:r>
      <w:r w:rsidRPr="005B2DCE">
        <w:rPr>
          <w:rFonts w:ascii="Times New Roman" w:hAnsi="Times New Roman"/>
          <w:sz w:val="26"/>
          <w:szCs w:val="26"/>
        </w:rPr>
        <w:lastRenderedPageBreak/>
        <w:t xml:space="preserve">ском развитии страны, так и на мировом энергетическом рынке. Производство нефти и попутного газа - наиболее конкурентоспособные отрасли национальной экономики с позиций интеграции страны в систему мировых экономических связей.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В связи с тем, что город Когалым обладает существенными запасами </w:t>
      </w:r>
      <w:r w:rsidRPr="005B2DCE">
        <w:rPr>
          <w:rFonts w:ascii="Times New Roman" w:hAnsi="Times New Roman"/>
          <w:sz w:val="26"/>
          <w:szCs w:val="26"/>
        </w:rPr>
        <w:lastRenderedPageBreak/>
        <w:t>нефти и природного газа, которые в том числе экспортируются в зарубежные страны, в данном разделе вначале анализ вышеупомянутой отрасли будет проводиться с позиции Россия – мир, а затем Когалым – Ханты-Мансийский автономный округ -</w:t>
      </w:r>
      <w:r>
        <w:rPr>
          <w:rFonts w:ascii="Times New Roman" w:hAnsi="Times New Roman"/>
          <w:sz w:val="26"/>
          <w:szCs w:val="26"/>
        </w:rPr>
        <w:t xml:space="preserve"> </w:t>
      </w:r>
      <w:r w:rsidRPr="005B2DCE">
        <w:rPr>
          <w:rFonts w:ascii="Times New Roman" w:hAnsi="Times New Roman"/>
          <w:sz w:val="26"/>
          <w:szCs w:val="26"/>
        </w:rPr>
        <w:t>Югра.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Анализ сектора нефтегазодобычи и нефтегазопереработки позволяет выделить несколько ключевых сильных и слабых сторон, а также ряд потенциальных возможностей и угроз в данном направлении.</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Сильные стороны</w:t>
      </w:r>
    </w:p>
    <w:p w:rsidR="004616EA" w:rsidRPr="005B2DCE" w:rsidRDefault="004616EA" w:rsidP="005B2DCE">
      <w:pPr>
        <w:pStyle w:val="a7"/>
        <w:numPr>
          <w:ilvl w:val="0"/>
          <w:numId w:val="4"/>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 xml:space="preserve">Увеличение объемов добычи нефти в Российской Федерации за </w:t>
      </w:r>
      <w:r w:rsidRPr="005B2DCE">
        <w:rPr>
          <w:rFonts w:ascii="Times New Roman" w:hAnsi="Times New Roman"/>
          <w:i/>
          <w:sz w:val="26"/>
          <w:szCs w:val="26"/>
        </w:rPr>
        <w:lastRenderedPageBreak/>
        <w:t>счет введения в эксплуатацию новых месторождений</w:t>
      </w:r>
    </w:p>
    <w:p w:rsidR="004616EA" w:rsidRPr="005B2DCE" w:rsidRDefault="004616EA" w:rsidP="005B2DCE">
      <w:pPr>
        <w:tabs>
          <w:tab w:val="left" w:pos="1134"/>
        </w:tabs>
        <w:spacing w:after="0" w:line="240" w:lineRule="auto"/>
        <w:ind w:firstLine="709"/>
        <w:jc w:val="both"/>
        <w:rPr>
          <w:rFonts w:ascii="Times New Roman" w:hAnsi="Times New Roman"/>
          <w:sz w:val="26"/>
          <w:szCs w:val="26"/>
        </w:rPr>
      </w:pPr>
      <w:r w:rsidRPr="005B2DCE">
        <w:rPr>
          <w:rFonts w:ascii="Times New Roman" w:hAnsi="Times New Roman"/>
          <w:sz w:val="26"/>
          <w:szCs w:val="26"/>
        </w:rPr>
        <w:t>В 2013 г. на фоне высоких мировых цен на нефть добыча нефти в России достигла 522,9 млн тонн, что является максимальным уровнем за период с 1990 г. Позитивное влияние на динамику нефтедобычи оказал осуществ</w:t>
      </w:r>
      <w:r w:rsidRPr="005B2DCE">
        <w:rPr>
          <w:rFonts w:ascii="Times New Roman" w:hAnsi="Times New Roman"/>
          <w:sz w:val="26"/>
          <w:szCs w:val="26"/>
        </w:rPr>
        <w:lastRenderedPageBreak/>
        <w:t>ленный в последние годы ввод в эксплуатацию нескольких новых крупных месторождений в Восточной Сибири и на севере европейской части страны, а также изменения в налогообложении, направленные на снижение налоговой нагрузки на нефтяной сектор, стимулирование углубленной раз</w:t>
      </w:r>
      <w:r w:rsidRPr="005B2DCE">
        <w:rPr>
          <w:rFonts w:ascii="Times New Roman" w:hAnsi="Times New Roman"/>
          <w:sz w:val="26"/>
          <w:szCs w:val="26"/>
        </w:rPr>
        <w:lastRenderedPageBreak/>
        <w:t>работки эксплуатируемых месторождений и освоения новых регионов добычи.</w:t>
      </w:r>
    </w:p>
    <w:p w:rsidR="004616EA" w:rsidRPr="005B2DCE" w:rsidRDefault="004616EA" w:rsidP="005B2DCE">
      <w:pPr>
        <w:tabs>
          <w:tab w:val="left" w:pos="1134"/>
        </w:tabs>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В 2014 году наблюдается стремительный рост добычи в Сахалинской области. Также небольшой прирост обеспечили месторождения Требса и Титова, запущенные в эксплуатацию </w:t>
      </w:r>
      <w:r w:rsidRPr="005B2DCE">
        <w:rPr>
          <w:rFonts w:ascii="Times New Roman" w:hAnsi="Times New Roman"/>
          <w:sz w:val="26"/>
          <w:szCs w:val="26"/>
        </w:rPr>
        <w:lastRenderedPageBreak/>
        <w:t>во второй половине 2013 года на шельфе Печорского моря.</w:t>
      </w:r>
    </w:p>
    <w:p w:rsidR="004616EA" w:rsidRPr="005B2DCE" w:rsidRDefault="004616EA" w:rsidP="005B2DCE">
      <w:pPr>
        <w:tabs>
          <w:tab w:val="left" w:pos="1134"/>
        </w:tabs>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По данным Международного энергетического агентства (МЭА), Россия в 2013 году сохранила первое место в мировой добыче сырой нефти (10,88 млн баррелей в день). На втором месте находились США (10,34 млн баррелей в день), но следует отметить, что МЭА </w:t>
      </w:r>
      <w:r w:rsidRPr="005B2DCE">
        <w:rPr>
          <w:rFonts w:ascii="Times New Roman" w:hAnsi="Times New Roman"/>
          <w:sz w:val="26"/>
          <w:szCs w:val="26"/>
        </w:rPr>
        <w:lastRenderedPageBreak/>
        <w:t xml:space="preserve">учитывают в отношении США, как и в отношении Бразилии, не только добычу сырой нефти, но и производство этанола, являющегося сырьем для биотоплива. На самом деле добыча сырой нефти в США, согласно данным U.S. Energy </w:t>
      </w:r>
      <w:r w:rsidRPr="005B2DCE">
        <w:rPr>
          <w:rFonts w:ascii="Times New Roman" w:hAnsi="Times New Roman"/>
          <w:sz w:val="26"/>
          <w:szCs w:val="26"/>
          <w:lang w:val="en-US"/>
        </w:rPr>
        <w:t>Information</w:t>
      </w:r>
      <w:r w:rsidRPr="005B2DCE">
        <w:rPr>
          <w:rFonts w:ascii="Times New Roman" w:hAnsi="Times New Roman"/>
          <w:sz w:val="26"/>
          <w:szCs w:val="26"/>
        </w:rPr>
        <w:t xml:space="preserve"> </w:t>
      </w:r>
      <w:r w:rsidRPr="005B2DCE">
        <w:rPr>
          <w:rFonts w:ascii="Times New Roman" w:hAnsi="Times New Roman"/>
          <w:sz w:val="26"/>
          <w:szCs w:val="26"/>
          <w:lang w:val="en-US"/>
        </w:rPr>
        <w:t>Administration</w:t>
      </w:r>
      <w:r w:rsidRPr="005B2DCE">
        <w:rPr>
          <w:rFonts w:ascii="Times New Roman" w:hAnsi="Times New Roman"/>
          <w:sz w:val="26"/>
          <w:szCs w:val="26"/>
        </w:rPr>
        <w:t xml:space="preserve"> (</w:t>
      </w:r>
      <w:r w:rsidRPr="005B2DCE">
        <w:rPr>
          <w:rFonts w:ascii="Times New Roman" w:hAnsi="Times New Roman"/>
          <w:sz w:val="26"/>
          <w:szCs w:val="26"/>
          <w:lang w:val="en-US"/>
        </w:rPr>
        <w:t>EIA</w:t>
      </w:r>
      <w:r w:rsidRPr="005B2DCE">
        <w:rPr>
          <w:rFonts w:ascii="Times New Roman" w:hAnsi="Times New Roman"/>
          <w:sz w:val="26"/>
          <w:szCs w:val="26"/>
        </w:rPr>
        <w:t xml:space="preserve">), в 2013 году составляла около 7,4 млн баррелей в день. На третьем месте </w:t>
      </w:r>
      <w:r w:rsidRPr="005B2DCE">
        <w:rPr>
          <w:rFonts w:ascii="Times New Roman" w:hAnsi="Times New Roman"/>
          <w:sz w:val="26"/>
          <w:szCs w:val="26"/>
        </w:rPr>
        <w:lastRenderedPageBreak/>
        <w:t xml:space="preserve">по объему добычи в 2013 году находилась Саудовская Аравия (9,4 млн баррелей в день). Ее отставание от России составило более 10%. </w:t>
      </w:r>
    </w:p>
    <w:p w:rsidR="004616EA" w:rsidRPr="005B2DCE" w:rsidRDefault="004616EA" w:rsidP="005B2DCE">
      <w:pPr>
        <w:tabs>
          <w:tab w:val="left" w:pos="1134"/>
        </w:tabs>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В первом квартале 2014 года по данным МЭА США лидировали по объему добычи нефти (11,12 млн баррелей в день). На самом деле добыча сырой нефти в США, согласно данным </w:t>
      </w:r>
      <w:r w:rsidRPr="005B2DCE">
        <w:rPr>
          <w:rFonts w:ascii="Times New Roman" w:hAnsi="Times New Roman"/>
          <w:sz w:val="26"/>
          <w:szCs w:val="26"/>
          <w:lang w:val="en-US"/>
        </w:rPr>
        <w:t>EIA</w:t>
      </w:r>
      <w:r w:rsidRPr="005B2DCE">
        <w:rPr>
          <w:rFonts w:ascii="Times New Roman" w:hAnsi="Times New Roman"/>
          <w:sz w:val="26"/>
          <w:szCs w:val="26"/>
        </w:rPr>
        <w:t xml:space="preserve">, в </w:t>
      </w:r>
      <w:r w:rsidRPr="005B2DCE">
        <w:rPr>
          <w:rFonts w:ascii="Times New Roman" w:hAnsi="Times New Roman"/>
          <w:sz w:val="26"/>
          <w:szCs w:val="26"/>
        </w:rPr>
        <w:lastRenderedPageBreak/>
        <w:t>первые месяцы 2014 года составляла около 8 млн баррелей в день. Поэтому Россия продолжает лидировать по объему добычи нефти (10,9 млн баррелей в день), опережая Саудовскую Аравию по результатам квартала на 15.2%.</w:t>
      </w:r>
    </w:p>
    <w:p w:rsidR="004616EA" w:rsidRPr="005B2DCE" w:rsidRDefault="004616EA" w:rsidP="005B2DCE">
      <w:pPr>
        <w:tabs>
          <w:tab w:val="left" w:pos="1134"/>
        </w:tabs>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По мнению экспертов РИА Рейтинг, лидерство России в 2014 году сохранится, но добыча нефти вырастет в лучшем случае на 1 млн тонн.</w:t>
      </w:r>
    </w:p>
    <w:p w:rsidR="004616EA" w:rsidRPr="005B2DCE" w:rsidRDefault="004616EA" w:rsidP="005B2DCE">
      <w:pPr>
        <w:pStyle w:val="a7"/>
        <w:numPr>
          <w:ilvl w:val="0"/>
          <w:numId w:val="4"/>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Увеличение объемов нефтеперерабатывающей промышленности Российской Федерации</w:t>
      </w:r>
    </w:p>
    <w:p w:rsidR="004616EA" w:rsidRPr="005B2DCE" w:rsidRDefault="004616EA" w:rsidP="005B2DCE">
      <w:pPr>
        <w:tabs>
          <w:tab w:val="left" w:pos="1134"/>
        </w:tabs>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Российская нефтеперерабатывающая промышленность сейчас одна из </w:t>
      </w:r>
      <w:r w:rsidRPr="005B2DCE">
        <w:rPr>
          <w:rFonts w:ascii="Times New Roman" w:hAnsi="Times New Roman"/>
          <w:sz w:val="26"/>
          <w:szCs w:val="26"/>
        </w:rPr>
        <w:lastRenderedPageBreak/>
        <w:t>крупнейших в мире. По общему объему переработки нефти Россия входит в пятерку мировых лидеров, уступая лишь США и Китаю. Российская нефтепереработка объединяет более 30 крупных заводов с объемами переработки более 1 млн тонн нефти и несколько десятков мелких.</w:t>
      </w:r>
    </w:p>
    <w:p w:rsidR="004616EA" w:rsidRPr="005B2DCE" w:rsidRDefault="004616EA" w:rsidP="005B2DCE">
      <w:pPr>
        <w:tabs>
          <w:tab w:val="left" w:pos="1134"/>
        </w:tabs>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 xml:space="preserve">Объем первичной переработки нефти в 2013 году увеличился по сравнению с 2012 годом, по данным Росстата, на 2,7% до 278,2 млн тонн и достиг рекордного значения за последние 7 лет. Доля переработки нефти в общем объеме ее добычи возросла в 2013 году до 53,2% против 52,3% в 2012 году. Увеличение производства </w:t>
      </w:r>
      <w:r w:rsidRPr="005B2DCE">
        <w:rPr>
          <w:rFonts w:ascii="Times New Roman" w:hAnsi="Times New Roman"/>
          <w:sz w:val="26"/>
          <w:szCs w:val="26"/>
        </w:rPr>
        <w:lastRenderedPageBreak/>
        <w:t>обусловлено увеличением экспорта нефтепродуктов, тогда как внутренние поставки преимущественно сокращались. Рост производства отмечен в отношении почти всех основных видов нефтепродуктов. Также растет производство нефтепродуктов пятого экологического класса (Евро-5).</w:t>
      </w:r>
    </w:p>
    <w:p w:rsidR="004616EA" w:rsidRPr="005B2DCE" w:rsidRDefault="004616EA" w:rsidP="005B2DCE">
      <w:pPr>
        <w:tabs>
          <w:tab w:val="left" w:pos="1134"/>
        </w:tabs>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 xml:space="preserve">В первой половине 2014 года объем первичной переработки нефти достиг очередного рекордного для этого периода значения 144,9 млн тонн, что на 7,1% выше, чем годом ранее. Таким образом, в текущем году наблюдается резкое ускорение роста переработки нефти. Увеличение переработки обусловлено, в основном, девальвацией </w:t>
      </w:r>
      <w:r w:rsidRPr="005B2DCE">
        <w:rPr>
          <w:rFonts w:ascii="Times New Roman" w:hAnsi="Times New Roman"/>
          <w:sz w:val="26"/>
          <w:szCs w:val="26"/>
        </w:rPr>
        <w:lastRenderedPageBreak/>
        <w:t>рубля, которая сделала выгодным экспорт мазута и дизельного топлива. Кроме того, в 2014 году произошло снижение коэффициента для расчета экспортной пошлины на дизельное топливо, что сделало его экспорт еще привлекательнее.</w:t>
      </w:r>
    </w:p>
    <w:p w:rsidR="004616EA" w:rsidRPr="005B2DCE" w:rsidRDefault="004616EA" w:rsidP="005B2DCE">
      <w:pPr>
        <w:pStyle w:val="a7"/>
        <w:numPr>
          <w:ilvl w:val="0"/>
          <w:numId w:val="4"/>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lastRenderedPageBreak/>
        <w:t>Географическая близость России к крупнейшим странам-потребителям нефти</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Лидерами импорта нефти в 2013 году являлись США – 10,3 млн барр./сутки и страны Европейского союза – около 15 млн барр./сутки (</w:t>
      </w:r>
      <w:r w:rsidR="001977F4">
        <w:fldChar w:fldCharType="begin"/>
      </w:r>
      <w:r w:rsidR="001977F4">
        <w:instrText xml:space="preserve"> REF _Ref397021264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29</w:t>
      </w:r>
      <w:r w:rsidR="001977F4">
        <w:fldChar w:fldCharType="end"/>
      </w:r>
      <w:r w:rsidRPr="005B2DCE">
        <w:rPr>
          <w:rFonts w:ascii="Times New Roman" w:hAnsi="Times New Roman"/>
          <w:sz w:val="26"/>
          <w:szCs w:val="26"/>
        </w:rPr>
        <w:t xml:space="preserve">). </w:t>
      </w:r>
    </w:p>
    <w:p w:rsidR="004616EA" w:rsidRPr="00475E67" w:rsidRDefault="004616EA" w:rsidP="00044298">
      <w:pPr>
        <w:spacing w:after="0"/>
        <w:ind w:firstLine="709"/>
        <w:jc w:val="both"/>
        <w:rPr>
          <w:rFonts w:ascii="Times New Roman" w:hAnsi="Times New Roman"/>
          <w:sz w:val="24"/>
          <w:szCs w:val="24"/>
        </w:rPr>
      </w:pPr>
    </w:p>
    <w:p w:rsidR="004616EA" w:rsidRPr="00475E67" w:rsidRDefault="00E70A58" w:rsidP="00C72B59">
      <w:pPr>
        <w:keepNext/>
        <w:spacing w:after="0"/>
        <w:ind w:firstLine="709"/>
        <w:jc w:val="center"/>
      </w:pPr>
      <w:r>
        <w:rPr>
          <w:rFonts w:ascii="Times New Roman" w:hAnsi="Times New Roman"/>
          <w:noProof/>
          <w:lang w:eastAsia="ru-RU"/>
        </w:rPr>
        <w:lastRenderedPageBreak/>
        <w:drawing>
          <wp:inline distT="0" distB="0" distL="0" distR="0">
            <wp:extent cx="3025140" cy="1737360"/>
            <wp:effectExtent l="0" t="0" r="381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4">
                      <a:extLst>
                        <a:ext uri="{28A0092B-C50C-407E-A947-70E740481C1C}">
                          <a14:useLocalDpi xmlns:a14="http://schemas.microsoft.com/office/drawing/2010/main" val="0"/>
                        </a:ext>
                      </a:extLst>
                    </a:blip>
                    <a:srcRect l="975" t="13466" r="1108" b="3122"/>
                    <a:stretch>
                      <a:fillRect/>
                    </a:stretch>
                  </pic:blipFill>
                  <pic:spPr bwMode="auto">
                    <a:xfrm>
                      <a:off x="0" y="0"/>
                      <a:ext cx="3025140" cy="1737360"/>
                    </a:xfrm>
                    <a:prstGeom prst="rect">
                      <a:avLst/>
                    </a:prstGeom>
                    <a:noFill/>
                    <a:ln>
                      <a:noFill/>
                    </a:ln>
                  </pic:spPr>
                </pic:pic>
              </a:graphicData>
            </a:graphic>
          </wp:inline>
        </w:drawing>
      </w:r>
    </w:p>
    <w:p w:rsidR="004616EA" w:rsidRPr="00475E67" w:rsidRDefault="004616EA" w:rsidP="00C72B59">
      <w:pPr>
        <w:pStyle w:val="af1"/>
        <w:jc w:val="center"/>
        <w:rPr>
          <w:rFonts w:ascii="Times New Roman" w:hAnsi="Times New Roman"/>
          <w:b w:val="0"/>
          <w:color w:val="auto"/>
          <w:sz w:val="36"/>
          <w:szCs w:val="24"/>
        </w:rPr>
      </w:pPr>
      <w:bookmarkStart w:id="98" w:name="_Ref397021264"/>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29</w:t>
      </w:r>
      <w:r w:rsidRPr="00475E67">
        <w:rPr>
          <w:rFonts w:ascii="Times New Roman" w:hAnsi="Times New Roman"/>
          <w:b w:val="0"/>
          <w:color w:val="auto"/>
          <w:sz w:val="24"/>
        </w:rPr>
        <w:fldChar w:fldCharType="end"/>
      </w:r>
      <w:bookmarkEnd w:id="98"/>
      <w:r w:rsidRPr="00475E67">
        <w:rPr>
          <w:rFonts w:ascii="Times New Roman" w:hAnsi="Times New Roman"/>
          <w:b w:val="0"/>
          <w:color w:val="auto"/>
          <w:sz w:val="24"/>
        </w:rPr>
        <w:t xml:space="preserve"> - Крупнейшие импортеры нефти в мире</w:t>
      </w:r>
    </w:p>
    <w:p w:rsidR="004616EA" w:rsidRPr="005B2DCE" w:rsidRDefault="004616EA" w:rsidP="005B2DCE">
      <w:pPr>
        <w:spacing w:after="0" w:line="240" w:lineRule="auto"/>
        <w:ind w:firstLine="709"/>
        <w:jc w:val="both"/>
        <w:rPr>
          <w:rFonts w:ascii="Times New Roman" w:hAnsi="Times New Roman"/>
          <w:sz w:val="26"/>
          <w:szCs w:val="26"/>
        </w:rPr>
      </w:pP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По прогнозам Управления по энергетической информации (Energy </w:t>
      </w:r>
      <w:r w:rsidRPr="005B2DCE">
        <w:rPr>
          <w:rFonts w:ascii="Times New Roman" w:hAnsi="Times New Roman"/>
          <w:sz w:val="26"/>
          <w:szCs w:val="26"/>
        </w:rPr>
        <w:lastRenderedPageBreak/>
        <w:t>Information Administration, EIA) минэнерго США Китай в 2014 г. обгонит США и станет крупнейшим импортером нефти. Так, в первом полугодии 2014 года по сравнению с 2013 годом Китай увеличил импорт нефти на 10,2%, несмотря на слабый рост потребления нефти, что говорит о попол</w:t>
      </w:r>
      <w:r w:rsidRPr="005B2DCE">
        <w:rPr>
          <w:rFonts w:ascii="Times New Roman" w:hAnsi="Times New Roman"/>
          <w:sz w:val="26"/>
          <w:szCs w:val="26"/>
        </w:rPr>
        <w:lastRenderedPageBreak/>
        <w:t>нении запасов. Объем импорта увеличился до 151,97 млн т, или 6,13 млн барр/сут, согласно таможенным данным.</w:t>
      </w:r>
    </w:p>
    <w:p w:rsidR="004616EA" w:rsidRPr="005B2DCE" w:rsidRDefault="004616EA" w:rsidP="005B2DCE">
      <w:pPr>
        <w:pStyle w:val="a7"/>
        <w:numPr>
          <w:ilvl w:val="0"/>
          <w:numId w:val="4"/>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 xml:space="preserve">Введение налоговых льгот на освоение месторождений с трудноизвлекаемой нефтью и шельфовых месторождений </w:t>
      </w:r>
    </w:p>
    <w:p w:rsidR="004616EA" w:rsidRPr="005B2DCE" w:rsidRDefault="004616EA" w:rsidP="005B2DCE">
      <w:pPr>
        <w:pStyle w:val="a7"/>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lastRenderedPageBreak/>
        <w:t xml:space="preserve">В 2012 году правительство РФ ввело льготы на экспортную пошлину нефти из трудноизвлекаемых месторождений – ставка составила 10 % от базовой величины. </w:t>
      </w:r>
    </w:p>
    <w:p w:rsidR="004616EA" w:rsidRPr="005B2DCE" w:rsidRDefault="004616EA" w:rsidP="005B2DCE">
      <w:pPr>
        <w:pStyle w:val="a7"/>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 xml:space="preserve">В июле 2013 года был принят закон о дифференциации налога на добычу полезных ископаемых для трудноизвлекаемых запасов нефти, который </w:t>
      </w:r>
      <w:r w:rsidRPr="005B2DCE">
        <w:rPr>
          <w:rFonts w:ascii="Times New Roman" w:hAnsi="Times New Roman"/>
          <w:sz w:val="26"/>
          <w:szCs w:val="26"/>
        </w:rPr>
        <w:lastRenderedPageBreak/>
        <w:t>предусматривает дифференциацию ставки налога на добычу полезных ископаемых (НДПИ) в зависимости от показателя проницаемости коллектора, степени выработанности месторождения и размера нефтенасыщенного пласта (вводятся понижающие коэффициенты от 0 до 0,8).</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 xml:space="preserve">Экспортная пошлина на нефть в среднем за 2013 год снизилась по сравнению с 2012 годом на 3,0% до $392,2 за тонну. По мнению экспертов, снижение обусловлено сокращением среднегодовой цены нефти. В связи с изменениями, внесенным в Налоговый кодекс, с 2014 года будет происходить поэтапное снижение предельной </w:t>
      </w:r>
      <w:r w:rsidRPr="005B2DCE">
        <w:rPr>
          <w:rFonts w:ascii="Times New Roman" w:hAnsi="Times New Roman"/>
          <w:sz w:val="26"/>
          <w:szCs w:val="26"/>
        </w:rPr>
        <w:lastRenderedPageBreak/>
        <w:t xml:space="preserve">ставки экспортной пошлины на нефть - с 60% до 59% от стоимости в 2014 году, до 57% - в 2015 году и до 55% - в 2016 году.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Экспортная пошлина на нефть в среднем за первое полугодие 2014 года составила $386,6 за тонну, что на 1,6% ниже, чем за тот же период 2013 года. Также произошло снижение пошлин </w:t>
      </w:r>
      <w:r w:rsidRPr="005B2DCE">
        <w:rPr>
          <w:rFonts w:ascii="Times New Roman" w:hAnsi="Times New Roman"/>
          <w:sz w:val="26"/>
          <w:szCs w:val="26"/>
        </w:rPr>
        <w:lastRenderedPageBreak/>
        <w:t>на экспорт льготной нефти Восточной Сибири и высоковязкой нефти.</w:t>
      </w:r>
    </w:p>
    <w:p w:rsidR="004616EA" w:rsidRPr="005B2DCE" w:rsidRDefault="004616EA" w:rsidP="005B2DCE">
      <w:pPr>
        <w:pStyle w:val="a7"/>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 xml:space="preserve">В отличие от экспортной пошлины, НДПИ в ближайшие годы будет расти. В связи с изменениями, внесенными в Налоговый кодекс, базовая ставка НДПИ в 2014 году увеличится на 4,9% до 493 руб. за тонну, в 2015 году - на </w:t>
      </w:r>
      <w:r w:rsidRPr="005B2DCE">
        <w:rPr>
          <w:rFonts w:ascii="Times New Roman" w:hAnsi="Times New Roman"/>
          <w:sz w:val="26"/>
          <w:szCs w:val="26"/>
        </w:rPr>
        <w:lastRenderedPageBreak/>
        <w:t>7,5% до 530 руб. за тонну, в 2016 году - на 5,5% до 559 руб. за тонну.</w:t>
      </w:r>
    </w:p>
    <w:p w:rsidR="004616EA" w:rsidRPr="005B2DCE" w:rsidRDefault="004616EA" w:rsidP="005B2DCE">
      <w:pPr>
        <w:pStyle w:val="a7"/>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 xml:space="preserve">Данные меры должны способствовать росту динамики добычи нефти в России, но в долгосрочной перспективе. </w:t>
      </w:r>
    </w:p>
    <w:p w:rsidR="004616EA" w:rsidRPr="005B2DCE" w:rsidRDefault="004616EA" w:rsidP="005B2DCE">
      <w:pPr>
        <w:pStyle w:val="a7"/>
        <w:numPr>
          <w:ilvl w:val="0"/>
          <w:numId w:val="4"/>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Рост цен на нефть на внутреннем рынке</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Цена нефти на внутреннем рынке в 2013 году изменялась разнонаправленно. В среднем за 2013 год цена производителей нефти, согласно данным Росстата, составила 10683 руб. за тонну, что на 2,3% выше, чем в среднем за 2012 год.</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В 2014 году сохранилась повышательная динамика цены нефти на внутреннем рынке (</w:t>
      </w:r>
      <w:r w:rsidR="001977F4">
        <w:fldChar w:fldCharType="begin"/>
      </w:r>
      <w:r w:rsidR="001977F4">
        <w:instrText xml:space="preserve"> REF _Ref397021320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30</w:t>
      </w:r>
      <w:r w:rsidR="001977F4">
        <w:fldChar w:fldCharType="end"/>
      </w:r>
      <w:r w:rsidRPr="005B2DCE">
        <w:rPr>
          <w:rFonts w:ascii="Times New Roman" w:hAnsi="Times New Roman"/>
          <w:sz w:val="26"/>
          <w:szCs w:val="26"/>
        </w:rPr>
        <w:t xml:space="preserve">). Согласно данным Росстата, в среднем за январь-июнь текущего года цена производителей нефти увеличилась в годовом сравнении на 17,8% до 11852 руб. за тонну. Повышение внутренней цены </w:t>
      </w:r>
      <w:r w:rsidRPr="005B2DCE">
        <w:rPr>
          <w:rFonts w:ascii="Times New Roman" w:hAnsi="Times New Roman"/>
          <w:sz w:val="26"/>
          <w:szCs w:val="26"/>
        </w:rPr>
        <w:lastRenderedPageBreak/>
        <w:t>на фоне снижения цены нефти на мировом рынке обусловлено увеличением издержек нефтяных компаний и девальвацией рубля.</w:t>
      </w:r>
    </w:p>
    <w:p w:rsidR="004616EA" w:rsidRPr="005B2DCE" w:rsidRDefault="004616EA" w:rsidP="005B2DCE">
      <w:pPr>
        <w:spacing w:after="0" w:line="240" w:lineRule="auto"/>
        <w:ind w:firstLine="709"/>
        <w:jc w:val="both"/>
        <w:rPr>
          <w:rFonts w:ascii="Times New Roman" w:hAnsi="Times New Roman"/>
          <w:sz w:val="26"/>
          <w:szCs w:val="26"/>
        </w:rPr>
      </w:pPr>
    </w:p>
    <w:p w:rsidR="004616EA" w:rsidRPr="00475E67" w:rsidRDefault="00E70A58" w:rsidP="005B2DCE">
      <w:pPr>
        <w:pStyle w:val="a7"/>
        <w:keepNext/>
        <w:spacing w:after="0" w:line="240" w:lineRule="auto"/>
        <w:ind w:left="0" w:firstLine="709"/>
        <w:jc w:val="both"/>
      </w:pPr>
      <w:r>
        <w:rPr>
          <w:noProof/>
          <w:sz w:val="26"/>
          <w:szCs w:val="26"/>
        </w:rPr>
        <w:lastRenderedPageBreak/>
        <w:drawing>
          <wp:inline distT="0" distB="0" distL="0" distR="0">
            <wp:extent cx="5486400" cy="2255520"/>
            <wp:effectExtent l="0" t="0" r="0" b="0"/>
            <wp:docPr id="3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55">
                      <a:extLst>
                        <a:ext uri="{28A0092B-C50C-407E-A947-70E740481C1C}">
                          <a14:useLocalDpi xmlns:a14="http://schemas.microsoft.com/office/drawing/2010/main" val="0"/>
                        </a:ext>
                      </a:extLst>
                    </a:blip>
                    <a:srcRect l="24687" t="18503" r="25891" b="53711"/>
                    <a:stretch>
                      <a:fillRect/>
                    </a:stretch>
                  </pic:blipFill>
                  <pic:spPr bwMode="auto">
                    <a:xfrm>
                      <a:off x="0" y="0"/>
                      <a:ext cx="5486400" cy="2255520"/>
                    </a:xfrm>
                    <a:prstGeom prst="rect">
                      <a:avLst/>
                    </a:prstGeom>
                    <a:noFill/>
                    <a:ln>
                      <a:noFill/>
                    </a:ln>
                  </pic:spPr>
                </pic:pic>
              </a:graphicData>
            </a:graphic>
          </wp:inline>
        </w:drawing>
      </w:r>
    </w:p>
    <w:p w:rsidR="004616EA" w:rsidRDefault="004616EA" w:rsidP="00B67B8B">
      <w:pPr>
        <w:pStyle w:val="af1"/>
        <w:jc w:val="center"/>
        <w:rPr>
          <w:rFonts w:ascii="Times New Roman" w:hAnsi="Times New Roman"/>
          <w:b w:val="0"/>
          <w:color w:val="auto"/>
          <w:sz w:val="24"/>
        </w:rPr>
      </w:pPr>
      <w:bookmarkStart w:id="99" w:name="_Ref397021320"/>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30</w:t>
      </w:r>
      <w:r w:rsidRPr="00475E67">
        <w:rPr>
          <w:rFonts w:ascii="Times New Roman" w:hAnsi="Times New Roman"/>
          <w:b w:val="0"/>
          <w:color w:val="auto"/>
          <w:sz w:val="24"/>
        </w:rPr>
        <w:fldChar w:fldCharType="end"/>
      </w:r>
      <w:bookmarkEnd w:id="99"/>
      <w:r w:rsidRPr="00475E67">
        <w:rPr>
          <w:rFonts w:ascii="Times New Roman" w:hAnsi="Times New Roman"/>
          <w:b w:val="0"/>
          <w:color w:val="auto"/>
          <w:sz w:val="24"/>
        </w:rPr>
        <w:t xml:space="preserve"> - Цена нефти на внутреннем рынке за период с 01.2010 - 03.2014 гг., руб. за тонну</w:t>
      </w:r>
    </w:p>
    <w:p w:rsidR="004616EA" w:rsidRDefault="004616EA" w:rsidP="005B2DCE">
      <w:pPr>
        <w:rPr>
          <w:lang w:eastAsia="ru-RU"/>
        </w:rPr>
      </w:pPr>
    </w:p>
    <w:p w:rsidR="004616EA" w:rsidRPr="005B2DCE" w:rsidRDefault="004616EA" w:rsidP="005B2DCE">
      <w:pPr>
        <w:rPr>
          <w:lang w:eastAsia="ru-RU"/>
        </w:rPr>
      </w:pPr>
    </w:p>
    <w:p w:rsidR="004616EA" w:rsidRPr="005B2DCE" w:rsidRDefault="004616EA" w:rsidP="005B2DCE">
      <w:pPr>
        <w:pStyle w:val="a7"/>
        <w:numPr>
          <w:ilvl w:val="0"/>
          <w:numId w:val="4"/>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Рост объемов добычи газа в России</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Динамика добычи газа в России в 2013 году постепенно менялась с отрицательной на положительную динамику. Если в первой половине года было отмечено снижение добычи, то по итогам всего года зафиксирован </w:t>
      </w:r>
      <w:r w:rsidRPr="005B2DCE">
        <w:rPr>
          <w:rFonts w:ascii="Times New Roman" w:hAnsi="Times New Roman"/>
          <w:sz w:val="26"/>
          <w:szCs w:val="26"/>
        </w:rPr>
        <w:lastRenderedPageBreak/>
        <w:t>рост, который был обусловлен активной закачкой газа в европейские газохранилища в преддверии очередного отопительного сезона.</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Согласно данным Росстата, добыча природного газа с учетом попутного нефтяного газа составила в 2013 году 668 млрд куб. метров, что на 2,4% </w:t>
      </w:r>
      <w:r w:rsidRPr="005B2DCE">
        <w:rPr>
          <w:rFonts w:ascii="Times New Roman" w:hAnsi="Times New Roman"/>
          <w:sz w:val="26"/>
          <w:szCs w:val="26"/>
        </w:rPr>
        <w:lastRenderedPageBreak/>
        <w:t>выше, чем в 2012 году. Согласно данным Минэнерго, добыча газа в России в 2013 году увеличилась на 2,3% до 669,7 млрд куб. метров. Изначально предполагалось, что в 2014 году добыча вырастет на 2%, однако в связи с теплой зимой и сравнительно небольшой выборкой газа из европейских газохранилищ, прогноз снижен до 1%.</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В 2013 году сохранился высокий темп роста добычи попутного нефтяного газа (ПНГ). Согласно данным Росстата, добыча ПНГ увеличилась за год на 7,4% до 67,5 млрд куб. м. При этом объем газа, сожженного в факелах, сократился на 9,2% до 15,5 млрд куб. м.</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В 2014 году сохраняется положительная динамика добычи ПНГ. Согласно данным Росстата, добыча ПНГ в январе-июне 2014 года составила 36.1 млрд куб. метров, что на 10% больше, чем в январе-июне 2013 года.</w:t>
      </w:r>
    </w:p>
    <w:p w:rsidR="004616EA" w:rsidRPr="005B2DCE" w:rsidRDefault="004616EA" w:rsidP="005B2DCE">
      <w:pPr>
        <w:pStyle w:val="a7"/>
        <w:numPr>
          <w:ilvl w:val="0"/>
          <w:numId w:val="4"/>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Относительно низкие цены на российский газ в мире</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 xml:space="preserve">Самые высокие цены на газ сохраняются в Юго-Восточной Азии, хотя в 2013 году они сократились. Согласно данным МВФ, цена сжиженного природного газа (СПГ), импортируемого из Индонезии в Японию, составила в среднем за 2013 год $627.2 за тыс. куб. </w:t>
      </w:r>
      <w:r w:rsidRPr="005B2DCE">
        <w:rPr>
          <w:rFonts w:ascii="Times New Roman" w:hAnsi="Times New Roman"/>
          <w:sz w:val="26"/>
          <w:szCs w:val="26"/>
        </w:rPr>
        <w:lastRenderedPageBreak/>
        <w:t>м. По сравнению с 2012 годом газ, импортируемый в Японию, подешевел на 4.0%.</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Цена российского трубопроводного газа в Европе в 2013 году также была ниже, чем в 2012 году, что обусловлено динамикой нефтяных цен. Цена российского газа на границе с Германий составила в среднем за 2013 год, </w:t>
      </w:r>
      <w:r w:rsidRPr="005B2DCE">
        <w:rPr>
          <w:rFonts w:ascii="Times New Roman" w:hAnsi="Times New Roman"/>
          <w:sz w:val="26"/>
          <w:szCs w:val="26"/>
        </w:rPr>
        <w:lastRenderedPageBreak/>
        <w:t>согласно данным МВФ, $402 за тыс. куб. метров, что на 6,6% меньше, чем в 2012 году. Аналогичная цена за первый квартал 2014 года равнялась $389 за тыс. куб. метров, что на 5% меньше, чем в январе-марте 2013 года. Снижение цены обусловлено скидками Газ</w:t>
      </w:r>
      <w:r w:rsidRPr="005B2DCE">
        <w:rPr>
          <w:rFonts w:ascii="Times New Roman" w:hAnsi="Times New Roman"/>
          <w:sz w:val="26"/>
          <w:szCs w:val="26"/>
        </w:rPr>
        <w:lastRenderedPageBreak/>
        <w:t>прома своим клиентам, а также уменьшением спроса на теплоносители из-за мягкой зимы в Европе.</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В целом динамика экспорта газа в 2013 году значительно лучше, чем в 2012 году. Увеличение поставок в Европу было обусловлено повышением конкурентоспособности российского </w:t>
      </w:r>
      <w:r w:rsidRPr="005B2DCE">
        <w:rPr>
          <w:rFonts w:ascii="Times New Roman" w:hAnsi="Times New Roman"/>
          <w:sz w:val="26"/>
          <w:szCs w:val="26"/>
        </w:rPr>
        <w:lastRenderedPageBreak/>
        <w:t>газа, в том числе вследствие снижения цены.</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Слабые стороны</w:t>
      </w:r>
    </w:p>
    <w:p w:rsidR="004616EA" w:rsidRPr="005B2DCE" w:rsidRDefault="004616EA" w:rsidP="005B2DCE">
      <w:pPr>
        <w:pStyle w:val="a7"/>
        <w:numPr>
          <w:ilvl w:val="0"/>
          <w:numId w:val="3"/>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Уменьшение запасов нефтяных месторождений в России</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На сегодняшний день, значительная часть эксплуатируемых месторождений вступила в стадию падающей до</w:t>
      </w:r>
      <w:r w:rsidRPr="005B2DCE">
        <w:rPr>
          <w:rFonts w:ascii="Times New Roman" w:hAnsi="Times New Roman"/>
          <w:sz w:val="26"/>
          <w:szCs w:val="26"/>
        </w:rPr>
        <w:lastRenderedPageBreak/>
        <w:t>бычи, а новые месторождения в большинстве случаев характеризуются худшими горно-геологическими и географическими параметрами, их разработка требует повышенных капитальных, эксплуатационных и транспортных затрат.</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Низкие темпы роста добычи нефти в России сохраняются уже несколько </w:t>
      </w:r>
      <w:r w:rsidRPr="005B2DCE">
        <w:rPr>
          <w:rFonts w:ascii="Times New Roman" w:hAnsi="Times New Roman"/>
          <w:sz w:val="26"/>
          <w:szCs w:val="26"/>
        </w:rPr>
        <w:lastRenderedPageBreak/>
        <w:t>лет. Это обусловлено падением добычи на старых месторождениях. Новые месторождения Восточной Сибири частично компенсируют этот спад, но и на этих месторождениях добыча постепенно выходит на потолочный уровень. Для увеличения темпов роста добычи нефти в стране необхо</w:t>
      </w:r>
      <w:r w:rsidRPr="005B2DCE">
        <w:rPr>
          <w:rFonts w:ascii="Times New Roman" w:hAnsi="Times New Roman"/>
          <w:sz w:val="26"/>
          <w:szCs w:val="26"/>
        </w:rPr>
        <w:lastRenderedPageBreak/>
        <w:t>димо привлекать к разработке месторождения трудноизвлекаемой нефти, запасы которых очень высокие, но большие затраты на их освоение требуют льгот нефтяным компаниям.</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Тем не менее, даже с учетом активизации рост добычи слишком низкий и не отвечает возможностям России по экспорту. С открытием нефтепровода </w:t>
      </w:r>
      <w:r w:rsidRPr="005B2DCE">
        <w:rPr>
          <w:rFonts w:ascii="Times New Roman" w:hAnsi="Times New Roman"/>
          <w:sz w:val="26"/>
          <w:szCs w:val="26"/>
        </w:rPr>
        <w:lastRenderedPageBreak/>
        <w:t>ВСТО-2 и ответвления в Китай, Россия имеет хорошие возможности по наращиванию экспорта, однако сделать этого она не может. Новые договоренности с Китаем обязывают Россию наращивать поставки в эту страну, в связи с этим приходится сокращать экспорт в страны Европы.</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 xml:space="preserve">В перспективе освоение Восточной Сибири продолжится, но ввода уникальных месторождений там пока не предвидится. Самое крупное месторождение, которое ожидается к вводу в ближайшие семь лет – Юрубчено-Тохомское в Красноярском крае. Его запуск состоится в 2016 году. По запасам оно меньше Ванкорского, и поэтому </w:t>
      </w:r>
      <w:r w:rsidRPr="005B2DCE">
        <w:rPr>
          <w:rFonts w:ascii="Times New Roman" w:hAnsi="Times New Roman"/>
          <w:sz w:val="26"/>
          <w:szCs w:val="26"/>
        </w:rPr>
        <w:lastRenderedPageBreak/>
        <w:t>сможет лишь поддержать добычу в России на текущем уровне, так как снижение добычи в Западной Сибири приобретает вид необратимого процесса.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Для РФ крайне необходим поиск новых технологий, которые позволят поддерживать уровень добычи нефти. </w:t>
      </w:r>
      <w:r w:rsidRPr="005B2DCE">
        <w:rPr>
          <w:rFonts w:ascii="Times New Roman" w:hAnsi="Times New Roman"/>
          <w:sz w:val="26"/>
          <w:szCs w:val="26"/>
        </w:rPr>
        <w:lastRenderedPageBreak/>
        <w:t>В настоящее время проекты, запланированные для стабилизации показателей добычи, не смогут обеспечить необходимый уровень. Если не принять надлежащие меры, начиная с 2016 года, интенсивность падения показателей будет очень существенной.</w:t>
      </w:r>
    </w:p>
    <w:p w:rsidR="004616EA" w:rsidRPr="005B2DCE" w:rsidRDefault="004616EA" w:rsidP="005B2DCE">
      <w:pPr>
        <w:pStyle w:val="a7"/>
        <w:numPr>
          <w:ilvl w:val="0"/>
          <w:numId w:val="3"/>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 xml:space="preserve">Низкие объемы производства нефтепродуктов, недостаточные для </w:t>
      </w:r>
      <w:r w:rsidRPr="005B2DCE">
        <w:rPr>
          <w:rFonts w:ascii="Times New Roman" w:hAnsi="Times New Roman"/>
          <w:i/>
          <w:sz w:val="26"/>
          <w:szCs w:val="26"/>
        </w:rPr>
        <w:lastRenderedPageBreak/>
        <w:t>удовлетворения внутреннего спроса, и устаревшие основные фонды предприятий, занимающихся нефтепереработкой</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По структуре производства нефтепродуктов и технической оснащенности заводов Россия до сих пор отстает от стран Запада. Исходя из данных </w:t>
      </w:r>
      <w:r w:rsidRPr="005B2DCE">
        <w:rPr>
          <w:rFonts w:ascii="Times New Roman" w:hAnsi="Times New Roman"/>
          <w:sz w:val="26"/>
          <w:szCs w:val="26"/>
        </w:rPr>
        <w:lastRenderedPageBreak/>
        <w:t>Минэнерго и Росстата, доля суммарного производства автомобильного бензина, дизельного топлива и авиакеросина в объеме первичной переработки по итогам 2013 год в РФ составила 43,2%, что немного меньше, чем в 2012 году (43,6%). Также произошло небольшое снижение глубины переработки за этот период с 71,6% до 71,4%.</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 xml:space="preserve">В январе-марте 2014 года доля суммарного производства автомобильного бензина, дизельного топлива и авиакеросина в объеме первичной переработки составила 44%, что немного меньше, чем в январе-марте 2013 года (44,4%). За этот период также произошло небольшое снижение глубины переработки с 70,6% до 70,4%.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 xml:space="preserve">В 2013 году, согласно данным Минэнерго, было введено в эксплуатацию 13 перерабатывающих установок, из которых 10 новых и 3 реконструированных. А в 2012 году было введено в эксплуатацию 15 перерабатывающих установок.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 xml:space="preserve">В 2014 году инвестиции в модернизацию российских НПЗ должны составить 320 млрд руб., что на 19% больше, чем в 2013 году. В результате модернизации глубина переработки нефти к 2015 году должна достигнуть, согласно планам Минэнерго, 72,6%, что, тем не менее, является невысоким </w:t>
      </w:r>
      <w:r w:rsidRPr="005B2DCE">
        <w:rPr>
          <w:rFonts w:ascii="Times New Roman" w:hAnsi="Times New Roman"/>
          <w:sz w:val="26"/>
          <w:szCs w:val="26"/>
        </w:rPr>
        <w:lastRenderedPageBreak/>
        <w:t>показателем по сравнению с развитыми странами. Из крупных проектов в отрасли, уже реализованных в 2014 году, следует отметить введение в эксплуатацию компанией «ТАНЕКО» комбинированной установки гидрокрекинга.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Несмотря на проводимую в отрасли модернизацию, видимых признаков </w:t>
      </w:r>
      <w:r w:rsidRPr="005B2DCE">
        <w:rPr>
          <w:rFonts w:ascii="Times New Roman" w:hAnsi="Times New Roman"/>
          <w:sz w:val="26"/>
          <w:szCs w:val="26"/>
        </w:rPr>
        <w:lastRenderedPageBreak/>
        <w:t>качественного улучшения производимой продукции в отрасли пока немного. Можно отметить только существенное увеличение производства моторного топлива повышенного экологического класса.</w:t>
      </w:r>
    </w:p>
    <w:p w:rsidR="004616EA" w:rsidRPr="005B2DCE" w:rsidRDefault="004616EA" w:rsidP="005B2DCE">
      <w:pPr>
        <w:pStyle w:val="a7"/>
        <w:numPr>
          <w:ilvl w:val="0"/>
          <w:numId w:val="3"/>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Снижение внутреннего потребления газа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 xml:space="preserve">Внутреннее потребление газа в России в 2013 году снова сократилось. По данным ЦДУ-ТЭК, снижение внутреннего потребления газа по сравнению с 2012 годом составило 0,8% до 456,2 млрд куб. метров. По данным Минэнерго, внутреннее потребление газа в январе-марте 2014 года сократилось в годовом сравнении на 3,1% до </w:t>
      </w:r>
      <w:r w:rsidRPr="005B2DCE">
        <w:rPr>
          <w:rFonts w:ascii="Times New Roman" w:hAnsi="Times New Roman"/>
          <w:sz w:val="26"/>
          <w:szCs w:val="26"/>
        </w:rPr>
        <w:lastRenderedPageBreak/>
        <w:t>147,6 млрд куб. метров. Снижение спроса можно объяснить сокращением производства электроэнергии тепловыми электростанциями, которое составило по итогам 2013 года 3,8%. Кроме того, спад производства наблюдался в черной металлургии, которая также является крупным потребителем газа.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 xml:space="preserve">Довольно сильно сократил поставки на внутренний рынок Газпром. Согласно его отчетности, реализация газа российским потребителям компании в 2013 году составила 279,8 млрд куб. метров, что на 8,2% ниже, чем в 2012 году. Объем реализации Газпрома на внутреннем рынке был минимальным </w:t>
      </w:r>
      <w:r w:rsidRPr="005B2DCE">
        <w:rPr>
          <w:rFonts w:ascii="Times New Roman" w:hAnsi="Times New Roman"/>
          <w:sz w:val="26"/>
          <w:szCs w:val="26"/>
        </w:rPr>
        <w:lastRenderedPageBreak/>
        <w:t>за последние годы. Такое сильное снижение обусловлено, как падением спроса, так и увеличением присутствия на рынке других производителей газа. В январе-июне 2014 года «Газпром» еще сильнее сократил поставки на внутренний рынок – 151,96 млрд куб. м, что на 9,8% ниже, чем за аналогичный период 2013 года.</w:t>
      </w:r>
    </w:p>
    <w:p w:rsidR="004616EA" w:rsidRPr="005B2DCE" w:rsidRDefault="004616EA" w:rsidP="005B2DCE">
      <w:pPr>
        <w:pStyle w:val="a7"/>
        <w:numPr>
          <w:ilvl w:val="0"/>
          <w:numId w:val="3"/>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lastRenderedPageBreak/>
        <w:t>Повышение налогов на добычу газа в России</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С середины 2013 года ставка налога на добычу полезных ископаемых (НДПИ) для ОАО «Газпром» выросла на 22,2% до 622 руб. за тыс. куб. м. Рост ставки предполагается и в следующие годы: до 700 руб. в 2014 году и до 788 руб. в 2015 году.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Увеличение налогового бремени ощутят и независимые производители. С июля 2013 ставка НДПИ для них повысилась на 60,1% до 402 руб. за тыс. куб. метров. В 2014 году ставка составит 417 руб., в 2015 году – 552 руб.</w:t>
      </w:r>
    </w:p>
    <w:p w:rsidR="004616EA" w:rsidRPr="005B2DCE" w:rsidRDefault="004616EA" w:rsidP="005B2DCE">
      <w:pPr>
        <w:spacing w:after="0" w:line="240" w:lineRule="auto"/>
        <w:ind w:firstLine="709"/>
        <w:jc w:val="both"/>
        <w:rPr>
          <w:rFonts w:ascii="Times New Roman" w:hAnsi="Times New Roman"/>
          <w:sz w:val="26"/>
          <w:szCs w:val="26"/>
          <w:u w:val="single"/>
        </w:rPr>
      </w:pPr>
      <w:r w:rsidRPr="005B2DCE">
        <w:rPr>
          <w:rFonts w:ascii="Times New Roman" w:hAnsi="Times New Roman"/>
          <w:b/>
          <w:sz w:val="26"/>
          <w:szCs w:val="26"/>
        </w:rPr>
        <w:t>Возможности</w:t>
      </w:r>
    </w:p>
    <w:p w:rsidR="004616EA" w:rsidRPr="005B2DCE" w:rsidRDefault="004616EA" w:rsidP="005B2DCE">
      <w:pPr>
        <w:pStyle w:val="a7"/>
        <w:numPr>
          <w:ilvl w:val="0"/>
          <w:numId w:val="6"/>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Расширение рынков сбыта российской нефти</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 xml:space="preserve">Согласно данным Федеральной таможенной службы (ФТС), экспорт нефти из РФ в 2013 году снизился по сравнению с 2012 годом на 1,4% до 236,6 млн тонн. При этом экспорт в страны Дальнего Зарубежья снизился на 1,7% до 208,0 млн тонн, а в страны СНГ вырос на 1% до 28,6 млн тонн. </w:t>
      </w:r>
      <w:r w:rsidRPr="005B2DCE">
        <w:rPr>
          <w:rFonts w:ascii="Times New Roman" w:hAnsi="Times New Roman"/>
          <w:sz w:val="26"/>
          <w:szCs w:val="26"/>
        </w:rPr>
        <w:lastRenderedPageBreak/>
        <w:t>Доходы от экспорта нефти снизились на 4% до $173,6 млрд.</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Снижение экспорта в страны дальнего зарубежья происходит из-за сокращения поставок в Европу, тогда как поставки российской нефти в восточном направлении увеличиваются. По итогам первого полугодия 2013 г. экспорт через нефтетерминал Козьмино </w:t>
      </w:r>
      <w:r w:rsidRPr="005B2DCE">
        <w:rPr>
          <w:rFonts w:ascii="Times New Roman" w:hAnsi="Times New Roman"/>
          <w:sz w:val="26"/>
          <w:szCs w:val="26"/>
        </w:rPr>
        <w:lastRenderedPageBreak/>
        <w:t>увеличился почти на 40 % до 10,6 млн тонн. В 2014 году поставки через Козьмино могут возрасти до 22-23 млн тонн. Кроме того, должны на 2 млн тонн увеличиться поставки «Роснефти» в Китай, в соответствие с подписанным в марте 2013 года договором с компанией CNPC.</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Также в июне 2013 года впервые начались поставки российской нефти из Козьмино в Новую Зеландию. Таким образом, география экспорта российской нефти растет.</w:t>
      </w:r>
    </w:p>
    <w:p w:rsidR="004616EA" w:rsidRPr="005B2DCE" w:rsidRDefault="004616EA" w:rsidP="005B2DCE">
      <w:pPr>
        <w:pStyle w:val="a7"/>
        <w:numPr>
          <w:ilvl w:val="0"/>
          <w:numId w:val="6"/>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Рост мирового спроса на нефть</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Мировой спрос на нефть в 2013 году вырос по сравнению с 2012 годом, по </w:t>
      </w:r>
      <w:r w:rsidRPr="005B2DCE">
        <w:rPr>
          <w:rFonts w:ascii="Times New Roman" w:hAnsi="Times New Roman"/>
          <w:sz w:val="26"/>
          <w:szCs w:val="26"/>
        </w:rPr>
        <w:lastRenderedPageBreak/>
        <w:t>оценке ОПЕК, на 1,1% до 89,9 млн баррелей в день, по оценке Международного энергетического агентства (МЭА) - на 1,3% до 91,2 млн баррелей. В том числе, как следует из данных МЭА, рост спроса в Китае в 2013 году составил 3,1%, в Северной Америке – 1,7%, тогда как в странах Западной Европы спрос снова снизился на 0,7%.</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Спрос на нефть в 2014 году будет продолжать расти за счет постепенного восстановления европейской экономики, однако предложение также может увеличиться из-за роста поставок со стороны Ирана (</w:t>
      </w:r>
      <w:r w:rsidR="001977F4">
        <w:fldChar w:fldCharType="begin"/>
      </w:r>
      <w:r w:rsidR="001977F4">
        <w:instrText xml:space="preserve"> REF _Ref397021455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31</w:t>
      </w:r>
      <w:r w:rsidR="001977F4">
        <w:fldChar w:fldCharType="end"/>
      </w:r>
      <w:r w:rsidRPr="005B2DCE">
        <w:rPr>
          <w:rFonts w:ascii="Times New Roman" w:hAnsi="Times New Roman"/>
          <w:sz w:val="26"/>
          <w:szCs w:val="26"/>
        </w:rPr>
        <w:t>). В целом рынок ожидает небольшой профицит или баланс спроса и предложения.</w:t>
      </w:r>
    </w:p>
    <w:p w:rsidR="004616EA" w:rsidRPr="00475E67" w:rsidRDefault="00E70A58" w:rsidP="000C5AB2">
      <w:pPr>
        <w:keepNext/>
        <w:spacing w:after="0"/>
        <w:jc w:val="center"/>
      </w:pPr>
      <w:r>
        <w:rPr>
          <w:noProof/>
          <w:lang w:eastAsia="ru-RU"/>
        </w:rPr>
        <w:lastRenderedPageBreak/>
        <w:drawing>
          <wp:inline distT="0" distB="0" distL="0" distR="0">
            <wp:extent cx="5962650" cy="2063115"/>
            <wp:effectExtent l="0" t="0" r="0" b="13335"/>
            <wp:docPr id="31" name="Диаграмма 8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4616EA" w:rsidRPr="00475E67" w:rsidRDefault="004616EA" w:rsidP="000C5AB2">
      <w:pPr>
        <w:pStyle w:val="af1"/>
        <w:jc w:val="center"/>
        <w:rPr>
          <w:rFonts w:ascii="Times New Roman" w:hAnsi="Times New Roman"/>
          <w:b w:val="0"/>
          <w:color w:val="auto"/>
          <w:sz w:val="36"/>
          <w:szCs w:val="24"/>
        </w:rPr>
      </w:pPr>
      <w:bookmarkStart w:id="100" w:name="_Ref397021455"/>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31</w:t>
      </w:r>
      <w:r w:rsidRPr="00475E67">
        <w:rPr>
          <w:rFonts w:ascii="Times New Roman" w:hAnsi="Times New Roman"/>
          <w:b w:val="0"/>
          <w:color w:val="auto"/>
          <w:sz w:val="24"/>
        </w:rPr>
        <w:fldChar w:fldCharType="end"/>
      </w:r>
      <w:bookmarkEnd w:id="100"/>
      <w:r w:rsidRPr="00475E67">
        <w:rPr>
          <w:rFonts w:ascii="Times New Roman" w:hAnsi="Times New Roman"/>
          <w:b w:val="0"/>
          <w:color w:val="auto"/>
          <w:sz w:val="24"/>
        </w:rPr>
        <w:t xml:space="preserve"> - Мировой спрос на нефть в 2012-2014 гг., млн баррелей в день</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Ожидается, что потребление нефти в мировой экономике в период до 2015 г. будет расти в среднем на 1,5 % в год. </w:t>
      </w:r>
      <w:r w:rsidRPr="005B2DCE">
        <w:rPr>
          <w:rFonts w:ascii="Times New Roman" w:hAnsi="Times New Roman"/>
          <w:sz w:val="26"/>
          <w:szCs w:val="26"/>
        </w:rPr>
        <w:lastRenderedPageBreak/>
        <w:t>Самые высокие темпы прироста (около 2,5 % в год) ожидаются в развивающихся странах, что связано с развитием обрабатывающих отраслей промышленности и формированием современной инфраструктуры. В развитых странах потребление нефти бу</w:t>
      </w:r>
      <w:r w:rsidRPr="005B2DCE">
        <w:rPr>
          <w:rFonts w:ascii="Times New Roman" w:hAnsi="Times New Roman"/>
          <w:sz w:val="26"/>
          <w:szCs w:val="26"/>
        </w:rPr>
        <w:lastRenderedPageBreak/>
        <w:t>дет расти в основном для удовлетворения потребностей автомобильного и воздушного транспорта.</w:t>
      </w:r>
    </w:p>
    <w:p w:rsidR="004616EA" w:rsidRPr="005B2DCE" w:rsidRDefault="004616EA" w:rsidP="005B2DCE">
      <w:pPr>
        <w:pStyle w:val="a7"/>
        <w:numPr>
          <w:ilvl w:val="0"/>
          <w:numId w:val="6"/>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Рост спроса на природный газ в мире</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По данным Международного энергетического агентства существенно растет спрос на природный газ в Ки</w:t>
      </w:r>
      <w:r w:rsidRPr="005B2DCE">
        <w:rPr>
          <w:rFonts w:ascii="Times New Roman" w:hAnsi="Times New Roman"/>
          <w:sz w:val="26"/>
          <w:szCs w:val="26"/>
        </w:rPr>
        <w:lastRenderedPageBreak/>
        <w:t xml:space="preserve">тае, Индии и на Ближнем Востоке: активная политика государственной поддержки поможет росту потребления в Китае примерно со 130 млрд куб. м в 2011 году до 545 млрд куб. м в 2035 году. В Соединенных Штатах низкие цены и избыток поставок приводят к тому, что примерно к 2030 году газ опередит нефть и станет крупнейшим </w:t>
      </w:r>
      <w:r w:rsidRPr="005B2DCE">
        <w:rPr>
          <w:rFonts w:ascii="Times New Roman" w:hAnsi="Times New Roman"/>
          <w:sz w:val="26"/>
          <w:szCs w:val="26"/>
        </w:rPr>
        <w:lastRenderedPageBreak/>
        <w:t>по объему топливом в структуре энергоресурсов.</w:t>
      </w:r>
    </w:p>
    <w:p w:rsidR="004616EA" w:rsidRPr="005B2DCE" w:rsidRDefault="004616EA" w:rsidP="005B2DCE">
      <w:pPr>
        <w:pStyle w:val="a7"/>
        <w:numPr>
          <w:ilvl w:val="0"/>
          <w:numId w:val="6"/>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 xml:space="preserve">Отмена экспортных пошлин и бесплатный транзит грузов в рамках Таможенного союза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С 1 июля 2010 года вступил в действие таможенный кодекс и единый таможенный тариф Таможенного союза Белоруссии, России и Казахстана. </w:t>
      </w:r>
      <w:r w:rsidRPr="005B2DCE">
        <w:rPr>
          <w:rFonts w:ascii="Times New Roman" w:hAnsi="Times New Roman"/>
          <w:sz w:val="26"/>
          <w:szCs w:val="26"/>
        </w:rPr>
        <w:lastRenderedPageBreak/>
        <w:t>Результатом этого события для нефтедобывающей отрасли стала отмена экспортных пошлин на нефть в рамках Единого экономического пространства, что отчасти компенсируется экспортными пошлинами на нефтепродукты, экспортируемыми за пределы Таможенного союза.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 xml:space="preserve">Немаловажное значение для РФ имеет предусматривающийся в рамках Таможенного союза бесплатный транзит внешнеторговых грузов через территории государств-партнеров. Особенно важна возможность свободного транзита энергоносителей на Запад через Белоруссию, так как два из пяти основных нефтепроводов из России на </w:t>
      </w:r>
      <w:r w:rsidRPr="005B2DCE">
        <w:rPr>
          <w:rFonts w:ascii="Times New Roman" w:hAnsi="Times New Roman"/>
          <w:sz w:val="26"/>
          <w:szCs w:val="26"/>
        </w:rPr>
        <w:lastRenderedPageBreak/>
        <w:t>Запад проходят через белорусскую территорию.</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Угрозы</w:t>
      </w:r>
    </w:p>
    <w:p w:rsidR="004616EA" w:rsidRPr="005B2DCE" w:rsidRDefault="004616EA" w:rsidP="005B2DCE">
      <w:pPr>
        <w:pStyle w:val="a7"/>
        <w:numPr>
          <w:ilvl w:val="0"/>
          <w:numId w:val="5"/>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Снижение цен на нефть в мире</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Снижение цен происходит из-за слабых макроэкономических показателей ведущих стран. В том числе продолжается замедление экономического роста </w:t>
      </w:r>
      <w:r w:rsidRPr="005B2DCE">
        <w:rPr>
          <w:rFonts w:ascii="Times New Roman" w:hAnsi="Times New Roman"/>
          <w:sz w:val="26"/>
          <w:szCs w:val="26"/>
        </w:rPr>
        <w:lastRenderedPageBreak/>
        <w:t>в Китае и падение экономик некоторых европейских стран. Все это негативно сказывается на спросе, а также на настроениях инвесторов (</w:t>
      </w:r>
      <w:r w:rsidR="001977F4">
        <w:fldChar w:fldCharType="begin"/>
      </w:r>
      <w:r w:rsidR="001977F4">
        <w:instrText xml:space="preserve"> REF _Ref397021501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32</w:t>
      </w:r>
      <w:r w:rsidR="001977F4">
        <w:fldChar w:fldCharType="end"/>
      </w:r>
      <w:r w:rsidRPr="005B2DCE">
        <w:rPr>
          <w:rFonts w:ascii="Times New Roman" w:hAnsi="Times New Roman"/>
          <w:sz w:val="26"/>
          <w:szCs w:val="26"/>
        </w:rPr>
        <w:t>).</w:t>
      </w:r>
    </w:p>
    <w:p w:rsidR="004616EA" w:rsidRPr="00475E67" w:rsidRDefault="004616EA" w:rsidP="00044298">
      <w:pPr>
        <w:spacing w:after="0"/>
        <w:ind w:firstLine="709"/>
        <w:jc w:val="both"/>
        <w:rPr>
          <w:rFonts w:ascii="Times New Roman" w:hAnsi="Times New Roman"/>
          <w:sz w:val="24"/>
          <w:szCs w:val="24"/>
        </w:rPr>
      </w:pPr>
    </w:p>
    <w:p w:rsidR="004616EA" w:rsidRPr="00475E67" w:rsidRDefault="00E70A58" w:rsidP="00CA3785">
      <w:pPr>
        <w:keepNext/>
        <w:spacing w:after="0"/>
        <w:jc w:val="center"/>
      </w:pPr>
      <w:r>
        <w:rPr>
          <w:noProof/>
          <w:lang w:eastAsia="ru-RU"/>
        </w:rPr>
        <w:lastRenderedPageBreak/>
        <w:drawing>
          <wp:inline distT="0" distB="0" distL="0" distR="0">
            <wp:extent cx="5379720" cy="2339340"/>
            <wp:effectExtent l="0" t="0" r="0" b="3810"/>
            <wp:docPr id="3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57">
                      <a:extLst>
                        <a:ext uri="{28A0092B-C50C-407E-A947-70E740481C1C}">
                          <a14:useLocalDpi xmlns:a14="http://schemas.microsoft.com/office/drawing/2010/main" val="0"/>
                        </a:ext>
                      </a:extLst>
                    </a:blip>
                    <a:srcRect l="29016" t="31406" r="19682" b="41679"/>
                    <a:stretch>
                      <a:fillRect/>
                    </a:stretch>
                  </pic:blipFill>
                  <pic:spPr bwMode="auto">
                    <a:xfrm>
                      <a:off x="0" y="0"/>
                      <a:ext cx="5379720" cy="2339340"/>
                    </a:xfrm>
                    <a:prstGeom prst="rect">
                      <a:avLst/>
                    </a:prstGeom>
                    <a:noFill/>
                    <a:ln>
                      <a:noFill/>
                    </a:ln>
                  </pic:spPr>
                </pic:pic>
              </a:graphicData>
            </a:graphic>
          </wp:inline>
        </w:drawing>
      </w:r>
    </w:p>
    <w:p w:rsidR="004616EA" w:rsidRPr="00475E67" w:rsidRDefault="004616EA" w:rsidP="00CA3785">
      <w:pPr>
        <w:pStyle w:val="af1"/>
        <w:jc w:val="center"/>
        <w:rPr>
          <w:rFonts w:ascii="Times New Roman" w:hAnsi="Times New Roman"/>
          <w:b w:val="0"/>
          <w:color w:val="auto"/>
          <w:sz w:val="36"/>
          <w:szCs w:val="24"/>
        </w:rPr>
      </w:pPr>
      <w:bookmarkStart w:id="101" w:name="_Ref397021501"/>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32</w:t>
      </w:r>
      <w:r w:rsidRPr="00475E67">
        <w:rPr>
          <w:rFonts w:ascii="Times New Roman" w:hAnsi="Times New Roman"/>
          <w:b w:val="0"/>
          <w:color w:val="auto"/>
          <w:sz w:val="24"/>
        </w:rPr>
        <w:fldChar w:fldCharType="end"/>
      </w:r>
      <w:bookmarkEnd w:id="101"/>
      <w:r w:rsidRPr="00475E67">
        <w:rPr>
          <w:rFonts w:ascii="Times New Roman" w:hAnsi="Times New Roman"/>
          <w:b w:val="0"/>
          <w:color w:val="auto"/>
          <w:sz w:val="24"/>
        </w:rPr>
        <w:t xml:space="preserve"> - Цена нефти в 2013 году – первом полугодии 2014 года, долл. за баррель</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 xml:space="preserve">В среднем за двенадцать месяцев 2013 года цена нефти марки Brent составила $108,5 за баррель, что на 2,8% ниже, чем за аналогичный период 2012 года. Вместе с тем, североамериканская нефть WTI за это же время подорожала на 4,2% до $98 за баррель.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В 2014 году данная тенденция пока сохраняется. Так, цена нефти Brent в </w:t>
      </w:r>
      <w:r w:rsidRPr="005B2DCE">
        <w:rPr>
          <w:rFonts w:ascii="Times New Roman" w:hAnsi="Times New Roman"/>
          <w:sz w:val="26"/>
          <w:szCs w:val="26"/>
        </w:rPr>
        <w:lastRenderedPageBreak/>
        <w:t xml:space="preserve">среднем за три месяца 2014 года сократилась по сравнению с аналогичным периодом прошлого года на 3,8% до $108,1 за баррель, тогда как североамериканская нефть WTI за это же время подорожала на 4.5% до $98.6 за баррель. Рост цены WTI связан с открытием в январе 2014 года нефтепровода, </w:t>
      </w:r>
      <w:r w:rsidRPr="005B2DCE">
        <w:rPr>
          <w:rFonts w:ascii="Times New Roman" w:hAnsi="Times New Roman"/>
          <w:sz w:val="26"/>
          <w:szCs w:val="26"/>
        </w:rPr>
        <w:lastRenderedPageBreak/>
        <w:t>который позволил поставлять американскую нефть на НПЗ Мексиканского залива, раньше перерабатывавших преимущественно импортное сырье. Кроме того, на динамику нефтяных и газовых цен в США повлияла рекордно низкая температура воздуха зимой.</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Снижение цены в Европе в первом квартале 2014 года отчасти обусловлено теплой зимой, отчасти - сохранением множества экономических проблем у европейских стран. В связи с обострившейся ситуацией на Украине правительство США может предпринять меры по увеличению предложения нефти на мировом рынке.</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Частичное снятие санкций с Ирана может привести к увеличению поставок на мировой рынок примерно на 1 млн баррелей в день. Кроме того, ожидается постепенное восстановление поставок из Ливии, что даст рынку еще дополнительно около 0,5 млн баррелей в день. Вместе с тем, очень мало</w:t>
      </w:r>
      <w:r w:rsidRPr="005B2DCE">
        <w:rPr>
          <w:rFonts w:ascii="Times New Roman" w:hAnsi="Times New Roman"/>
          <w:sz w:val="26"/>
          <w:szCs w:val="26"/>
        </w:rPr>
        <w:lastRenderedPageBreak/>
        <w:t xml:space="preserve">вероятно, что Саудовская Аравия станет существенно увеличивать добычу, так как низкие цены для экономики этой страны не менее губительны, чем, например, для России.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По мнению экспертов РИА Рейтинг, даже в случае увеличения поставок Ирана и Ливии, цена нефти Brent не </w:t>
      </w:r>
      <w:r w:rsidRPr="005B2DCE">
        <w:rPr>
          <w:rFonts w:ascii="Times New Roman" w:hAnsi="Times New Roman"/>
          <w:sz w:val="26"/>
          <w:szCs w:val="26"/>
        </w:rPr>
        <w:lastRenderedPageBreak/>
        <w:t>опустится ниже $100 до конца 2014 года.</w:t>
      </w:r>
    </w:p>
    <w:p w:rsidR="004616EA" w:rsidRPr="005B2DCE" w:rsidRDefault="004616EA" w:rsidP="005B2DCE">
      <w:pPr>
        <w:pStyle w:val="a7"/>
        <w:numPr>
          <w:ilvl w:val="0"/>
          <w:numId w:val="5"/>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Увеличение конкуренции на мировом рынке газа, что повлечет за собой необходимость поиска новых рынков сбыта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По данным Минэнерго США, добыча газа в стране в 2013 году увели</w:t>
      </w:r>
      <w:r w:rsidRPr="005B2DCE">
        <w:rPr>
          <w:rFonts w:ascii="Times New Roman" w:hAnsi="Times New Roman"/>
          <w:sz w:val="26"/>
          <w:szCs w:val="26"/>
        </w:rPr>
        <w:lastRenderedPageBreak/>
        <w:t xml:space="preserve">чилась на 680 млрд куб. м. Таким образом, США снова заняли первое место в мире по добыче природного газа. Такого результата им удалось достичь за счет активной разработки сланцевых месторождений. При этом США снижают зависимость от импортного газа. Возможно, через несколько лет США смогут экспортировать свой газ. </w:t>
      </w:r>
      <w:r w:rsidRPr="005B2DCE">
        <w:rPr>
          <w:rFonts w:ascii="Times New Roman" w:hAnsi="Times New Roman"/>
          <w:sz w:val="26"/>
          <w:szCs w:val="26"/>
        </w:rPr>
        <w:lastRenderedPageBreak/>
        <w:t xml:space="preserve">В 2013 году Минэнерго США уже дало разрешение на поставки сланцевого газа в Японию. Первые поставки могут начаться в 2016-2017 годах.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В 2014 году продолжается рост добычи газа в США. По данным Минэнерго США, добыча газа в стране в январе-феврале 2014 года увеличи</w:t>
      </w:r>
      <w:r w:rsidRPr="005B2DCE">
        <w:rPr>
          <w:rFonts w:ascii="Times New Roman" w:hAnsi="Times New Roman"/>
          <w:sz w:val="26"/>
          <w:szCs w:val="26"/>
        </w:rPr>
        <w:lastRenderedPageBreak/>
        <w:t xml:space="preserve">лась по сравнению с аналогичным периодом 2013 года на 3,3% до 113 млрд куб. метров. Итоги квартала можно оценить на уровне 172 млрд куб. м. В целом за 2014 год Соединенные Штаты, скорее всего, снова опередят Россию по объему добычи, так как в нашей стране большое значение имеет </w:t>
      </w:r>
      <w:r w:rsidRPr="005B2DCE">
        <w:rPr>
          <w:rFonts w:ascii="Times New Roman" w:hAnsi="Times New Roman"/>
          <w:sz w:val="26"/>
          <w:szCs w:val="26"/>
        </w:rPr>
        <w:lastRenderedPageBreak/>
        <w:t>фактор сезонности, и в летние периоды добыча заметно снизится по сравнению с текущим уровнем.</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Кроме того, постепенно расширяются мировые мощности по поставкам сжиженного природного газа. В июне 2013 года начала поставки сжиженного газа Ангола. Мощность нового завода по сжижению составляет более </w:t>
      </w:r>
      <w:r w:rsidRPr="005B2DCE">
        <w:rPr>
          <w:rFonts w:ascii="Times New Roman" w:hAnsi="Times New Roman"/>
          <w:sz w:val="26"/>
          <w:szCs w:val="26"/>
        </w:rPr>
        <w:lastRenderedPageBreak/>
        <w:t>5 млн тонн. В 2014 году также ожидается открытие новых заводов и терминалов в Африке и Австралии.</w:t>
      </w:r>
    </w:p>
    <w:p w:rsidR="004616EA" w:rsidRPr="005B2DCE" w:rsidRDefault="004616EA" w:rsidP="005B2DCE">
      <w:pPr>
        <w:pStyle w:val="a7"/>
        <w:numPr>
          <w:ilvl w:val="0"/>
          <w:numId w:val="5"/>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Нестабильная политическая и экономическая обстановка в мире, что может привести к снижению спроса на российский газ</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Как следует из отчетности компании, Газпром увеличил продажи газа в </w:t>
      </w:r>
      <w:r w:rsidRPr="005B2DCE">
        <w:rPr>
          <w:rFonts w:ascii="Times New Roman" w:hAnsi="Times New Roman"/>
          <w:sz w:val="26"/>
          <w:szCs w:val="26"/>
        </w:rPr>
        <w:lastRenderedPageBreak/>
        <w:t>страны Западной и Центральной Европы в I квартале 2014 года относительно января-марта прошлого года на 2,6% до 42,74 млрд куб. метров. По данным Федеральной таможенной службы экспорт газа в страны дальнего зарубежья за этот же период увеличился на 9,1%.</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 xml:space="preserve">Эксперты РИА Рейтинг полагают, что во второй половине 2014 года динамика экспорта российского газа может измениться с плюса на минус. Наблюдаемый в первом квартале ажиотаж напрямую связан с обострением ситуации на Украине и возникшими в </w:t>
      </w:r>
      <w:r w:rsidRPr="005B2DCE">
        <w:rPr>
          <w:rFonts w:ascii="Times New Roman" w:hAnsi="Times New Roman"/>
          <w:sz w:val="26"/>
          <w:szCs w:val="26"/>
        </w:rPr>
        <w:lastRenderedPageBreak/>
        <w:t>связи с этим угрозами надежности поставок газа через эту страну в ближайшей перспективе.</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По данным Ассоциации европейских операторов подземных газовых хранилищ (GSE), наблюдаемое сейчас заполнение европейских ПХГ происходит гораздо активнее, чем обычно. </w:t>
      </w:r>
      <w:r w:rsidRPr="005B2DCE">
        <w:rPr>
          <w:rFonts w:ascii="Times New Roman" w:hAnsi="Times New Roman"/>
          <w:sz w:val="26"/>
          <w:szCs w:val="26"/>
        </w:rPr>
        <w:lastRenderedPageBreak/>
        <w:t>Это связано с тем, что европейцы всерьез опасаются перебоев поставок через Украину и стараются по максимуму запастись газом. Однако, скорее всего, во второй половине года их активность будет значительно ниже, чем в прошлом году. Также продолжается быстрое падение экспорта газа на Украину.</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Таким образом, в связи со всем вышеперечисленным, можно сделать вывод, что в целом по итогам 2014 года поставки российского газа за рубеж в лучшем случае сохранятся на уровне 2013 года.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Теперь рассмотрим сильные и слабые стороны городского округа город </w:t>
      </w:r>
      <w:r w:rsidRPr="005B2DCE">
        <w:rPr>
          <w:rFonts w:ascii="Times New Roman" w:hAnsi="Times New Roman"/>
          <w:sz w:val="26"/>
          <w:szCs w:val="26"/>
        </w:rPr>
        <w:lastRenderedPageBreak/>
        <w:t>Когалым и возможности и угрозы, существующие в регионе, для дальнейшего развития нефтегазодобывающей и нефтегазоперерабатывающей отраслей.</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Сильные стороны</w:t>
      </w:r>
    </w:p>
    <w:p w:rsidR="004616EA" w:rsidRPr="005B2DCE" w:rsidRDefault="004616EA" w:rsidP="005B2DCE">
      <w:pPr>
        <w:pStyle w:val="a7"/>
        <w:numPr>
          <w:ilvl w:val="0"/>
          <w:numId w:val="18"/>
        </w:numPr>
        <w:tabs>
          <w:tab w:val="left" w:pos="0"/>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Наличие крупных нефтегазодобывающих компаний на территории городского округа</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 xml:space="preserve">Город Когалым является крупным центром нефтяной промышленности региона, центром группы нефтяных месторождений и вахтовых поселков при них. На территории, прилегающей к городу, находятся такие нефтяные месторождения, как Когалымское, Северо - и Южно - Когалымские, Мало -, Северо -, Средне - и Южно - Ягунские, </w:t>
      </w:r>
      <w:r w:rsidRPr="005B2DCE">
        <w:rPr>
          <w:rFonts w:ascii="Times New Roman" w:hAnsi="Times New Roman"/>
          <w:sz w:val="26"/>
          <w:szCs w:val="26"/>
        </w:rPr>
        <w:lastRenderedPageBreak/>
        <w:t>Дружное, Грибное, Кустовое, Южно - и Мало - Кустовые, Икилорское, Тевлинско - Русскинское. В поселке Ортъягун расположено месторождение «Дружное».</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На территории городского округа расположены офисы 27 компаний, которые занимаются добычей нефти и </w:t>
      </w:r>
      <w:r w:rsidRPr="005B2DCE">
        <w:rPr>
          <w:rFonts w:ascii="Times New Roman" w:hAnsi="Times New Roman"/>
          <w:sz w:val="26"/>
          <w:szCs w:val="26"/>
        </w:rPr>
        <w:lastRenderedPageBreak/>
        <w:t>газа в регионе, самыми крупными являются следующие: ТПП «Когалымнефтегаз», ТПП «Повхнефтегаз», ЗАО «ЛУКОЙЛ-АИК», СФ ООО «Буровая компания «Евразия», ООО «Когалым НПО-Сервис», ООО «КРС Евразия».</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ТПП «Когалымнефтегаз» - самое крупное территориально-производ</w:t>
      </w:r>
      <w:r w:rsidRPr="005B2DCE">
        <w:rPr>
          <w:rFonts w:ascii="Times New Roman" w:hAnsi="Times New Roman"/>
          <w:sz w:val="26"/>
          <w:szCs w:val="26"/>
        </w:rPr>
        <w:lastRenderedPageBreak/>
        <w:t>ственное предприятие ООО «ЛУКОЙЛ-Западная Сибирь» (</w:t>
      </w:r>
      <w:r w:rsidR="001977F4">
        <w:fldChar w:fldCharType="begin"/>
      </w:r>
      <w:r w:rsidR="001977F4">
        <w:instrText xml:space="preserve"> REF _Ref397021583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33</w:t>
      </w:r>
      <w:r w:rsidR="001977F4">
        <w:fldChar w:fldCharType="end"/>
      </w:r>
      <w:r w:rsidRPr="005B2DCE">
        <w:rPr>
          <w:rFonts w:ascii="Times New Roman" w:hAnsi="Times New Roman"/>
          <w:sz w:val="26"/>
          <w:szCs w:val="26"/>
        </w:rPr>
        <w:t>). В его состав входят 3 центральные инженерно-технологические службы, 14 цехов добычи нефти и газа, 3 цеха подготовки и перекачки нефти, 3 цеха сбора и транспортировки газа, газокомпрессорная станция, нефтеперераба</w:t>
      </w:r>
      <w:r w:rsidRPr="005B2DCE">
        <w:rPr>
          <w:rFonts w:ascii="Times New Roman" w:hAnsi="Times New Roman"/>
          <w:sz w:val="26"/>
          <w:szCs w:val="26"/>
        </w:rPr>
        <w:lastRenderedPageBreak/>
        <w:t xml:space="preserve">тывающий завод. Предприятие работает в пределах 20-ти лицензионных участков. Добыча ведется на 17 лицензионных участках, на которых расположено 15 месторождений. </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Доля «Когалымнефтегаза» в добыче ООО «ЛУКОЙЛ-Западная Сибирь» </w:t>
      </w:r>
      <w:r w:rsidRPr="005B2DCE">
        <w:rPr>
          <w:rFonts w:ascii="Times New Roman" w:hAnsi="Times New Roman"/>
          <w:sz w:val="26"/>
          <w:szCs w:val="26"/>
        </w:rPr>
        <w:lastRenderedPageBreak/>
        <w:t>составляет 30%. Численность работников всего предприятия составляет более 2400 человек.</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В 2013 году в эксплуатацию введено 235 добывающих и 33 нагнетательных скважины, предприятие на 1 января 2014 г. добыло более 13 млн тонн нефти.</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 xml:space="preserve">В связи с расширением территории деятельности ТПП «Когалымнефтегаз» и с целью более оперативного и эффективного управления нефтепромыслами в 2013 году было принято решение разделить его на два предприятия. Таким образом было образовано ТПП «Повхнефтегаз». В 2014 году </w:t>
      </w:r>
      <w:r w:rsidRPr="005B2DCE">
        <w:rPr>
          <w:rFonts w:ascii="Times New Roman" w:hAnsi="Times New Roman"/>
          <w:sz w:val="26"/>
          <w:szCs w:val="26"/>
        </w:rPr>
        <w:lastRenderedPageBreak/>
        <w:t>предприятие планирует добыть более 11 миллионов тонн нефти.</w:t>
      </w:r>
    </w:p>
    <w:p w:rsidR="004616EA" w:rsidRPr="00475E67" w:rsidRDefault="004616EA" w:rsidP="00ED5659">
      <w:pPr>
        <w:tabs>
          <w:tab w:val="left" w:pos="0"/>
        </w:tabs>
        <w:spacing w:after="0"/>
        <w:ind w:firstLine="567"/>
        <w:jc w:val="both"/>
        <w:rPr>
          <w:rFonts w:ascii="Times New Roman" w:hAnsi="Times New Roman"/>
          <w:sz w:val="24"/>
          <w:szCs w:val="24"/>
        </w:rPr>
      </w:pPr>
    </w:p>
    <w:p w:rsidR="004616EA" w:rsidRPr="00475E67" w:rsidRDefault="00E70A58" w:rsidP="003E7E45">
      <w:pPr>
        <w:keepNext/>
        <w:tabs>
          <w:tab w:val="left" w:pos="0"/>
        </w:tabs>
        <w:spacing w:after="0"/>
        <w:jc w:val="center"/>
      </w:pPr>
      <w:r>
        <w:rPr>
          <w:noProof/>
          <w:lang w:eastAsia="ru-RU"/>
        </w:rPr>
        <w:lastRenderedPageBreak/>
        <w:drawing>
          <wp:inline distT="0" distB="0" distL="0" distR="0">
            <wp:extent cx="4525645" cy="2744470"/>
            <wp:effectExtent l="38100" t="0" r="46355" b="17780"/>
            <wp:docPr id="33"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4616EA" w:rsidRPr="00475E67" w:rsidRDefault="004616EA" w:rsidP="003E7E45">
      <w:pPr>
        <w:pStyle w:val="af1"/>
        <w:jc w:val="center"/>
        <w:rPr>
          <w:rFonts w:ascii="Times New Roman" w:hAnsi="Times New Roman"/>
          <w:b w:val="0"/>
          <w:color w:val="auto"/>
          <w:sz w:val="36"/>
          <w:szCs w:val="24"/>
        </w:rPr>
      </w:pPr>
      <w:bookmarkStart w:id="102" w:name="_Ref397021583"/>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33</w:t>
      </w:r>
      <w:r w:rsidRPr="00475E67">
        <w:rPr>
          <w:rFonts w:ascii="Times New Roman" w:hAnsi="Times New Roman"/>
          <w:b w:val="0"/>
          <w:color w:val="auto"/>
          <w:sz w:val="24"/>
        </w:rPr>
        <w:fldChar w:fldCharType="end"/>
      </w:r>
      <w:bookmarkEnd w:id="102"/>
      <w:r w:rsidRPr="00475E67">
        <w:rPr>
          <w:rFonts w:ascii="Times New Roman" w:hAnsi="Times New Roman"/>
          <w:b w:val="0"/>
          <w:color w:val="auto"/>
          <w:sz w:val="24"/>
        </w:rPr>
        <w:t xml:space="preserve"> - Добыча нефти крупнейшими компаниями в России в 2013 г., млн тонн</w:t>
      </w:r>
    </w:p>
    <w:p w:rsidR="004616EA" w:rsidRPr="005B2DCE" w:rsidRDefault="004616EA" w:rsidP="005B2DCE">
      <w:pPr>
        <w:pStyle w:val="a7"/>
        <w:keepNext/>
        <w:keepLines/>
        <w:numPr>
          <w:ilvl w:val="0"/>
          <w:numId w:val="18"/>
        </w:numPr>
        <w:tabs>
          <w:tab w:val="left" w:pos="0"/>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lastRenderedPageBreak/>
        <w:t>Наличие обслуживающих предприятий</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ab/>
        <w:t xml:space="preserve">Услуги по бурению, монтажу, ремонту и демонтажу буровых вышек, услуги по добыче нефти и газа в городском округе предоставляют следующие компании: ООО "БВС Евразия", Когалымский филиал ООО "Буровая компания "Евразия", Когалымский </w:t>
      </w:r>
      <w:r w:rsidRPr="005B2DCE">
        <w:rPr>
          <w:rFonts w:ascii="Times New Roman" w:hAnsi="Times New Roman"/>
          <w:sz w:val="26"/>
          <w:szCs w:val="26"/>
        </w:rPr>
        <w:lastRenderedPageBreak/>
        <w:t>Филиал ООО "Инновационная Сервисная Компания "ПетроИнжиниринг", ООО "СЕРВИС-МЕНЕДЖМЕНТ", ООО "РосТрансСтрой", ООО "ЛУКОЙЛ ЭПУ Сервис" и другие.</w:t>
      </w:r>
    </w:p>
    <w:p w:rsidR="004616EA" w:rsidRPr="005B2DCE" w:rsidRDefault="004616EA" w:rsidP="005B2DCE">
      <w:pPr>
        <w:pStyle w:val="a7"/>
        <w:numPr>
          <w:ilvl w:val="0"/>
          <w:numId w:val="18"/>
        </w:numPr>
        <w:tabs>
          <w:tab w:val="left" w:pos="0"/>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Рост объемов добычи сырой нефти, производства нефтепродуктов</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Общий объем добытой нефти, включая газовый конденсат, за 2012 год предприятиями на территории городского округа составил 1,39 млн тонн (118,4% к показателю 2011 года) (</w:t>
      </w:r>
      <w:r w:rsidR="001977F4">
        <w:fldChar w:fldCharType="begin"/>
      </w:r>
      <w:r w:rsidR="001977F4">
        <w:instrText xml:space="preserve"> REF _Ref397077148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34</w:t>
      </w:r>
      <w:r w:rsidR="001977F4">
        <w:fldChar w:fldCharType="end"/>
      </w:r>
      <w:r w:rsidRPr="005B2DCE">
        <w:rPr>
          <w:rFonts w:ascii="Times New Roman" w:hAnsi="Times New Roman"/>
          <w:sz w:val="26"/>
          <w:szCs w:val="26"/>
        </w:rPr>
        <w:t xml:space="preserve">). С 2013 года в городском округе город Когалым добыча нефти не ведется. </w:t>
      </w:r>
    </w:p>
    <w:p w:rsidR="004616EA"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В 2013 году было произведено 0,038 млн тонн автомобильного бензина и 0,07 млн тонн дизельного топлива, к 2017 году планируется увеличение производства в среднем на 121,1% и на 114,3% соответственно.</w:t>
      </w:r>
    </w:p>
    <w:p w:rsidR="004616EA" w:rsidRPr="005B2DCE" w:rsidRDefault="004616EA" w:rsidP="005B2DCE">
      <w:pPr>
        <w:tabs>
          <w:tab w:val="left" w:pos="0"/>
        </w:tabs>
        <w:spacing w:after="0" w:line="240" w:lineRule="auto"/>
        <w:ind w:firstLine="709"/>
        <w:jc w:val="both"/>
        <w:rPr>
          <w:rFonts w:ascii="Times New Roman" w:hAnsi="Times New Roman"/>
          <w:sz w:val="20"/>
          <w:szCs w:val="26"/>
        </w:rPr>
      </w:pPr>
    </w:p>
    <w:p w:rsidR="004616EA" w:rsidRPr="00475E67" w:rsidRDefault="00E70A58" w:rsidP="008050BB">
      <w:pPr>
        <w:keepNext/>
        <w:tabs>
          <w:tab w:val="left" w:pos="0"/>
        </w:tabs>
        <w:spacing w:after="0"/>
        <w:jc w:val="center"/>
      </w:pPr>
      <w:r>
        <w:rPr>
          <w:noProof/>
          <w:lang w:eastAsia="ru-RU"/>
        </w:rPr>
        <w:lastRenderedPageBreak/>
        <w:drawing>
          <wp:inline distT="0" distB="0" distL="0" distR="0">
            <wp:extent cx="4549140" cy="2156460"/>
            <wp:effectExtent l="0" t="0" r="3810" b="0"/>
            <wp:docPr id="34"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49140" cy="2156460"/>
                    </a:xfrm>
                    <a:prstGeom prst="rect">
                      <a:avLst/>
                    </a:prstGeom>
                    <a:noFill/>
                    <a:ln>
                      <a:noFill/>
                    </a:ln>
                  </pic:spPr>
                </pic:pic>
              </a:graphicData>
            </a:graphic>
          </wp:inline>
        </w:drawing>
      </w:r>
    </w:p>
    <w:p w:rsidR="004616EA" w:rsidRPr="00475E67" w:rsidRDefault="004616EA" w:rsidP="008050BB">
      <w:pPr>
        <w:pStyle w:val="af1"/>
        <w:jc w:val="center"/>
        <w:rPr>
          <w:rFonts w:ascii="Times New Roman" w:hAnsi="Times New Roman"/>
          <w:b w:val="0"/>
          <w:color w:val="auto"/>
          <w:sz w:val="24"/>
          <w:szCs w:val="24"/>
        </w:rPr>
      </w:pPr>
      <w:bookmarkStart w:id="103" w:name="_Ref397077148"/>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34</w:t>
      </w:r>
      <w:r w:rsidRPr="00475E67">
        <w:rPr>
          <w:rFonts w:ascii="Times New Roman" w:hAnsi="Times New Roman"/>
          <w:b w:val="0"/>
          <w:color w:val="auto"/>
          <w:sz w:val="24"/>
        </w:rPr>
        <w:fldChar w:fldCharType="end"/>
      </w:r>
      <w:bookmarkEnd w:id="103"/>
      <w:r w:rsidRPr="00475E67">
        <w:rPr>
          <w:rFonts w:ascii="Times New Roman" w:hAnsi="Times New Roman"/>
          <w:b w:val="0"/>
          <w:color w:val="auto"/>
          <w:sz w:val="24"/>
        </w:rPr>
        <w:t xml:space="preserve"> - Объемы добычи нефти, включая газовый конденсат, с 2009 – 2012 гг. в городе Когалыме, млн тонн</w:t>
      </w:r>
    </w:p>
    <w:p w:rsidR="004616EA" w:rsidRPr="005B2DCE" w:rsidRDefault="004616EA" w:rsidP="005B2DCE">
      <w:pPr>
        <w:pStyle w:val="a7"/>
        <w:numPr>
          <w:ilvl w:val="0"/>
          <w:numId w:val="18"/>
        </w:numPr>
        <w:tabs>
          <w:tab w:val="left" w:pos="0"/>
          <w:tab w:val="left" w:pos="993"/>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i/>
          <w:sz w:val="26"/>
          <w:szCs w:val="26"/>
        </w:rPr>
        <w:t>Относительно удобное географическое положение</w:t>
      </w:r>
      <w:r w:rsidRPr="005B2DCE">
        <w:rPr>
          <w:rFonts w:ascii="Times New Roman" w:hAnsi="Times New Roman"/>
          <w:sz w:val="26"/>
          <w:szCs w:val="26"/>
        </w:rPr>
        <w:t xml:space="preserve"> </w:t>
      </w:r>
      <w:r w:rsidRPr="005B2DCE">
        <w:rPr>
          <w:rFonts w:ascii="Times New Roman" w:hAnsi="Times New Roman"/>
          <w:i/>
          <w:sz w:val="26"/>
          <w:szCs w:val="26"/>
        </w:rPr>
        <w:t>городского округа</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Нахождение вблизи мест добычи углеводородов и потенциальных потребителей продукции нефтепереработки.</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Слабые стороны</w:t>
      </w:r>
    </w:p>
    <w:p w:rsidR="004616EA" w:rsidRPr="005B2DCE" w:rsidRDefault="004616EA" w:rsidP="005B2DCE">
      <w:pPr>
        <w:tabs>
          <w:tab w:val="left" w:pos="0"/>
        </w:tabs>
        <w:spacing w:after="0" w:line="240" w:lineRule="auto"/>
        <w:ind w:firstLine="709"/>
        <w:jc w:val="both"/>
        <w:rPr>
          <w:rFonts w:ascii="Times New Roman" w:hAnsi="Times New Roman"/>
          <w:i/>
          <w:sz w:val="26"/>
          <w:szCs w:val="26"/>
        </w:rPr>
      </w:pPr>
      <w:r w:rsidRPr="005B2DCE">
        <w:rPr>
          <w:rFonts w:ascii="Times New Roman" w:hAnsi="Times New Roman"/>
          <w:i/>
          <w:sz w:val="26"/>
          <w:szCs w:val="26"/>
        </w:rPr>
        <w:t xml:space="preserve">1. Высокая степень выработки запасов месторождений </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Так, за первое полугодие 2014 года «ЛУКОЙЛ» снизил объемы добычи </w:t>
      </w:r>
      <w:r w:rsidRPr="005B2DCE">
        <w:rPr>
          <w:rFonts w:ascii="Times New Roman" w:hAnsi="Times New Roman"/>
          <w:sz w:val="26"/>
          <w:szCs w:val="26"/>
        </w:rPr>
        <w:lastRenderedPageBreak/>
        <w:t>нефти на 0,4% по сравнению с аналогичным периодом в предыдущем году. Снижение добычи обусловлено старением месторождений в Ханты-Мансийско</w:t>
      </w:r>
      <w:r w:rsidRPr="005B2DCE">
        <w:rPr>
          <w:rFonts w:ascii="Times New Roman" w:hAnsi="Times New Roman"/>
          <w:b/>
          <w:sz w:val="26"/>
          <w:szCs w:val="26"/>
        </w:rPr>
        <w:t>м</w:t>
      </w:r>
      <w:r w:rsidRPr="005B2DCE">
        <w:rPr>
          <w:rFonts w:ascii="Times New Roman" w:hAnsi="Times New Roman"/>
          <w:sz w:val="26"/>
          <w:szCs w:val="26"/>
        </w:rPr>
        <w:t xml:space="preserve"> автономно</w:t>
      </w:r>
      <w:r w:rsidRPr="005B2DCE">
        <w:rPr>
          <w:rFonts w:ascii="Times New Roman" w:hAnsi="Times New Roman"/>
          <w:b/>
          <w:sz w:val="26"/>
          <w:szCs w:val="26"/>
        </w:rPr>
        <w:t>м</w:t>
      </w:r>
      <w:r w:rsidRPr="005B2DCE">
        <w:rPr>
          <w:rFonts w:ascii="Times New Roman" w:hAnsi="Times New Roman"/>
          <w:sz w:val="26"/>
          <w:szCs w:val="26"/>
        </w:rPr>
        <w:t xml:space="preserve"> округ</w:t>
      </w:r>
      <w:r w:rsidRPr="005B2DCE">
        <w:rPr>
          <w:rFonts w:ascii="Times New Roman" w:hAnsi="Times New Roman"/>
          <w:b/>
          <w:sz w:val="26"/>
          <w:szCs w:val="26"/>
        </w:rPr>
        <w:t>е</w:t>
      </w:r>
      <w:r w:rsidRPr="005B2DCE">
        <w:rPr>
          <w:rFonts w:ascii="Times New Roman" w:hAnsi="Times New Roman"/>
          <w:sz w:val="26"/>
          <w:szCs w:val="26"/>
        </w:rPr>
        <w:t xml:space="preserve"> -</w:t>
      </w:r>
      <w:r>
        <w:rPr>
          <w:rFonts w:ascii="Times New Roman" w:hAnsi="Times New Roman"/>
          <w:sz w:val="26"/>
          <w:szCs w:val="26"/>
        </w:rPr>
        <w:t xml:space="preserve"> </w:t>
      </w:r>
      <w:r w:rsidRPr="005B2DCE">
        <w:rPr>
          <w:rFonts w:ascii="Times New Roman" w:hAnsi="Times New Roman"/>
          <w:sz w:val="26"/>
          <w:szCs w:val="26"/>
        </w:rPr>
        <w:t xml:space="preserve">Югре. Новые месторождения, введенные компаниями в эксплуатацию в 2009-2010 годах, уже не компенсируют снижение добычи на зрелых сибирских </w:t>
      </w:r>
      <w:r w:rsidRPr="005B2DCE">
        <w:rPr>
          <w:rFonts w:ascii="Times New Roman" w:hAnsi="Times New Roman"/>
          <w:sz w:val="26"/>
          <w:szCs w:val="26"/>
        </w:rPr>
        <w:lastRenderedPageBreak/>
        <w:t>месторождениях. Вместе с тем нефтедобывающими предприятиями реализуется комплекс мер, направленных на повышение добычи нефти.</w:t>
      </w:r>
    </w:p>
    <w:p w:rsidR="004616EA" w:rsidRPr="005B2DCE" w:rsidRDefault="004616EA" w:rsidP="005B2DCE">
      <w:pPr>
        <w:tabs>
          <w:tab w:val="left" w:pos="0"/>
        </w:tabs>
        <w:spacing w:after="0" w:line="240" w:lineRule="auto"/>
        <w:ind w:firstLine="709"/>
        <w:jc w:val="both"/>
        <w:rPr>
          <w:rFonts w:ascii="Times New Roman" w:hAnsi="Times New Roman"/>
          <w:i/>
          <w:sz w:val="26"/>
          <w:szCs w:val="26"/>
        </w:rPr>
      </w:pPr>
      <w:r w:rsidRPr="005B2DCE">
        <w:rPr>
          <w:rFonts w:ascii="Times New Roman" w:hAnsi="Times New Roman"/>
          <w:i/>
          <w:sz w:val="26"/>
          <w:szCs w:val="26"/>
        </w:rPr>
        <w:t xml:space="preserve">2. Нехватка высококвалифицированных кадров, для удовлетворения потребностей потенциальных предприятий по нефтепереработке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 xml:space="preserve">На территории города Когалыма в 2013 году находилось 3 филиала высших учебных заведений - Филиал ФГБОУ ВПО «Тюменский государственный университет», Филиал ФГБОУ ВПО «Тюменский государственный нефтегазовый университет», Филиал Томского государственного </w:t>
      </w:r>
      <w:r w:rsidRPr="005B2DCE">
        <w:rPr>
          <w:rFonts w:ascii="Times New Roman" w:hAnsi="Times New Roman"/>
          <w:sz w:val="26"/>
          <w:szCs w:val="26"/>
        </w:rPr>
        <w:lastRenderedPageBreak/>
        <w:t>университета систем управления и радиоэлектроники. Но выпускников данных учебных заведений не хватает для удовлетворения, предъявленного со стороны работодателей спроса.</w:t>
      </w:r>
    </w:p>
    <w:p w:rsidR="004616EA" w:rsidRPr="005B2DCE" w:rsidRDefault="004616EA" w:rsidP="005B2DCE">
      <w:pPr>
        <w:tabs>
          <w:tab w:val="left" w:pos="0"/>
        </w:tabs>
        <w:spacing w:after="0" w:line="240" w:lineRule="auto"/>
        <w:ind w:firstLine="709"/>
        <w:jc w:val="both"/>
        <w:rPr>
          <w:rFonts w:ascii="Times New Roman" w:hAnsi="Times New Roman"/>
          <w:i/>
          <w:sz w:val="26"/>
          <w:szCs w:val="26"/>
        </w:rPr>
      </w:pPr>
      <w:r w:rsidRPr="005B2DCE">
        <w:rPr>
          <w:rFonts w:ascii="Times New Roman" w:hAnsi="Times New Roman"/>
          <w:i/>
          <w:sz w:val="26"/>
          <w:szCs w:val="26"/>
        </w:rPr>
        <w:t>3. Высокая зависимость социально-экономического положения населения города от отрасли нефтегазодобычи</w:t>
      </w:r>
    </w:p>
    <w:p w:rsidR="004616EA" w:rsidRPr="005B2DCE" w:rsidRDefault="004616EA" w:rsidP="005B2DCE">
      <w:pPr>
        <w:tabs>
          <w:tab w:val="left" w:pos="0"/>
        </w:tabs>
        <w:spacing w:after="0" w:line="240" w:lineRule="auto"/>
        <w:ind w:firstLine="709"/>
        <w:jc w:val="both"/>
        <w:rPr>
          <w:rFonts w:ascii="Times New Roman" w:hAnsi="Times New Roman"/>
          <w:iCs/>
          <w:sz w:val="26"/>
          <w:szCs w:val="26"/>
        </w:rPr>
      </w:pPr>
      <w:r w:rsidRPr="005B2DCE">
        <w:rPr>
          <w:rFonts w:ascii="Times New Roman" w:hAnsi="Times New Roman"/>
          <w:iCs/>
          <w:sz w:val="26"/>
          <w:szCs w:val="26"/>
        </w:rPr>
        <w:lastRenderedPageBreak/>
        <w:t>В нефтегазодобывающей отрасли города в 2013 году было занято около 6,5 тыс. человек.</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Возможности</w:t>
      </w:r>
    </w:p>
    <w:p w:rsidR="004616EA" w:rsidRPr="005B2DCE" w:rsidRDefault="004616EA" w:rsidP="005B2DCE">
      <w:pPr>
        <w:pStyle w:val="a7"/>
        <w:numPr>
          <w:ilvl w:val="0"/>
          <w:numId w:val="16"/>
        </w:numPr>
        <w:tabs>
          <w:tab w:val="center"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 xml:space="preserve">Увеличение объемов добычи нефти и газа за счет введения новых участков месторождений нефти в </w:t>
      </w:r>
      <w:r w:rsidRPr="005B2DCE">
        <w:rPr>
          <w:rFonts w:ascii="Times New Roman" w:hAnsi="Times New Roman"/>
          <w:i/>
          <w:sz w:val="26"/>
          <w:szCs w:val="26"/>
        </w:rPr>
        <w:lastRenderedPageBreak/>
        <w:t>разработку и развития технологий по добыче трудноизвлекаемой нефти</w:t>
      </w:r>
    </w:p>
    <w:p w:rsidR="004616EA" w:rsidRPr="005B2DCE" w:rsidRDefault="004616EA" w:rsidP="005B2DCE">
      <w:pPr>
        <w:pStyle w:val="a7"/>
        <w:tabs>
          <w:tab w:val="center" w:pos="1134"/>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Ханты-Мансийский автономный округ - Югра является крупнейшим российским нефтедобывающим регионом (</w:t>
      </w:r>
      <w:r w:rsidR="001977F4">
        <w:fldChar w:fldCharType="begin"/>
      </w:r>
      <w:r w:rsidR="001977F4">
        <w:instrText xml:space="preserve"> REF _Ref397077196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35</w:t>
      </w:r>
      <w:r w:rsidR="001977F4">
        <w:fldChar w:fldCharType="end"/>
      </w:r>
      <w:r w:rsidRPr="005B2DCE">
        <w:rPr>
          <w:rFonts w:ascii="Times New Roman" w:hAnsi="Times New Roman"/>
          <w:sz w:val="26"/>
          <w:szCs w:val="26"/>
        </w:rPr>
        <w:t>), но на сегодняшний день встает вопрос о необходимости разработки новых месторождений для увеличения объемов добычи.</w:t>
      </w:r>
    </w:p>
    <w:p w:rsidR="004616EA" w:rsidRPr="005B2DCE" w:rsidRDefault="004616EA" w:rsidP="005B2DCE">
      <w:pPr>
        <w:pStyle w:val="a7"/>
        <w:tabs>
          <w:tab w:val="center" w:pos="1134"/>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lastRenderedPageBreak/>
        <w:t xml:space="preserve">Так, в Ханты-Мансийском автономном округе - Югре планируется создание научного полигона "Баженовский", где будет проходить ускоренная отработка отечественных технологий добычи трудноизвлекаемых углеводородов. В настоящее время трудноизвлекаемые запасы нефти в регионе </w:t>
      </w:r>
      <w:r w:rsidRPr="005B2DCE">
        <w:rPr>
          <w:rFonts w:ascii="Times New Roman" w:hAnsi="Times New Roman"/>
          <w:sz w:val="26"/>
          <w:szCs w:val="26"/>
        </w:rPr>
        <w:lastRenderedPageBreak/>
        <w:t>оцениваются специалистами в 14 миллиардов тонн нефти. Таким образом, округ взял курс на техническое перевооружение процесса нефтегазодобычи, модернизацию нефтесервисной отрасли, разработку собственных, отечественных технологий освоения трудноизвлекаемых запасов.</w:t>
      </w:r>
    </w:p>
    <w:p w:rsidR="004616EA" w:rsidRPr="00475E67" w:rsidRDefault="00E70A58" w:rsidP="00FC3AAD">
      <w:pPr>
        <w:pStyle w:val="a7"/>
        <w:keepNext/>
        <w:tabs>
          <w:tab w:val="center" w:pos="1134"/>
        </w:tabs>
        <w:spacing w:after="0"/>
        <w:ind w:left="0"/>
        <w:jc w:val="center"/>
      </w:pPr>
      <w:r>
        <w:rPr>
          <w:noProof/>
        </w:rPr>
        <w:lastRenderedPageBreak/>
        <w:drawing>
          <wp:inline distT="0" distB="0" distL="0" distR="0">
            <wp:extent cx="3886200" cy="33528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a:extLst>
                        <a:ext uri="{28A0092B-C50C-407E-A947-70E740481C1C}">
                          <a14:useLocalDpi xmlns:a14="http://schemas.microsoft.com/office/drawing/2010/main" val="0"/>
                        </a:ext>
                      </a:extLst>
                    </a:blip>
                    <a:srcRect l="6937" t="12506" r="10608" b="2188"/>
                    <a:stretch>
                      <a:fillRect/>
                    </a:stretch>
                  </pic:blipFill>
                  <pic:spPr bwMode="auto">
                    <a:xfrm>
                      <a:off x="0" y="0"/>
                      <a:ext cx="3886200" cy="3352800"/>
                    </a:xfrm>
                    <a:prstGeom prst="rect">
                      <a:avLst/>
                    </a:prstGeom>
                    <a:noFill/>
                    <a:ln>
                      <a:noFill/>
                    </a:ln>
                  </pic:spPr>
                </pic:pic>
              </a:graphicData>
            </a:graphic>
          </wp:inline>
        </w:drawing>
      </w:r>
    </w:p>
    <w:p w:rsidR="004616EA" w:rsidRPr="00475E67" w:rsidRDefault="004616EA" w:rsidP="00FC3AAD">
      <w:pPr>
        <w:pStyle w:val="af1"/>
        <w:jc w:val="center"/>
        <w:rPr>
          <w:rFonts w:ascii="Times New Roman" w:hAnsi="Times New Roman"/>
          <w:b w:val="0"/>
          <w:color w:val="auto"/>
          <w:sz w:val="36"/>
          <w:szCs w:val="24"/>
        </w:rPr>
      </w:pPr>
      <w:bookmarkStart w:id="104" w:name="_Ref397077196"/>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35</w:t>
      </w:r>
      <w:r w:rsidRPr="00475E67">
        <w:rPr>
          <w:rFonts w:ascii="Times New Roman" w:hAnsi="Times New Roman"/>
          <w:b w:val="0"/>
          <w:color w:val="auto"/>
          <w:sz w:val="24"/>
        </w:rPr>
        <w:fldChar w:fldCharType="end"/>
      </w:r>
      <w:bookmarkEnd w:id="104"/>
      <w:r w:rsidRPr="00475E67">
        <w:rPr>
          <w:rFonts w:ascii="Times New Roman" w:hAnsi="Times New Roman"/>
          <w:b w:val="0"/>
          <w:color w:val="auto"/>
          <w:sz w:val="24"/>
        </w:rPr>
        <w:t xml:space="preserve"> - Добыча нефти в регионах РФ, 2013 г., %</w:t>
      </w:r>
    </w:p>
    <w:p w:rsidR="004616EA" w:rsidRPr="00475E67" w:rsidRDefault="004616EA" w:rsidP="00ED5659">
      <w:pPr>
        <w:pStyle w:val="a7"/>
        <w:spacing w:after="0" w:line="240" w:lineRule="auto"/>
        <w:ind w:left="0" w:firstLine="709"/>
        <w:jc w:val="center"/>
        <w:rPr>
          <w:rFonts w:ascii="Times New Roman" w:hAnsi="Times New Roman"/>
          <w:sz w:val="24"/>
          <w:szCs w:val="24"/>
        </w:rPr>
      </w:pPr>
    </w:p>
    <w:p w:rsidR="004616EA" w:rsidRPr="005B2DCE" w:rsidRDefault="004616EA" w:rsidP="005B2DCE">
      <w:pPr>
        <w:pStyle w:val="a7"/>
        <w:numPr>
          <w:ilvl w:val="0"/>
          <w:numId w:val="16"/>
        </w:numPr>
        <w:tabs>
          <w:tab w:val="center" w:pos="1134"/>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i/>
          <w:sz w:val="26"/>
          <w:szCs w:val="26"/>
        </w:rPr>
        <w:t>Внедрение технологий по переработке попутного нефтяного газа (ПНГ).</w:t>
      </w:r>
      <w:r w:rsidRPr="005B2DCE">
        <w:rPr>
          <w:rFonts w:ascii="Times New Roman" w:hAnsi="Times New Roman"/>
          <w:sz w:val="26"/>
          <w:szCs w:val="26"/>
        </w:rPr>
        <w:t xml:space="preserve"> </w:t>
      </w:r>
    </w:p>
    <w:p w:rsidR="004616EA" w:rsidRPr="005B2DCE" w:rsidRDefault="004616EA" w:rsidP="005B2DCE">
      <w:pPr>
        <w:tabs>
          <w:tab w:val="center"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ab/>
        <w:t>В Ханты-Мансийском автономном округе</w:t>
      </w:r>
      <w:r>
        <w:rPr>
          <w:rFonts w:ascii="Times New Roman" w:hAnsi="Times New Roman"/>
          <w:sz w:val="26"/>
          <w:szCs w:val="26"/>
        </w:rPr>
        <w:t xml:space="preserve"> </w:t>
      </w:r>
      <w:r w:rsidRPr="005B2DCE">
        <w:rPr>
          <w:rFonts w:ascii="Times New Roman" w:hAnsi="Times New Roman"/>
          <w:sz w:val="26"/>
          <w:szCs w:val="26"/>
        </w:rPr>
        <w:t>-</w:t>
      </w:r>
      <w:r>
        <w:rPr>
          <w:rFonts w:ascii="Times New Roman" w:hAnsi="Times New Roman"/>
          <w:sz w:val="26"/>
          <w:szCs w:val="26"/>
        </w:rPr>
        <w:t xml:space="preserve"> </w:t>
      </w:r>
      <w:r w:rsidRPr="005B2DCE">
        <w:rPr>
          <w:rFonts w:ascii="Times New Roman" w:hAnsi="Times New Roman"/>
          <w:sz w:val="26"/>
          <w:szCs w:val="26"/>
        </w:rPr>
        <w:t xml:space="preserve">Югре в настоящее время обсуждается законопроект, который позволит организациям, занимающимся переработкой попутного </w:t>
      </w:r>
      <w:r w:rsidRPr="005B2DCE">
        <w:rPr>
          <w:rFonts w:ascii="Times New Roman" w:hAnsi="Times New Roman"/>
          <w:sz w:val="26"/>
          <w:szCs w:val="26"/>
        </w:rPr>
        <w:lastRenderedPageBreak/>
        <w:t>нефтяного газа (ПНГ) в автономном округе, рассчитывать на 50% льготу по налогу на имущество.</w:t>
      </w:r>
    </w:p>
    <w:p w:rsidR="004616EA" w:rsidRPr="005B2DCE" w:rsidRDefault="004616EA" w:rsidP="005B2DCE">
      <w:pPr>
        <w:tabs>
          <w:tab w:val="center" w:pos="0"/>
        </w:tabs>
        <w:spacing w:after="0" w:line="240" w:lineRule="auto"/>
        <w:ind w:firstLine="709"/>
        <w:jc w:val="both"/>
        <w:rPr>
          <w:rFonts w:ascii="Times New Roman" w:hAnsi="Times New Roman"/>
          <w:i/>
          <w:sz w:val="26"/>
          <w:szCs w:val="26"/>
        </w:rPr>
      </w:pPr>
      <w:r w:rsidRPr="005B2DCE">
        <w:rPr>
          <w:rFonts w:ascii="Times New Roman" w:hAnsi="Times New Roman"/>
          <w:i/>
          <w:sz w:val="26"/>
          <w:szCs w:val="26"/>
        </w:rPr>
        <w:tab/>
        <w:t>3. Формирование регионального нефтегазодобывающего кластера</w:t>
      </w:r>
    </w:p>
    <w:p w:rsidR="004616EA" w:rsidRPr="005B2DCE" w:rsidRDefault="004616EA" w:rsidP="005B2DCE">
      <w:pPr>
        <w:tabs>
          <w:tab w:val="center"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ab/>
        <w:t>В Ханты-Мансийско</w:t>
      </w:r>
      <w:r w:rsidRPr="005B2DCE">
        <w:rPr>
          <w:rFonts w:ascii="Times New Roman" w:hAnsi="Times New Roman"/>
          <w:b/>
          <w:sz w:val="26"/>
          <w:szCs w:val="26"/>
        </w:rPr>
        <w:t>м</w:t>
      </w:r>
      <w:r w:rsidRPr="005B2DCE">
        <w:rPr>
          <w:rFonts w:ascii="Times New Roman" w:hAnsi="Times New Roman"/>
          <w:sz w:val="26"/>
          <w:szCs w:val="26"/>
        </w:rPr>
        <w:t xml:space="preserve"> автономно</w:t>
      </w:r>
      <w:r w:rsidRPr="005B2DCE">
        <w:rPr>
          <w:rFonts w:ascii="Times New Roman" w:hAnsi="Times New Roman"/>
          <w:b/>
          <w:sz w:val="26"/>
          <w:szCs w:val="26"/>
        </w:rPr>
        <w:t>м</w:t>
      </w:r>
      <w:r w:rsidRPr="005B2DCE">
        <w:rPr>
          <w:rFonts w:ascii="Times New Roman" w:hAnsi="Times New Roman"/>
          <w:sz w:val="26"/>
          <w:szCs w:val="26"/>
        </w:rPr>
        <w:t xml:space="preserve"> округ</w:t>
      </w:r>
      <w:r w:rsidRPr="005B2DCE">
        <w:rPr>
          <w:rFonts w:ascii="Times New Roman" w:hAnsi="Times New Roman"/>
          <w:b/>
          <w:sz w:val="26"/>
          <w:szCs w:val="26"/>
        </w:rPr>
        <w:t>е</w:t>
      </w:r>
      <w:r w:rsidRPr="005B2DCE">
        <w:rPr>
          <w:rFonts w:ascii="Times New Roman" w:hAnsi="Times New Roman"/>
          <w:sz w:val="26"/>
          <w:szCs w:val="26"/>
        </w:rPr>
        <w:t xml:space="preserve"> - Югре возможно создание мощного нефтегазодобывающего кластера, интегрированного с глубокой </w:t>
      </w:r>
      <w:r w:rsidRPr="005B2DCE">
        <w:rPr>
          <w:rFonts w:ascii="Times New Roman" w:hAnsi="Times New Roman"/>
          <w:sz w:val="26"/>
          <w:szCs w:val="26"/>
        </w:rPr>
        <w:lastRenderedPageBreak/>
        <w:t>переработкой добываемых ресурсов. Приоритетами развития нефтегазодобывающего комплекса Ханты-Мансийского автономного округа – Югры в долгосрочной перспективе станут: внедрение инновационных технологий, обеспечивающих повышение уровня нефтеотдачи и освоения запа</w:t>
      </w:r>
      <w:r w:rsidRPr="005B2DCE">
        <w:rPr>
          <w:rFonts w:ascii="Times New Roman" w:hAnsi="Times New Roman"/>
          <w:sz w:val="26"/>
          <w:szCs w:val="26"/>
        </w:rPr>
        <w:lastRenderedPageBreak/>
        <w:t>сов баженовской свиты и других сложнопостроенных залежей; разработка инновационных технологий, обеспечивающих повышение уровня нефтеотдачи и освоения запасов баженовской свиты и других сложнопостроенных залежей; формирование условий для повышения конкуренции и разви</w:t>
      </w:r>
      <w:r w:rsidRPr="005B2DCE">
        <w:rPr>
          <w:rFonts w:ascii="Times New Roman" w:hAnsi="Times New Roman"/>
          <w:sz w:val="26"/>
          <w:szCs w:val="26"/>
        </w:rPr>
        <w:lastRenderedPageBreak/>
        <w:t>тия рынка нефтесервисных услуг; модернизация транспортной и энергетической инфраструктуры.</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Угрозы</w:t>
      </w:r>
    </w:p>
    <w:p w:rsidR="004616EA" w:rsidRPr="005B2DCE" w:rsidRDefault="004616EA" w:rsidP="005B2DCE">
      <w:pPr>
        <w:pStyle w:val="a7"/>
        <w:numPr>
          <w:ilvl w:val="0"/>
          <w:numId w:val="17"/>
        </w:numPr>
        <w:tabs>
          <w:tab w:val="center" w:pos="0"/>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Снижение объемов добычи нефти в целом в автономном округе</w:t>
      </w:r>
    </w:p>
    <w:p w:rsidR="004616EA" w:rsidRPr="005B2DCE" w:rsidRDefault="004616EA" w:rsidP="005B2DCE">
      <w:pPr>
        <w:tabs>
          <w:tab w:val="center" w:pos="0"/>
          <w:tab w:val="left" w:pos="1134"/>
        </w:tabs>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Среди нефтедобывающих регионов наивысшие темпы роста в 2013 году зафиксированы в Восточной Сибири </w:t>
      </w:r>
      <w:r w:rsidRPr="005B2DCE">
        <w:rPr>
          <w:rFonts w:ascii="Times New Roman" w:hAnsi="Times New Roman"/>
          <w:sz w:val="26"/>
          <w:szCs w:val="26"/>
        </w:rPr>
        <w:lastRenderedPageBreak/>
        <w:t>— в Красноярском крае, Иркутской области и Ресублике Якутия (Саха). Также довольно существенно выросла в 2013 году добыча в Ямало-Ненецком автономном округе за счет освоения Юрхаровского и Самбургского газоконденсатных месторождений компанией НОВАТЭК.</w:t>
      </w:r>
    </w:p>
    <w:p w:rsidR="004616EA" w:rsidRPr="005B2DCE" w:rsidRDefault="004616EA" w:rsidP="005B2DCE">
      <w:pPr>
        <w:tabs>
          <w:tab w:val="center" w:pos="0"/>
          <w:tab w:val="left" w:pos="1134"/>
        </w:tabs>
        <w:spacing w:after="0" w:line="240" w:lineRule="auto"/>
        <w:ind w:firstLine="709"/>
        <w:jc w:val="both"/>
        <w:rPr>
          <w:rFonts w:ascii="Times New Roman" w:hAnsi="Times New Roman"/>
          <w:sz w:val="26"/>
          <w:szCs w:val="26"/>
        </w:rPr>
      </w:pPr>
      <w:r w:rsidRPr="005B2DCE">
        <w:rPr>
          <w:rFonts w:ascii="Times New Roman" w:hAnsi="Times New Roman"/>
          <w:sz w:val="26"/>
          <w:szCs w:val="26"/>
        </w:rPr>
        <w:lastRenderedPageBreak/>
        <w:t>Из тех регионов, которые сократили добычу, следует отметить Ненецкий автономный округ и Сахалинскую область. В Ханты-Мансийском автономном округе</w:t>
      </w:r>
      <w:r>
        <w:rPr>
          <w:rFonts w:ascii="Times New Roman" w:hAnsi="Times New Roman"/>
          <w:sz w:val="26"/>
          <w:szCs w:val="26"/>
        </w:rPr>
        <w:t xml:space="preserve"> </w:t>
      </w:r>
      <w:r w:rsidRPr="005B2DCE">
        <w:rPr>
          <w:rFonts w:ascii="Times New Roman" w:hAnsi="Times New Roman"/>
          <w:sz w:val="26"/>
          <w:szCs w:val="26"/>
        </w:rPr>
        <w:t>-</w:t>
      </w:r>
      <w:r>
        <w:rPr>
          <w:rFonts w:ascii="Times New Roman" w:hAnsi="Times New Roman"/>
          <w:sz w:val="26"/>
          <w:szCs w:val="26"/>
        </w:rPr>
        <w:t xml:space="preserve"> </w:t>
      </w:r>
      <w:r w:rsidRPr="005B2DCE">
        <w:rPr>
          <w:rFonts w:ascii="Times New Roman" w:hAnsi="Times New Roman"/>
          <w:sz w:val="26"/>
          <w:szCs w:val="26"/>
        </w:rPr>
        <w:t xml:space="preserve">Югре добыча также снижается уже несколько лет подряд из-за выработки старых месторождений. В 2013 году здесь добыто 255,1 млн </w:t>
      </w:r>
      <w:r w:rsidRPr="005B2DCE">
        <w:rPr>
          <w:rFonts w:ascii="Times New Roman" w:hAnsi="Times New Roman"/>
          <w:sz w:val="26"/>
          <w:szCs w:val="26"/>
        </w:rPr>
        <w:lastRenderedPageBreak/>
        <w:t xml:space="preserve">тонн, что на 4,8 млн тонн меньше, чем в 2012 году. </w:t>
      </w:r>
    </w:p>
    <w:p w:rsidR="004616EA" w:rsidRPr="005B2DCE" w:rsidRDefault="004616EA" w:rsidP="005B2DCE">
      <w:pPr>
        <w:tabs>
          <w:tab w:val="center" w:pos="0"/>
          <w:tab w:val="left" w:pos="1134"/>
        </w:tabs>
        <w:spacing w:after="0" w:line="240" w:lineRule="auto"/>
        <w:ind w:firstLine="709"/>
        <w:jc w:val="both"/>
        <w:rPr>
          <w:rFonts w:ascii="Times New Roman" w:hAnsi="Times New Roman"/>
          <w:sz w:val="26"/>
          <w:szCs w:val="26"/>
        </w:rPr>
      </w:pPr>
      <w:r w:rsidRPr="005B2DCE">
        <w:rPr>
          <w:rFonts w:ascii="Times New Roman" w:hAnsi="Times New Roman"/>
          <w:sz w:val="26"/>
          <w:szCs w:val="26"/>
        </w:rPr>
        <w:t>В первом полугодии 2014 года добыча нефти в Уральском ФО сократилась почти на 900 тыс. тонн в годовом сравнении. Снижение добычи обусловлено в основном старением крупных месторождений в Ханты-Мансийско</w:t>
      </w:r>
      <w:r w:rsidRPr="008E7BE6">
        <w:rPr>
          <w:rFonts w:ascii="Times New Roman" w:hAnsi="Times New Roman"/>
          <w:sz w:val="26"/>
          <w:szCs w:val="26"/>
        </w:rPr>
        <w:t>м</w:t>
      </w:r>
      <w:r w:rsidRPr="005B2DCE">
        <w:rPr>
          <w:rFonts w:ascii="Times New Roman" w:hAnsi="Times New Roman"/>
          <w:sz w:val="26"/>
          <w:szCs w:val="26"/>
        </w:rPr>
        <w:t xml:space="preserve"> автономно</w:t>
      </w:r>
      <w:r w:rsidRPr="008E7BE6">
        <w:rPr>
          <w:rFonts w:ascii="Times New Roman" w:hAnsi="Times New Roman"/>
          <w:sz w:val="26"/>
          <w:szCs w:val="26"/>
        </w:rPr>
        <w:t>м</w:t>
      </w:r>
      <w:r w:rsidRPr="005B2DCE">
        <w:rPr>
          <w:rFonts w:ascii="Times New Roman" w:hAnsi="Times New Roman"/>
          <w:sz w:val="26"/>
          <w:szCs w:val="26"/>
        </w:rPr>
        <w:t xml:space="preserve"> округ</w:t>
      </w:r>
      <w:r w:rsidRPr="008E7BE6">
        <w:rPr>
          <w:rFonts w:ascii="Times New Roman" w:hAnsi="Times New Roman"/>
          <w:sz w:val="26"/>
          <w:szCs w:val="26"/>
        </w:rPr>
        <w:t>е</w:t>
      </w:r>
      <w:r w:rsidRPr="005B2DCE">
        <w:rPr>
          <w:rFonts w:ascii="Times New Roman" w:hAnsi="Times New Roman"/>
          <w:sz w:val="26"/>
          <w:szCs w:val="26"/>
        </w:rPr>
        <w:t xml:space="preserve"> </w:t>
      </w:r>
      <w:r>
        <w:rPr>
          <w:rFonts w:ascii="Times New Roman" w:hAnsi="Times New Roman"/>
          <w:sz w:val="26"/>
          <w:szCs w:val="26"/>
        </w:rPr>
        <w:t xml:space="preserve"> </w:t>
      </w:r>
      <w:r w:rsidRPr="005B2DCE">
        <w:rPr>
          <w:rFonts w:ascii="Times New Roman" w:hAnsi="Times New Roman"/>
          <w:sz w:val="26"/>
          <w:szCs w:val="26"/>
        </w:rPr>
        <w:t>-</w:t>
      </w:r>
      <w:r>
        <w:rPr>
          <w:rFonts w:ascii="Times New Roman" w:hAnsi="Times New Roman"/>
          <w:sz w:val="26"/>
          <w:szCs w:val="26"/>
        </w:rPr>
        <w:t xml:space="preserve"> </w:t>
      </w:r>
      <w:r w:rsidRPr="005B2DCE">
        <w:rPr>
          <w:rFonts w:ascii="Times New Roman" w:hAnsi="Times New Roman"/>
          <w:sz w:val="26"/>
          <w:szCs w:val="26"/>
        </w:rPr>
        <w:t>Югре.</w:t>
      </w:r>
    </w:p>
    <w:p w:rsidR="004616EA" w:rsidRPr="005B2DCE" w:rsidRDefault="004616EA" w:rsidP="005B2DCE">
      <w:pPr>
        <w:pStyle w:val="a7"/>
        <w:numPr>
          <w:ilvl w:val="0"/>
          <w:numId w:val="17"/>
        </w:numPr>
        <w:tabs>
          <w:tab w:val="center" w:pos="0"/>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Развитие перерабатывающих отраслей может негативно сказаться на экологической обстановке в регионе.</w:t>
      </w:r>
    </w:p>
    <w:p w:rsidR="004616EA" w:rsidRPr="005B2DCE" w:rsidRDefault="004616EA" w:rsidP="005B2DCE">
      <w:pPr>
        <w:pStyle w:val="a7"/>
        <w:numPr>
          <w:ilvl w:val="0"/>
          <w:numId w:val="2"/>
        </w:numPr>
        <w:tabs>
          <w:tab w:val="left" w:pos="1134"/>
        </w:tabs>
        <w:spacing w:after="0" w:line="240" w:lineRule="auto"/>
        <w:ind w:left="0" w:firstLine="709"/>
        <w:contextualSpacing w:val="0"/>
        <w:jc w:val="both"/>
        <w:rPr>
          <w:rFonts w:ascii="Times New Roman" w:hAnsi="Times New Roman"/>
          <w:b/>
          <w:i/>
          <w:sz w:val="26"/>
          <w:szCs w:val="26"/>
        </w:rPr>
      </w:pPr>
      <w:r w:rsidRPr="005B2DCE">
        <w:rPr>
          <w:rFonts w:ascii="Times New Roman" w:hAnsi="Times New Roman"/>
          <w:b/>
          <w:i/>
          <w:sz w:val="26"/>
          <w:szCs w:val="26"/>
        </w:rPr>
        <w:t>Агропромышленный комплекс</w:t>
      </w:r>
    </w:p>
    <w:p w:rsidR="004616EA" w:rsidRPr="005B2DCE" w:rsidRDefault="004616EA" w:rsidP="005B2DCE">
      <w:pPr>
        <w:pStyle w:val="a7"/>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 xml:space="preserve">Агропромышленный комплекс является одной их ведущих сфер экономики страны, формирующими агропродовольственный рынок, продовольственную и экономическую безопасность, трудовой и поселенческий потенциал сельских территорий. </w:t>
      </w:r>
    </w:p>
    <w:p w:rsidR="004616EA" w:rsidRPr="005B2DCE" w:rsidRDefault="004616EA" w:rsidP="005B2DCE">
      <w:pPr>
        <w:pStyle w:val="a7"/>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Ханты-Мансийский автономный округ – Югра относится к зоне рискованного земледелия, тем не менее руководством взят курс на повышение продовольственной безопасности региона и развитие отдельных отраслей агропромышленного комплекса.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Анализ состояния агропромышленного комплекса позволяет выделить несколько ключевых сильных и слабых сторон, а также ряд потенциальных возможностей и угроз в данном направлении.</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Сильные стороны</w:t>
      </w:r>
    </w:p>
    <w:p w:rsidR="004616EA" w:rsidRPr="005B2DCE" w:rsidRDefault="004616EA" w:rsidP="005B2DCE">
      <w:pPr>
        <w:pStyle w:val="a7"/>
        <w:numPr>
          <w:ilvl w:val="0"/>
          <w:numId w:val="9"/>
        </w:numPr>
        <w:tabs>
          <w:tab w:val="left" w:pos="0"/>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Стабильные объемы производства продукции сельского хозяйства</w:t>
      </w:r>
    </w:p>
    <w:p w:rsidR="004616EA" w:rsidRPr="005B2DCE" w:rsidRDefault="004616EA" w:rsidP="005B2DCE">
      <w:pPr>
        <w:tabs>
          <w:tab w:val="left" w:pos="1134"/>
        </w:tabs>
        <w:spacing w:after="0" w:line="240" w:lineRule="auto"/>
        <w:ind w:firstLine="709"/>
        <w:jc w:val="both"/>
        <w:rPr>
          <w:rFonts w:ascii="Times New Roman" w:hAnsi="Times New Roman"/>
          <w:sz w:val="26"/>
          <w:szCs w:val="26"/>
          <w:shd w:val="clear" w:color="auto" w:fill="FFFFFF"/>
        </w:rPr>
      </w:pPr>
      <w:r w:rsidRPr="005B2DCE">
        <w:rPr>
          <w:rFonts w:ascii="Times New Roman" w:hAnsi="Times New Roman"/>
          <w:sz w:val="26"/>
          <w:szCs w:val="26"/>
          <w:shd w:val="clear" w:color="auto" w:fill="FFFFFF"/>
        </w:rPr>
        <w:t>В городе Когалыме в производстве продукции сельского хозяйства задействованы 6 крестьянских (фермерских) хозяйства. За последние 6 лет производство основных видов продукции сельского хозяйства сильно не менялось, что подтверждается положительной динамикой объемов производства овощей, молока и мяса (</w:t>
      </w:r>
      <w:r w:rsidR="001977F4">
        <w:fldChar w:fldCharType="begin"/>
      </w:r>
      <w:r w:rsidR="001977F4">
        <w:instrText xml:space="preserve"> REF _Ref397077239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36</w:t>
      </w:r>
      <w:r w:rsidR="001977F4">
        <w:fldChar w:fldCharType="end"/>
      </w:r>
      <w:r w:rsidRPr="005B2DCE">
        <w:rPr>
          <w:rFonts w:ascii="Times New Roman" w:hAnsi="Times New Roman"/>
          <w:sz w:val="26"/>
          <w:szCs w:val="26"/>
          <w:shd w:val="clear" w:color="auto" w:fill="FFFFFF"/>
        </w:rPr>
        <w:t>).</w:t>
      </w:r>
    </w:p>
    <w:p w:rsidR="004616EA" w:rsidRPr="00475E67" w:rsidRDefault="004616EA" w:rsidP="00D56C4C">
      <w:pPr>
        <w:tabs>
          <w:tab w:val="left" w:pos="1134"/>
        </w:tabs>
        <w:spacing w:after="0"/>
        <w:ind w:firstLine="709"/>
        <w:jc w:val="both"/>
        <w:rPr>
          <w:rFonts w:ascii="Times New Roman" w:hAnsi="Times New Roman"/>
          <w:sz w:val="24"/>
          <w:szCs w:val="24"/>
        </w:rPr>
      </w:pPr>
    </w:p>
    <w:p w:rsidR="004616EA" w:rsidRPr="00475E67" w:rsidRDefault="00E70A58" w:rsidP="000024B7">
      <w:pPr>
        <w:pStyle w:val="a7"/>
        <w:keepNext/>
        <w:tabs>
          <w:tab w:val="left" w:pos="1134"/>
        </w:tabs>
        <w:ind w:left="0"/>
        <w:jc w:val="center"/>
      </w:pPr>
      <w:r>
        <w:rPr>
          <w:noProof/>
        </w:rPr>
        <w:drawing>
          <wp:inline distT="0" distB="0" distL="0" distR="0">
            <wp:extent cx="4523105" cy="2744470"/>
            <wp:effectExtent l="0" t="0" r="10795" b="17780"/>
            <wp:docPr id="36"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4616EA" w:rsidRPr="00475E67" w:rsidRDefault="004616EA" w:rsidP="000024B7">
      <w:pPr>
        <w:pStyle w:val="af1"/>
        <w:jc w:val="center"/>
        <w:rPr>
          <w:rFonts w:ascii="Times New Roman" w:hAnsi="Times New Roman"/>
          <w:b w:val="0"/>
          <w:color w:val="auto"/>
          <w:sz w:val="36"/>
          <w:szCs w:val="24"/>
        </w:rPr>
      </w:pPr>
      <w:bookmarkStart w:id="105" w:name="_Ref397077239"/>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36</w:t>
      </w:r>
      <w:r w:rsidRPr="00475E67">
        <w:rPr>
          <w:rFonts w:ascii="Times New Roman" w:hAnsi="Times New Roman"/>
          <w:b w:val="0"/>
          <w:color w:val="auto"/>
          <w:sz w:val="24"/>
        </w:rPr>
        <w:fldChar w:fldCharType="end"/>
      </w:r>
      <w:bookmarkEnd w:id="105"/>
      <w:r w:rsidRPr="00475E67">
        <w:rPr>
          <w:rFonts w:ascii="Times New Roman" w:hAnsi="Times New Roman"/>
          <w:b w:val="0"/>
          <w:color w:val="auto"/>
          <w:sz w:val="24"/>
        </w:rPr>
        <w:t xml:space="preserve"> - Объемы производства сельскохозяйственной продукции в хозяйствах всех категорий в городе Когалыме с 2008 - 2013 гг., тыс. тонн</w:t>
      </w:r>
    </w:p>
    <w:p w:rsidR="004616EA" w:rsidRPr="005B2DCE" w:rsidRDefault="004616EA" w:rsidP="005B2DCE">
      <w:pPr>
        <w:pStyle w:val="a7"/>
        <w:numPr>
          <w:ilvl w:val="0"/>
          <w:numId w:val="9"/>
        </w:numPr>
        <w:tabs>
          <w:tab w:val="left" w:pos="0"/>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Поддержка сельхозтоваропроизводителей города Когалыма в развитии агропромышленного сектора и улучшении материально-технической базы фермерских хозяйств за счет финансирования из средств бюджета автономного округа и муниципального образования</w:t>
      </w:r>
    </w:p>
    <w:p w:rsidR="004616EA" w:rsidRPr="005B2DCE" w:rsidRDefault="004616EA" w:rsidP="005B2DCE">
      <w:pPr>
        <w:spacing w:after="0" w:line="240" w:lineRule="auto"/>
        <w:ind w:firstLine="709"/>
        <w:jc w:val="both"/>
        <w:rPr>
          <w:rFonts w:ascii="Times New Roman" w:hAnsi="Times New Roman"/>
          <w:sz w:val="26"/>
          <w:szCs w:val="26"/>
          <w:shd w:val="clear" w:color="auto" w:fill="FFFFFF"/>
        </w:rPr>
      </w:pPr>
      <w:r w:rsidRPr="005B2DCE">
        <w:rPr>
          <w:rFonts w:ascii="Times New Roman" w:hAnsi="Times New Roman"/>
          <w:sz w:val="26"/>
          <w:szCs w:val="26"/>
          <w:shd w:val="clear" w:color="auto" w:fill="FFFFFF"/>
        </w:rPr>
        <w:t xml:space="preserve">В 2013 году за счет средств бюджета автономного округа крестьянско-фермерским хозяйствам города были выплачены субсидии на производство и реализацию продукции животноводства и развитие материально-технической базы малых форм хозяйствования (за исключением личных подсобных хозяйств) на сумму 11373,1 тыс. руб. </w:t>
      </w:r>
      <w:r w:rsidRPr="005B2DCE">
        <w:rPr>
          <w:rFonts w:ascii="Times New Roman" w:hAnsi="Times New Roman"/>
          <w:sz w:val="26"/>
          <w:szCs w:val="26"/>
        </w:rPr>
        <w:t>Из которых на производство и реализацию продукции животноводства (молоко, мясо, яйцо, шкурки пушных зверей) было выделено 10670,6 тыс. руб., а на развитие материально-технической базы – 702,5 тыс. руб.</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А за счет средств бюджета муниципального образования были выданы субсидии в целях возмещения затрат, связанных с реализацией сельскохозяйственной продукции в размере 950 тыс. руб.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В городе Когалыме действует муниципальная программа «Развитие агропромышленного комплекса и рынков сельскохозяйственной продукции, сырья и продовольствия в городе Когалыме в 2014 - 2016 годах», в которой предусмотрены меры государственной поддержки на период 2014-2016 гг. в объеме 13899,10 тыс. руб. из бюджета Ханты-Мансийского автономного округа -</w:t>
      </w:r>
      <w:r>
        <w:rPr>
          <w:rFonts w:ascii="Times New Roman" w:hAnsi="Times New Roman"/>
          <w:sz w:val="26"/>
          <w:szCs w:val="26"/>
        </w:rPr>
        <w:t xml:space="preserve"> </w:t>
      </w:r>
      <w:r w:rsidRPr="005B2DCE">
        <w:rPr>
          <w:rFonts w:ascii="Times New Roman" w:hAnsi="Times New Roman"/>
          <w:sz w:val="26"/>
          <w:szCs w:val="26"/>
        </w:rPr>
        <w:t>Югры и 4280,70 тыс. руб. за счет муниципального бюджета.</w:t>
      </w:r>
    </w:p>
    <w:p w:rsidR="004616EA" w:rsidRPr="005B2DCE" w:rsidRDefault="004616EA" w:rsidP="005B2DCE">
      <w:pPr>
        <w:pStyle w:val="a7"/>
        <w:keepNext/>
        <w:keepLines/>
        <w:numPr>
          <w:ilvl w:val="0"/>
          <w:numId w:val="9"/>
        </w:numPr>
        <w:tabs>
          <w:tab w:val="left" w:pos="0"/>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Наличие ресурсов для более активного развития существующих отраслей агропромышленного комплекса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Агропромышленный комплекс города Когалыма имеет все перспективы для вхождения в региональный агропромышленный кластер в части развития животноводства, производства молока, молочных продуктов, куриного яйца и переработки мяса.  В свою очередь развитие такого направления, как сбор и переработка дикоросов, будет способствовать развитию производства лекарственных сиропов, что позволит войти городскому округу в региональный медицинский кластер. Помочь в развитии данных направлений может также привлечение коренных малочисленных народов Севера, формирование национальных общин. </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Слабые стороны</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i/>
          <w:sz w:val="26"/>
          <w:szCs w:val="26"/>
        </w:rPr>
        <w:t>1.</w:t>
      </w:r>
      <w:r w:rsidRPr="005B2DCE">
        <w:rPr>
          <w:rFonts w:ascii="Times New Roman" w:hAnsi="Times New Roman"/>
          <w:sz w:val="26"/>
          <w:szCs w:val="26"/>
        </w:rPr>
        <w:t xml:space="preserve"> </w:t>
      </w:r>
      <w:r w:rsidRPr="005B2DCE">
        <w:rPr>
          <w:rFonts w:ascii="Times New Roman" w:hAnsi="Times New Roman"/>
          <w:i/>
          <w:sz w:val="26"/>
          <w:szCs w:val="26"/>
        </w:rPr>
        <w:t>Небольшое количество предпринимателей в агропромышленном секторе</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В городе Когалыме отсутствуют сельскохозяйственные предприятия. Роста количества КФХ в городском округе тоже пока не наблюдается. Несмотря на поддержку со стороны государства, а также органов местного самоуправления, желающих заниматься сельскохозяйственным производством в сложных природно-климатических условиях очень мало.</w:t>
      </w:r>
    </w:p>
    <w:p w:rsidR="004616EA" w:rsidRPr="005B2DCE" w:rsidRDefault="004616EA" w:rsidP="005B2DCE">
      <w:pPr>
        <w:tabs>
          <w:tab w:val="left" w:pos="0"/>
        </w:tabs>
        <w:spacing w:after="0" w:line="240" w:lineRule="auto"/>
        <w:ind w:firstLine="709"/>
        <w:jc w:val="both"/>
        <w:rPr>
          <w:rFonts w:ascii="Times New Roman" w:hAnsi="Times New Roman"/>
          <w:i/>
          <w:sz w:val="26"/>
          <w:szCs w:val="26"/>
        </w:rPr>
      </w:pPr>
      <w:r w:rsidRPr="005B2DCE">
        <w:rPr>
          <w:rFonts w:ascii="Times New Roman" w:hAnsi="Times New Roman"/>
          <w:i/>
          <w:sz w:val="26"/>
          <w:szCs w:val="26"/>
        </w:rPr>
        <w:t>2. Сложные природно-климатические условия</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От экологической обстановки и погодных условий существует высокая степень зависимости производства товарно-пищевой продукции. </w:t>
      </w:r>
    </w:p>
    <w:p w:rsidR="004616EA" w:rsidRPr="005B2DCE" w:rsidRDefault="004616EA" w:rsidP="005B2DCE">
      <w:pPr>
        <w:tabs>
          <w:tab w:val="left" w:pos="0"/>
        </w:tabs>
        <w:spacing w:after="0" w:line="240" w:lineRule="auto"/>
        <w:ind w:firstLine="709"/>
        <w:jc w:val="both"/>
        <w:rPr>
          <w:rFonts w:ascii="Times New Roman" w:hAnsi="Times New Roman"/>
          <w:i/>
          <w:sz w:val="26"/>
          <w:szCs w:val="26"/>
        </w:rPr>
      </w:pPr>
      <w:r w:rsidRPr="005B2DCE">
        <w:rPr>
          <w:rFonts w:ascii="Times New Roman" w:hAnsi="Times New Roman"/>
          <w:i/>
          <w:sz w:val="26"/>
          <w:szCs w:val="26"/>
        </w:rPr>
        <w:t xml:space="preserve">3. Высокая степень зависимости города Когалыма от ввозимых продовольственных товаров в связи с недостаточными объемами производства пищевой продукции на территории городского округа </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В городе Когалыме несколько предприятий изготавливают хлеб и хлебобулочные изделия, также осуществляется производство кондитерских изделий, рыбной продукции и пива, но их объемы недостаточны для удовлетворения потребностей горожан. Так, например, производство хлеба и хлебобулочных изделий на территории городского округа за период с 2010 по 2012 года уменьшилось на 14,3% и в 2012 году составило 221 тонну.</w:t>
      </w:r>
    </w:p>
    <w:p w:rsidR="004616EA" w:rsidRPr="005B2DCE" w:rsidRDefault="004616EA" w:rsidP="005B2DCE">
      <w:pPr>
        <w:tabs>
          <w:tab w:val="left" w:pos="0"/>
          <w:tab w:val="left" w:pos="993"/>
        </w:tabs>
        <w:spacing w:after="0" w:line="240" w:lineRule="auto"/>
        <w:ind w:firstLine="709"/>
        <w:jc w:val="both"/>
        <w:rPr>
          <w:rFonts w:ascii="Times New Roman" w:hAnsi="Times New Roman"/>
          <w:b/>
          <w:sz w:val="26"/>
          <w:szCs w:val="26"/>
        </w:rPr>
      </w:pPr>
      <w:r w:rsidRPr="005B2DCE">
        <w:rPr>
          <w:rFonts w:ascii="Times New Roman" w:hAnsi="Times New Roman"/>
          <w:b/>
          <w:sz w:val="26"/>
          <w:szCs w:val="26"/>
        </w:rPr>
        <w:t>Возможности</w:t>
      </w:r>
    </w:p>
    <w:p w:rsidR="004616EA" w:rsidRPr="005B2DCE" w:rsidRDefault="004616EA" w:rsidP="005B2DCE">
      <w:pPr>
        <w:pStyle w:val="a7"/>
        <w:numPr>
          <w:ilvl w:val="0"/>
          <w:numId w:val="7"/>
        </w:numPr>
        <w:tabs>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Формирование агропромышленного кластера на территории Ханты-Мансийского автономного округа</w:t>
      </w:r>
      <w:r>
        <w:rPr>
          <w:rFonts w:ascii="Times New Roman" w:hAnsi="Times New Roman"/>
          <w:i/>
          <w:sz w:val="26"/>
          <w:szCs w:val="26"/>
        </w:rPr>
        <w:t xml:space="preserve"> </w:t>
      </w:r>
      <w:r w:rsidRPr="005B2DCE">
        <w:rPr>
          <w:rFonts w:ascii="Times New Roman" w:hAnsi="Times New Roman"/>
          <w:i/>
          <w:sz w:val="26"/>
          <w:szCs w:val="26"/>
        </w:rPr>
        <w:t>-</w:t>
      </w:r>
      <w:r>
        <w:rPr>
          <w:rFonts w:ascii="Times New Roman" w:hAnsi="Times New Roman"/>
          <w:i/>
          <w:sz w:val="26"/>
          <w:szCs w:val="26"/>
        </w:rPr>
        <w:t xml:space="preserve"> </w:t>
      </w:r>
      <w:r w:rsidRPr="005B2DCE">
        <w:rPr>
          <w:rFonts w:ascii="Times New Roman" w:hAnsi="Times New Roman"/>
          <w:i/>
          <w:sz w:val="26"/>
          <w:szCs w:val="26"/>
        </w:rPr>
        <w:t xml:space="preserve">Югры </w:t>
      </w:r>
    </w:p>
    <w:p w:rsidR="004616EA" w:rsidRPr="005B2DCE" w:rsidRDefault="004616EA" w:rsidP="005B2DCE">
      <w:pPr>
        <w:pStyle w:val="a7"/>
        <w:tabs>
          <w:tab w:val="left" w:pos="993"/>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Агропромышленный кластер имеет довольно широкий территориальный охват и позволяет обеспечить размещение агропредприятий как в основной зоне расселения, так и на периферии округа. Данный кластер может формироваться на базе развития традиционных отраслей сельского хозяйства и традиционного хозяйствования (оленеводство, пушное звероводство, рыбоводство и рыболовство, сбор дикоросов).</w:t>
      </w:r>
    </w:p>
    <w:p w:rsidR="004616EA" w:rsidRPr="005B2DCE" w:rsidRDefault="004616EA" w:rsidP="005B2DCE">
      <w:pPr>
        <w:tabs>
          <w:tab w:val="left" w:pos="993"/>
        </w:tabs>
        <w:spacing w:after="0" w:line="240" w:lineRule="auto"/>
        <w:ind w:firstLine="709"/>
        <w:jc w:val="both"/>
        <w:rPr>
          <w:rFonts w:ascii="Times New Roman" w:hAnsi="Times New Roman"/>
          <w:sz w:val="26"/>
          <w:szCs w:val="26"/>
        </w:rPr>
      </w:pPr>
      <w:r w:rsidRPr="005B2DCE">
        <w:rPr>
          <w:rFonts w:ascii="Times New Roman" w:hAnsi="Times New Roman"/>
          <w:sz w:val="26"/>
          <w:szCs w:val="26"/>
        </w:rPr>
        <w:t>Основной целью развития сельского хозяйства в округе является повышение эффективности деятельности сельхозпредприятий. Приоритетными направлениями развития агропромышленного комплекса являются:</w:t>
      </w:r>
    </w:p>
    <w:p w:rsidR="004616EA" w:rsidRPr="005B2DCE" w:rsidRDefault="004616EA" w:rsidP="005B2DCE">
      <w:pPr>
        <w:pStyle w:val="a7"/>
        <w:numPr>
          <w:ilvl w:val="0"/>
          <w:numId w:val="10"/>
        </w:numPr>
        <w:tabs>
          <w:tab w:val="left" w:pos="0"/>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модернизация производства сельскохозяйственной продукции за счет использования современных технологий;</w:t>
      </w:r>
    </w:p>
    <w:p w:rsidR="004616EA" w:rsidRPr="005B2DCE" w:rsidRDefault="004616EA" w:rsidP="005B2DCE">
      <w:pPr>
        <w:pStyle w:val="a7"/>
        <w:numPr>
          <w:ilvl w:val="0"/>
          <w:numId w:val="10"/>
        </w:numPr>
        <w:tabs>
          <w:tab w:val="left" w:pos="0"/>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налаживание и повышение эффективности взаимодействия в технологической цепочке производства и переработки сельскохозяйственной продукции;</w:t>
      </w:r>
    </w:p>
    <w:p w:rsidR="004616EA" w:rsidRPr="005B2DCE" w:rsidRDefault="004616EA" w:rsidP="005B2DCE">
      <w:pPr>
        <w:pStyle w:val="a7"/>
        <w:numPr>
          <w:ilvl w:val="0"/>
          <w:numId w:val="10"/>
        </w:numPr>
        <w:tabs>
          <w:tab w:val="left" w:pos="0"/>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развитие сельскохозяйственной кооперации.</w:t>
      </w:r>
    </w:p>
    <w:p w:rsidR="004616EA" w:rsidRPr="005B2DCE" w:rsidRDefault="004616EA" w:rsidP="005B2DCE">
      <w:pPr>
        <w:pStyle w:val="a7"/>
        <w:numPr>
          <w:ilvl w:val="0"/>
          <w:numId w:val="7"/>
        </w:numPr>
        <w:tabs>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Развитие специфических отраслей агропромышленного комплекса</w:t>
      </w:r>
    </w:p>
    <w:p w:rsidR="004616EA" w:rsidRPr="005B2DCE" w:rsidRDefault="004616EA" w:rsidP="005B2DCE">
      <w:pPr>
        <w:pStyle w:val="a7"/>
        <w:tabs>
          <w:tab w:val="left" w:pos="993"/>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Отчасти это связано с необходимостью поддержания традиционных промыслов коренных народов, населяющих округ. Такими промыслами являются рыболовство. Кроме того, в тех природных условиях, которые свойственны Югре, можно развивать традиционное животноводство, тем более что современный уровень технологий и техники позволяет это делать здесь вполне экономически успешно. Плюс к этому сибирская специфика позволяет развивать такие не очень традиционные сектора агропромышленного комплекса, как заготовку и переработку дикоросов, а также клеточное звероводство.</w:t>
      </w:r>
    </w:p>
    <w:p w:rsidR="004616EA" w:rsidRPr="005B2DCE" w:rsidRDefault="004616EA" w:rsidP="005B2DCE">
      <w:pPr>
        <w:pStyle w:val="a7"/>
        <w:numPr>
          <w:ilvl w:val="0"/>
          <w:numId w:val="7"/>
        </w:numPr>
        <w:tabs>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Поддержка и развитие сельского хозяйства, увеличение объема его финансирования в рамках региональных программ</w:t>
      </w:r>
    </w:p>
    <w:p w:rsidR="004616EA" w:rsidRPr="005B2DCE" w:rsidRDefault="004616EA" w:rsidP="005B2DCE">
      <w:pPr>
        <w:pStyle w:val="a7"/>
        <w:tabs>
          <w:tab w:val="left" w:pos="993"/>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 xml:space="preserve">В настоящее время Правительством Ханты-Мансийского автономного округа – Югры в рамках программы «Развитие агропромышленного комплекса и рынков сельскохозяйственной продукции, сырья и продовольствия в Ханты-Мансийском автономном округе – Югре в 2014 – 2020 годах»  оказывается поддержка по созданию условий для развития агропромышленного комплекса, которая включает в себя широкий спектр мер: субсидирование части затрат, грантовая поддержка начинающих фермеров, поддержка кредитования, проведение семинаров, конкурсов, выставок, улучшение жилищных условий граждан, проживающих в сельской местности и прочее. </w:t>
      </w:r>
    </w:p>
    <w:p w:rsidR="004616EA" w:rsidRPr="005B2DCE" w:rsidRDefault="004616EA" w:rsidP="005B2DCE">
      <w:pPr>
        <w:pStyle w:val="a7"/>
        <w:tabs>
          <w:tab w:val="left" w:pos="993"/>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Создание малых промышленных предприятий, развитие малого и среднего бизнеса в агропромышленном секторе станет одним из важнейших направлений диверсификации экономики региона.</w:t>
      </w:r>
    </w:p>
    <w:p w:rsidR="004616EA" w:rsidRPr="005B2DCE" w:rsidRDefault="004616EA" w:rsidP="005B2DCE">
      <w:pPr>
        <w:keepNext/>
        <w:keepLines/>
        <w:spacing w:after="0" w:line="240" w:lineRule="auto"/>
        <w:ind w:firstLine="709"/>
        <w:jc w:val="both"/>
        <w:rPr>
          <w:rFonts w:ascii="Times New Roman" w:hAnsi="Times New Roman"/>
          <w:b/>
          <w:sz w:val="26"/>
          <w:szCs w:val="26"/>
        </w:rPr>
      </w:pPr>
      <w:r w:rsidRPr="005B2DCE">
        <w:rPr>
          <w:rFonts w:ascii="Times New Roman" w:hAnsi="Times New Roman"/>
          <w:b/>
          <w:sz w:val="26"/>
          <w:szCs w:val="26"/>
        </w:rPr>
        <w:t>Угрозы</w:t>
      </w:r>
    </w:p>
    <w:p w:rsidR="004616EA" w:rsidRPr="005B2DCE" w:rsidRDefault="004616EA" w:rsidP="005B2DCE">
      <w:pPr>
        <w:pStyle w:val="a7"/>
        <w:numPr>
          <w:ilvl w:val="0"/>
          <w:numId w:val="8"/>
        </w:numPr>
        <w:tabs>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Наличие природных ограничений для развития агропромышленного комплекса в округе</w:t>
      </w:r>
    </w:p>
    <w:p w:rsidR="004616EA" w:rsidRPr="005B2DCE" w:rsidRDefault="004616EA" w:rsidP="005B2DCE">
      <w:pPr>
        <w:tabs>
          <w:tab w:val="left" w:pos="993"/>
        </w:tabs>
        <w:spacing w:after="0" w:line="240" w:lineRule="auto"/>
        <w:ind w:firstLine="709"/>
        <w:jc w:val="both"/>
        <w:rPr>
          <w:rFonts w:ascii="Times New Roman" w:hAnsi="Times New Roman"/>
          <w:sz w:val="26"/>
          <w:szCs w:val="26"/>
        </w:rPr>
      </w:pPr>
      <w:r w:rsidRPr="005B2DCE">
        <w:rPr>
          <w:rFonts w:ascii="Times New Roman" w:hAnsi="Times New Roman"/>
          <w:sz w:val="26"/>
          <w:szCs w:val="26"/>
        </w:rPr>
        <w:t>Полноценное развитие сельского хозяйства в Югре невозможно по объективным причинам. Значительная часть территории округа покрыта лесами, а вегетационный период здесь недостаточен для вызревания большей части сельскохозяйственных культур. На таких широтах нигде в мире не развито открытое растениеводство. Даже в советский период, когда растениеводство в северных регионах фактически насаждалось, и его развитие зачастую происходило вопреки экономической целесообразности, суммарная посевная площадь в Югре не превышала 8 тысяч гектар, что составляет сотую долю процента от общей территории округа.</w:t>
      </w:r>
    </w:p>
    <w:p w:rsidR="004616EA" w:rsidRPr="005B2DCE" w:rsidRDefault="004616EA" w:rsidP="005B2DCE">
      <w:pPr>
        <w:pStyle w:val="a7"/>
        <w:numPr>
          <w:ilvl w:val="0"/>
          <w:numId w:val="8"/>
        </w:numPr>
        <w:tabs>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Нехватка специалистов в агропромышленном комплексе</w:t>
      </w:r>
    </w:p>
    <w:p w:rsidR="004616EA" w:rsidRPr="005B2DCE" w:rsidRDefault="004616EA" w:rsidP="005B2DCE">
      <w:pPr>
        <w:tabs>
          <w:tab w:val="left" w:pos="993"/>
        </w:tabs>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В стратегии социально-экономического развития </w:t>
      </w:r>
      <w:r w:rsidRPr="005B2DCE">
        <w:rPr>
          <w:rFonts w:ascii="Times New Roman" w:hAnsi="Times New Roman"/>
          <w:bCs/>
          <w:sz w:val="26"/>
          <w:szCs w:val="26"/>
        </w:rPr>
        <w:t>Ханты-Мансийского автономного округа - Югры до 2020 года и на период до 2030 года</w:t>
      </w:r>
      <w:r w:rsidRPr="005B2DCE">
        <w:rPr>
          <w:rFonts w:ascii="Times New Roman" w:hAnsi="Times New Roman"/>
          <w:sz w:val="26"/>
          <w:szCs w:val="26"/>
        </w:rPr>
        <w:t xml:space="preserve"> отражена одна из главных причин существования данной угрозы. Несмотря на предпринимаемые Правительством Югры меры по сокращению диспропорций в оплате труда по видам экономической деятельности, существенная разница в доходах работающего населения в сельском хозяйстве и социальной сфере по сравнению с доходами специалистов занятых в добыче топливно-энергетических полезных ископаемых по-прежнему сохраняется. Естественно, что для большего числа людей заработная плата является порой определяющим фактором выбора вида деятельности. В связи с этим одной из основных проблем развития отрасли остается дефицит квалифицированных кадров как менеджеров, так и работников массовых профессий.  </w:t>
      </w:r>
    </w:p>
    <w:p w:rsidR="004616EA" w:rsidRPr="005B2DCE" w:rsidRDefault="004616EA" w:rsidP="005B2DCE">
      <w:pPr>
        <w:pStyle w:val="a7"/>
        <w:numPr>
          <w:ilvl w:val="0"/>
          <w:numId w:val="8"/>
        </w:numPr>
        <w:tabs>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Низкая рентабельность производства сельскохозяйственной продукции.</w:t>
      </w:r>
    </w:p>
    <w:p w:rsidR="004616EA" w:rsidRPr="005B2DCE" w:rsidRDefault="004616EA" w:rsidP="005B2DCE">
      <w:pPr>
        <w:pStyle w:val="a7"/>
        <w:tabs>
          <w:tab w:val="left" w:pos="993"/>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Ключевой экономической проблемой развития агропромышленного комплекса в округе является низкая рентабельность сельскохозяйственного производства. Себестоимость выпуска сельскохозяйственной продукции в автономном округе значительно превышает среднероссийский показатель. Отдельные производства с показателями положительной рентабельности - это пригородные производства, расположенные у емких рынков сбыта, выпускающие продукцию, конкурентоспособную с завозимым в автономный округ продовольствием соседних регионов, но их доля мала. Для всех остальных агропроизводств требуется постоянная и значительная государственная поддержка.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В целом низкие темпы развития и финансовая неустойчивость отрасли обусловлены диспаритетом цен на сельскохозяйственную и промышленную продукцию, нестабильностью агропродовольственного рынка, ограниченным доступом сельскохозяйственных товаропроизводителей к рынкам финансовых, материально-технических и информационных ресурсов, слабым развитием страхования рисков в сельском хозяйстве.</w:t>
      </w:r>
    </w:p>
    <w:p w:rsidR="004616EA" w:rsidRPr="005B2DCE" w:rsidRDefault="004616EA" w:rsidP="005B2DCE">
      <w:pPr>
        <w:pStyle w:val="a7"/>
        <w:keepNext/>
        <w:keepLines/>
        <w:numPr>
          <w:ilvl w:val="0"/>
          <w:numId w:val="2"/>
        </w:numPr>
        <w:tabs>
          <w:tab w:val="left" w:pos="1134"/>
        </w:tabs>
        <w:spacing w:after="0" w:line="240" w:lineRule="auto"/>
        <w:ind w:left="0" w:firstLine="709"/>
        <w:contextualSpacing w:val="0"/>
        <w:jc w:val="both"/>
        <w:rPr>
          <w:rFonts w:ascii="Times New Roman" w:hAnsi="Times New Roman"/>
          <w:b/>
          <w:i/>
          <w:sz w:val="26"/>
          <w:szCs w:val="26"/>
        </w:rPr>
      </w:pPr>
      <w:r w:rsidRPr="005B2DCE">
        <w:rPr>
          <w:rFonts w:ascii="Times New Roman" w:hAnsi="Times New Roman"/>
          <w:b/>
          <w:i/>
          <w:sz w:val="26"/>
          <w:szCs w:val="26"/>
        </w:rPr>
        <w:t>Промышленность строительных материалов</w:t>
      </w:r>
    </w:p>
    <w:p w:rsidR="004616EA" w:rsidRPr="005B2DCE" w:rsidRDefault="004616EA" w:rsidP="005B2DCE">
      <w:pPr>
        <w:pStyle w:val="a7"/>
        <w:tabs>
          <w:tab w:val="left" w:pos="993"/>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Анализ состояния промышленности строительных материалов позволяет выделить несколько ключевых сильных и слабых сторон, а также ряд потенциальных возможностей и угроз в данном направлении.</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Сильные стороны</w:t>
      </w:r>
    </w:p>
    <w:p w:rsidR="004616EA" w:rsidRPr="005B2DCE" w:rsidRDefault="004616EA" w:rsidP="005B2DCE">
      <w:pPr>
        <w:pStyle w:val="a7"/>
        <w:numPr>
          <w:ilvl w:val="0"/>
          <w:numId w:val="11"/>
        </w:numPr>
        <w:tabs>
          <w:tab w:val="left" w:pos="851"/>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Наличие на территории городского округа общераспространенных полезных ископаемых (песок, торф), используемых для производства строительных материалов</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ab/>
        <w:t>На территории города Когалыма осуществляется производство строительных материалов, в частности товарного бетона и строительного раствора. Осуществляется изготовление стеклопластиков и изделий из них.</w:t>
      </w:r>
    </w:p>
    <w:p w:rsidR="004616EA" w:rsidRPr="005B2DCE" w:rsidRDefault="004616EA" w:rsidP="005B2DCE">
      <w:pPr>
        <w:pStyle w:val="a7"/>
        <w:numPr>
          <w:ilvl w:val="0"/>
          <w:numId w:val="11"/>
        </w:numPr>
        <w:tabs>
          <w:tab w:val="left" w:pos="851"/>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Увеличение объемов жилищного строительства.</w:t>
      </w:r>
    </w:p>
    <w:p w:rsidR="004616EA" w:rsidRPr="005B2DCE" w:rsidRDefault="004616EA" w:rsidP="005B2DCE">
      <w:pPr>
        <w:pStyle w:val="ConsPlusNormal"/>
        <w:tabs>
          <w:tab w:val="left" w:pos="1134"/>
        </w:tabs>
        <w:ind w:firstLine="709"/>
        <w:jc w:val="both"/>
        <w:rPr>
          <w:rFonts w:ascii="Times New Roman" w:hAnsi="Times New Roman"/>
          <w:bCs/>
          <w:sz w:val="26"/>
          <w:szCs w:val="26"/>
        </w:rPr>
      </w:pPr>
      <w:r w:rsidRPr="005B2DCE">
        <w:rPr>
          <w:rFonts w:ascii="Times New Roman" w:hAnsi="Times New Roman"/>
          <w:bCs/>
          <w:sz w:val="26"/>
          <w:szCs w:val="26"/>
        </w:rPr>
        <w:t>Увеличение потребности в строительных материалах непосредственным образом связано с развитием сектора жилищного строительства (</w:t>
      </w:r>
      <w:r w:rsidR="001977F4">
        <w:fldChar w:fldCharType="begin"/>
      </w:r>
      <w:r w:rsidR="001977F4">
        <w:instrText xml:space="preserve"> REF _Ref397077299 \h  \* MERGEFORMAT </w:instrText>
      </w:r>
      <w:r w:rsidR="001977F4">
        <w:fldChar w:fldCharType="separate"/>
      </w:r>
      <w:r w:rsidR="001977F4" w:rsidRPr="001977F4">
        <w:rPr>
          <w:rFonts w:ascii="Times New Roman" w:eastAsia="Batang" w:hAnsi="Times New Roman"/>
          <w:sz w:val="26"/>
          <w:szCs w:val="26"/>
        </w:rPr>
        <w:t xml:space="preserve">Рисунок </w:t>
      </w:r>
      <w:r w:rsidR="001977F4" w:rsidRPr="001977F4">
        <w:rPr>
          <w:rFonts w:ascii="Times New Roman" w:eastAsia="Batang" w:hAnsi="Times New Roman"/>
          <w:noProof/>
          <w:sz w:val="26"/>
          <w:szCs w:val="26"/>
        </w:rPr>
        <w:t>37</w:t>
      </w:r>
      <w:r w:rsidR="001977F4">
        <w:fldChar w:fldCharType="end"/>
      </w:r>
      <w:r w:rsidRPr="005B2DCE">
        <w:rPr>
          <w:rFonts w:ascii="Times New Roman" w:hAnsi="Times New Roman"/>
          <w:bCs/>
          <w:sz w:val="26"/>
          <w:szCs w:val="26"/>
        </w:rPr>
        <w:t xml:space="preserve">). </w:t>
      </w:r>
    </w:p>
    <w:p w:rsidR="004616EA" w:rsidRPr="005B2DCE" w:rsidRDefault="004616EA" w:rsidP="005B2DCE">
      <w:pPr>
        <w:pStyle w:val="ConsPlusNormal"/>
        <w:tabs>
          <w:tab w:val="left" w:pos="1134"/>
        </w:tabs>
        <w:ind w:firstLine="709"/>
        <w:jc w:val="both"/>
        <w:rPr>
          <w:rFonts w:ascii="Times New Roman" w:hAnsi="Times New Roman"/>
          <w:bCs/>
          <w:sz w:val="26"/>
          <w:szCs w:val="26"/>
        </w:rPr>
      </w:pPr>
    </w:p>
    <w:p w:rsidR="004616EA" w:rsidRPr="00475E67" w:rsidRDefault="00E70A58" w:rsidP="00F97926">
      <w:pPr>
        <w:pStyle w:val="ConsPlusNormal"/>
        <w:keepNext/>
        <w:tabs>
          <w:tab w:val="left" w:pos="0"/>
        </w:tabs>
        <w:spacing w:line="276" w:lineRule="auto"/>
        <w:jc w:val="center"/>
      </w:pPr>
      <w:r>
        <w:rPr>
          <w:noProof/>
        </w:rPr>
        <w:drawing>
          <wp:inline distT="0" distB="0" distL="0" distR="0">
            <wp:extent cx="4523105" cy="2744470"/>
            <wp:effectExtent l="0" t="0" r="10795" b="17780"/>
            <wp:docPr id="37"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4616EA" w:rsidRPr="00475E67" w:rsidRDefault="004616EA" w:rsidP="00F97926">
      <w:pPr>
        <w:pStyle w:val="af1"/>
        <w:jc w:val="center"/>
        <w:rPr>
          <w:rFonts w:ascii="Times New Roman" w:eastAsia="Batang" w:hAnsi="Times New Roman"/>
          <w:b w:val="0"/>
          <w:bCs/>
          <w:color w:val="auto"/>
          <w:sz w:val="36"/>
          <w:szCs w:val="24"/>
        </w:rPr>
      </w:pPr>
      <w:bookmarkStart w:id="106" w:name="_Ref397077299"/>
      <w:r w:rsidRPr="00475E67">
        <w:rPr>
          <w:rFonts w:ascii="Times New Roman" w:eastAsia="Batang" w:hAnsi="Times New Roman"/>
          <w:b w:val="0"/>
          <w:color w:val="auto"/>
          <w:sz w:val="24"/>
        </w:rPr>
        <w:t xml:space="preserve">Рисунок </w:t>
      </w:r>
      <w:r w:rsidRPr="00475E67">
        <w:rPr>
          <w:rFonts w:ascii="Times New Roman" w:eastAsia="Batang" w:hAnsi="Times New Roman"/>
          <w:b w:val="0"/>
          <w:color w:val="auto"/>
          <w:sz w:val="24"/>
        </w:rPr>
        <w:fldChar w:fldCharType="begin"/>
      </w:r>
      <w:r w:rsidRPr="00475E67">
        <w:rPr>
          <w:rFonts w:ascii="Times New Roman" w:eastAsia="Batang" w:hAnsi="Times New Roman"/>
          <w:b w:val="0"/>
          <w:color w:val="auto"/>
          <w:sz w:val="24"/>
        </w:rPr>
        <w:instrText xml:space="preserve"> SEQ Рисунок \* ARABIC </w:instrText>
      </w:r>
      <w:r w:rsidRPr="00475E67">
        <w:rPr>
          <w:rFonts w:ascii="Times New Roman" w:eastAsia="Batang" w:hAnsi="Times New Roman"/>
          <w:b w:val="0"/>
          <w:color w:val="auto"/>
          <w:sz w:val="24"/>
        </w:rPr>
        <w:fldChar w:fldCharType="separate"/>
      </w:r>
      <w:r w:rsidR="001977F4">
        <w:rPr>
          <w:rFonts w:ascii="Times New Roman" w:eastAsia="Batang" w:hAnsi="Times New Roman"/>
          <w:b w:val="0"/>
          <w:noProof/>
          <w:color w:val="auto"/>
          <w:sz w:val="24"/>
        </w:rPr>
        <w:t>37</w:t>
      </w:r>
      <w:r w:rsidRPr="00475E67">
        <w:rPr>
          <w:rFonts w:ascii="Times New Roman" w:eastAsia="Batang" w:hAnsi="Times New Roman"/>
          <w:b w:val="0"/>
          <w:color w:val="auto"/>
          <w:sz w:val="24"/>
        </w:rPr>
        <w:fldChar w:fldCharType="end"/>
      </w:r>
      <w:bookmarkEnd w:id="106"/>
      <w:r w:rsidRPr="00475E67">
        <w:rPr>
          <w:rFonts w:ascii="Times New Roman" w:eastAsia="Batang" w:hAnsi="Times New Roman"/>
          <w:b w:val="0"/>
          <w:color w:val="auto"/>
          <w:sz w:val="24"/>
        </w:rPr>
        <w:t xml:space="preserve"> - Объемы ввода в действие жилых домов на территории города Когалыма с 2006 - 2013 гг., кв. м общей площади</w:t>
      </w:r>
    </w:p>
    <w:p w:rsidR="004616EA" w:rsidRPr="005B2DCE" w:rsidRDefault="004616EA" w:rsidP="005B2DCE">
      <w:pPr>
        <w:pStyle w:val="ConsPlusNormal"/>
        <w:tabs>
          <w:tab w:val="left" w:pos="1134"/>
        </w:tabs>
        <w:ind w:firstLine="709"/>
        <w:jc w:val="both"/>
        <w:rPr>
          <w:rFonts w:ascii="Times New Roman" w:hAnsi="Times New Roman"/>
          <w:i/>
          <w:sz w:val="26"/>
          <w:szCs w:val="26"/>
        </w:rPr>
      </w:pPr>
      <w:r w:rsidRPr="005B2DCE">
        <w:rPr>
          <w:rFonts w:ascii="Times New Roman" w:hAnsi="Times New Roman"/>
          <w:i/>
          <w:sz w:val="26"/>
          <w:szCs w:val="26"/>
        </w:rPr>
        <w:t>3. Наличие ресурсов для развития промышленности строительных материалов и вхождения в региональный кластер</w:t>
      </w:r>
    </w:p>
    <w:p w:rsidR="004616EA" w:rsidRPr="005B2DCE" w:rsidRDefault="004616EA" w:rsidP="005B2DCE">
      <w:pPr>
        <w:pStyle w:val="ConsPlusNormal"/>
        <w:tabs>
          <w:tab w:val="left" w:pos="1134"/>
        </w:tabs>
        <w:ind w:firstLine="709"/>
        <w:jc w:val="both"/>
        <w:rPr>
          <w:rFonts w:ascii="Times New Roman" w:hAnsi="Times New Roman"/>
          <w:sz w:val="26"/>
          <w:szCs w:val="26"/>
        </w:rPr>
      </w:pPr>
      <w:r w:rsidRPr="005B2DCE">
        <w:rPr>
          <w:rFonts w:ascii="Times New Roman" w:hAnsi="Times New Roman"/>
          <w:sz w:val="26"/>
          <w:szCs w:val="26"/>
        </w:rPr>
        <w:t>В городе Когалыме планируется создание инвестиционных площадок в сфере развития строительного комплекса, а именно комбината строительных материалов по заготовке ПГС и её переработке-дроблению на фракции щебня для приготовления бетонов и завода по производству продукции для строительной промышленности на основе торфа (теплоизоляционные материалы, утеплители, отделочные материалы и т.д.).</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Слабые стороны</w:t>
      </w:r>
    </w:p>
    <w:p w:rsidR="004616EA" w:rsidRPr="005B2DCE" w:rsidRDefault="004616EA" w:rsidP="005B2DCE">
      <w:pPr>
        <w:pStyle w:val="a7"/>
        <w:numPr>
          <w:ilvl w:val="0"/>
          <w:numId w:val="12"/>
        </w:numPr>
        <w:tabs>
          <w:tab w:val="left" w:pos="142"/>
          <w:tab w:val="left" w:pos="993"/>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 xml:space="preserve">неразвитость данной отрасли в городском округе; </w:t>
      </w:r>
    </w:p>
    <w:p w:rsidR="004616EA" w:rsidRPr="005B2DCE" w:rsidRDefault="004616EA" w:rsidP="005B2DCE">
      <w:pPr>
        <w:pStyle w:val="a7"/>
        <w:numPr>
          <w:ilvl w:val="0"/>
          <w:numId w:val="12"/>
        </w:numPr>
        <w:tabs>
          <w:tab w:val="left" w:pos="142"/>
          <w:tab w:val="left" w:pos="993"/>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 xml:space="preserve">высокая доля издержек на транспорт, электрическую энергию, горюче-смазочные материалы, которая закладывается в цену конечной продукции. </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Возможности</w:t>
      </w:r>
    </w:p>
    <w:p w:rsidR="004616EA" w:rsidRPr="005B2DCE" w:rsidRDefault="004616EA" w:rsidP="005B2DCE">
      <w:pPr>
        <w:pStyle w:val="a7"/>
        <w:numPr>
          <w:ilvl w:val="0"/>
          <w:numId w:val="13"/>
        </w:numPr>
        <w:tabs>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Формирование кластера строительных материалов Ханты-Мансийского автономного округа - Югры</w:t>
      </w:r>
    </w:p>
    <w:p w:rsidR="004616EA" w:rsidRPr="005B2DCE" w:rsidRDefault="004616EA" w:rsidP="005B2DCE">
      <w:pPr>
        <w:pStyle w:val="ab"/>
        <w:spacing w:before="0" w:after="0"/>
        <w:ind w:firstLine="709"/>
        <w:rPr>
          <w:sz w:val="26"/>
          <w:szCs w:val="26"/>
        </w:rPr>
      </w:pPr>
      <w:r w:rsidRPr="005B2DCE">
        <w:rPr>
          <w:sz w:val="26"/>
          <w:szCs w:val="26"/>
        </w:rPr>
        <w:t>Одним из факторов развития строительного комплекса Ханты-Мансийского автономного округа – Югры является модернизация действующих предприятий по производству строительных материалов, конструкций и изделий, а также создание новых предприятий по производству конкурентоспособных строительных материалов, изделий и конструкций из местного сырья с применением инновационных технологий.</w:t>
      </w:r>
    </w:p>
    <w:p w:rsidR="004616EA" w:rsidRPr="005B2DCE" w:rsidRDefault="004616EA" w:rsidP="005B2DCE">
      <w:pPr>
        <w:pStyle w:val="ab"/>
        <w:spacing w:before="0" w:after="0"/>
        <w:ind w:firstLine="709"/>
        <w:rPr>
          <w:sz w:val="26"/>
          <w:szCs w:val="26"/>
        </w:rPr>
      </w:pPr>
      <w:r w:rsidRPr="005B2DCE">
        <w:rPr>
          <w:sz w:val="26"/>
          <w:szCs w:val="26"/>
        </w:rPr>
        <w:t>В автономном округе основными предприятиями по производству строительных материалов являются: предприятия по производству деревянных стройматериалов; предприятия по производству штучных стеновых материалов (кирпич, блоки и пр.); предприятия по производству бетона и железобетона; предприятия по производству стекла и изделий из стекла; предприятия по производству готовых металлических и пластмассовых изделий; предприятия по производству теплоизоляционных материалов.</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Каждое из узкоспециализированных производств представлено несколькими крупными и многочисленными средними и мелкими предприятиями, наличие которых способствует возникновению конкуренции товаропроизводителей.</w:t>
      </w:r>
    </w:p>
    <w:p w:rsidR="004616EA" w:rsidRPr="005B2DCE" w:rsidRDefault="004616EA" w:rsidP="005B2DCE">
      <w:pPr>
        <w:pStyle w:val="a7"/>
        <w:numPr>
          <w:ilvl w:val="0"/>
          <w:numId w:val="13"/>
        </w:numPr>
        <w:tabs>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Возможность создания новых производств в результате недостаточной обеспеченности строительными материалами, наличие пустующих ниш</w:t>
      </w:r>
    </w:p>
    <w:p w:rsidR="004616EA" w:rsidRPr="005B2DCE" w:rsidRDefault="004616EA" w:rsidP="005B2DCE">
      <w:pPr>
        <w:pStyle w:val="a7"/>
        <w:tabs>
          <w:tab w:val="left" w:pos="1134"/>
        </w:tabs>
        <w:spacing w:after="0" w:line="240" w:lineRule="auto"/>
        <w:ind w:left="0" w:firstLine="709"/>
        <w:contextualSpacing w:val="0"/>
        <w:jc w:val="both"/>
        <w:rPr>
          <w:rFonts w:ascii="Times New Roman" w:hAnsi="Times New Roman"/>
          <w:bCs/>
          <w:sz w:val="26"/>
          <w:szCs w:val="26"/>
        </w:rPr>
      </w:pPr>
      <w:r w:rsidRPr="005B2DCE">
        <w:rPr>
          <w:rFonts w:ascii="Times New Roman" w:hAnsi="Times New Roman"/>
          <w:bCs/>
          <w:sz w:val="26"/>
          <w:szCs w:val="26"/>
        </w:rPr>
        <w:t>Обеспеченность местным строительным песком составляет около 36%, песком для планировочных работ – 93%, щебень и цемент в автономный округ завозятся из других регионов.</w:t>
      </w:r>
    </w:p>
    <w:p w:rsidR="004616EA" w:rsidRPr="005B2DCE" w:rsidRDefault="004616EA" w:rsidP="005B2DCE">
      <w:pPr>
        <w:pStyle w:val="a7"/>
        <w:numPr>
          <w:ilvl w:val="0"/>
          <w:numId w:val="13"/>
        </w:numPr>
        <w:tabs>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Внедрение новых строительных технологий с использованием имеющихся запасов сырья.</w:t>
      </w:r>
    </w:p>
    <w:p w:rsidR="004616EA" w:rsidRPr="005B2DCE" w:rsidRDefault="004616EA" w:rsidP="005B2DCE">
      <w:pPr>
        <w:pStyle w:val="a7"/>
        <w:numPr>
          <w:ilvl w:val="0"/>
          <w:numId w:val="13"/>
        </w:numPr>
        <w:tabs>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Развитие производства строительных материалов на базе местного сырья Ханты-Мансийского автономного округа - Югры</w:t>
      </w:r>
    </w:p>
    <w:p w:rsidR="004616EA" w:rsidRPr="005B2DCE" w:rsidRDefault="004616EA" w:rsidP="005B2DCE">
      <w:pPr>
        <w:pStyle w:val="a7"/>
        <w:tabs>
          <w:tab w:val="left" w:pos="1134"/>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bCs/>
          <w:sz w:val="26"/>
          <w:szCs w:val="26"/>
        </w:rPr>
        <w:t xml:space="preserve">На период до 2030 г. в </w:t>
      </w:r>
      <w:r w:rsidRPr="008E7BE6">
        <w:rPr>
          <w:rFonts w:ascii="Times New Roman" w:hAnsi="Times New Roman"/>
          <w:bCs/>
          <w:sz w:val="26"/>
          <w:szCs w:val="26"/>
        </w:rPr>
        <w:t>Ханты-Мансийском автономном округе</w:t>
      </w:r>
      <w:r w:rsidRPr="005B2DCE">
        <w:rPr>
          <w:rFonts w:ascii="Times New Roman" w:hAnsi="Times New Roman"/>
          <w:bCs/>
          <w:sz w:val="26"/>
          <w:szCs w:val="26"/>
        </w:rPr>
        <w:t xml:space="preserve"> -</w:t>
      </w:r>
      <w:r>
        <w:rPr>
          <w:rFonts w:ascii="Times New Roman" w:hAnsi="Times New Roman"/>
          <w:bCs/>
          <w:sz w:val="26"/>
          <w:szCs w:val="26"/>
        </w:rPr>
        <w:t xml:space="preserve"> </w:t>
      </w:r>
      <w:r w:rsidRPr="005B2DCE">
        <w:rPr>
          <w:rFonts w:ascii="Times New Roman" w:hAnsi="Times New Roman"/>
          <w:bCs/>
          <w:sz w:val="26"/>
          <w:szCs w:val="26"/>
        </w:rPr>
        <w:t>Югре прогнозируется суммарное потребление основных материалов, необходимых для строительства: щебня и гравия - около 400 млн куб. м, камня бутового - более 6,1 млн куб. м, строительного песка - около 340 млн куб. м и извести - более 1,5 млн т.</w:t>
      </w:r>
    </w:p>
    <w:p w:rsidR="004616EA" w:rsidRPr="005B2DCE" w:rsidRDefault="004616EA" w:rsidP="005B2DCE">
      <w:pPr>
        <w:pStyle w:val="ConsPlusNormal"/>
        <w:tabs>
          <w:tab w:val="left" w:pos="1134"/>
        </w:tabs>
        <w:ind w:firstLine="709"/>
        <w:jc w:val="both"/>
        <w:rPr>
          <w:rFonts w:ascii="Times New Roman" w:hAnsi="Times New Roman"/>
          <w:bCs/>
          <w:sz w:val="26"/>
          <w:szCs w:val="26"/>
        </w:rPr>
      </w:pPr>
      <w:r w:rsidRPr="005B2DCE">
        <w:rPr>
          <w:rFonts w:ascii="Times New Roman" w:hAnsi="Times New Roman"/>
          <w:bCs/>
          <w:sz w:val="26"/>
          <w:szCs w:val="26"/>
        </w:rPr>
        <w:t>Разведанные в автономном округе месторождения строительных и планировочных песков способны обеспечить строительную отрасль в этом виде сырья как на среднесрочный, так и на долгосрочный период. Потребность же в щебне и гравии из природного камня и песчано-гравийных смесей превышает возможности разведанных месторождений этих видов сырья на 55 - 60 млн куб. м.</w:t>
      </w:r>
    </w:p>
    <w:p w:rsidR="004616EA" w:rsidRPr="005B2DCE" w:rsidRDefault="004616EA" w:rsidP="005B2DCE">
      <w:pPr>
        <w:pStyle w:val="ConsPlusNormal"/>
        <w:tabs>
          <w:tab w:val="left" w:pos="1134"/>
        </w:tabs>
        <w:ind w:firstLine="709"/>
        <w:jc w:val="both"/>
        <w:rPr>
          <w:rFonts w:ascii="Times New Roman" w:hAnsi="Times New Roman"/>
          <w:bCs/>
          <w:sz w:val="26"/>
          <w:szCs w:val="26"/>
        </w:rPr>
      </w:pPr>
      <w:r w:rsidRPr="005B2DCE">
        <w:rPr>
          <w:rFonts w:ascii="Times New Roman" w:hAnsi="Times New Roman"/>
          <w:bCs/>
          <w:sz w:val="26"/>
          <w:szCs w:val="26"/>
        </w:rPr>
        <w:t>Также возможно создание условий для расширения производства теплоизоляционных материалов на основе торфяной базы Ханты-Мансийского автономного округа - Югры с использованием попутного нефтяного газа.</w:t>
      </w:r>
    </w:p>
    <w:p w:rsidR="004616EA" w:rsidRPr="005B2DCE" w:rsidRDefault="004616EA" w:rsidP="005B2DCE">
      <w:pPr>
        <w:pStyle w:val="ConsPlusNormal"/>
        <w:tabs>
          <w:tab w:val="left" w:pos="1134"/>
        </w:tabs>
        <w:ind w:firstLine="709"/>
        <w:jc w:val="both"/>
        <w:rPr>
          <w:rFonts w:ascii="Times New Roman" w:hAnsi="Times New Roman"/>
          <w:bCs/>
          <w:sz w:val="26"/>
          <w:szCs w:val="26"/>
        </w:rPr>
      </w:pPr>
      <w:r w:rsidRPr="005B2DCE">
        <w:rPr>
          <w:rFonts w:ascii="Times New Roman" w:hAnsi="Times New Roman"/>
          <w:bCs/>
          <w:sz w:val="26"/>
          <w:szCs w:val="26"/>
        </w:rPr>
        <w:t>Поэтому необходимо осуществление разведки, экспертной оценки месторождений полезных ископаемых, необходимых для организации собственных промышленных производств и оценки эффективности инвестиций по созданию предприятий строительной индустрии в Ханты-Мансийском автономном округе - Югре.</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Угрозы</w:t>
      </w:r>
    </w:p>
    <w:p w:rsidR="004616EA" w:rsidRPr="005B2DCE" w:rsidRDefault="004616EA" w:rsidP="005B2DCE">
      <w:pPr>
        <w:pStyle w:val="a7"/>
        <w:numPr>
          <w:ilvl w:val="0"/>
          <w:numId w:val="14"/>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Слабая профессиональная подготовка кадров для развития отрасли строительных материалов.</w:t>
      </w:r>
    </w:p>
    <w:p w:rsidR="004616EA" w:rsidRPr="005B2DCE" w:rsidRDefault="004616EA" w:rsidP="005B2DCE">
      <w:pPr>
        <w:pStyle w:val="a7"/>
        <w:numPr>
          <w:ilvl w:val="0"/>
          <w:numId w:val="14"/>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Рост тарифов на горюче-смазочные материалы (ГСМ), электроэнергию и коммунальное обслуживание.</w:t>
      </w:r>
    </w:p>
    <w:p w:rsidR="004616EA" w:rsidRPr="005B2DCE" w:rsidRDefault="004616EA" w:rsidP="005B2DCE">
      <w:pPr>
        <w:pStyle w:val="a7"/>
        <w:numPr>
          <w:ilvl w:val="0"/>
          <w:numId w:val="14"/>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 xml:space="preserve">Отсутствие инвесторов. </w:t>
      </w:r>
    </w:p>
    <w:p w:rsidR="004616EA" w:rsidRPr="005B2DCE" w:rsidRDefault="004616EA" w:rsidP="005B2DCE">
      <w:pPr>
        <w:tabs>
          <w:tab w:val="left" w:pos="1134"/>
        </w:tabs>
        <w:spacing w:after="0" w:line="240" w:lineRule="auto"/>
        <w:ind w:firstLine="709"/>
        <w:jc w:val="both"/>
        <w:rPr>
          <w:rFonts w:ascii="Times New Roman" w:hAnsi="Times New Roman"/>
          <w:sz w:val="26"/>
          <w:szCs w:val="26"/>
        </w:rPr>
      </w:pPr>
      <w:r w:rsidRPr="005B2DCE">
        <w:rPr>
          <w:rFonts w:ascii="Times New Roman" w:hAnsi="Times New Roman"/>
          <w:sz w:val="26"/>
          <w:szCs w:val="26"/>
          <w:lang w:eastAsia="ru-RU"/>
        </w:rPr>
        <w:t>Тем не менее, в Ханты-Мансийско</w:t>
      </w:r>
      <w:r w:rsidRPr="008E7BE6">
        <w:rPr>
          <w:rFonts w:ascii="Times New Roman" w:hAnsi="Times New Roman"/>
          <w:sz w:val="26"/>
          <w:szCs w:val="26"/>
          <w:lang w:eastAsia="ru-RU"/>
        </w:rPr>
        <w:t>м</w:t>
      </w:r>
      <w:r w:rsidRPr="005B2DCE">
        <w:rPr>
          <w:rFonts w:ascii="Times New Roman" w:hAnsi="Times New Roman"/>
          <w:sz w:val="26"/>
          <w:szCs w:val="26"/>
          <w:lang w:eastAsia="ru-RU"/>
        </w:rPr>
        <w:t xml:space="preserve"> автономно</w:t>
      </w:r>
      <w:r w:rsidRPr="008E7BE6">
        <w:rPr>
          <w:rFonts w:ascii="Times New Roman" w:hAnsi="Times New Roman"/>
          <w:sz w:val="26"/>
          <w:szCs w:val="26"/>
          <w:lang w:eastAsia="ru-RU"/>
        </w:rPr>
        <w:t>м</w:t>
      </w:r>
      <w:r w:rsidRPr="005B2DCE">
        <w:rPr>
          <w:rFonts w:ascii="Times New Roman" w:hAnsi="Times New Roman"/>
          <w:sz w:val="26"/>
          <w:szCs w:val="26"/>
          <w:lang w:eastAsia="ru-RU"/>
        </w:rPr>
        <w:t xml:space="preserve"> округ</w:t>
      </w:r>
      <w:r w:rsidRPr="008E7BE6">
        <w:rPr>
          <w:rFonts w:ascii="Times New Roman" w:hAnsi="Times New Roman"/>
          <w:sz w:val="26"/>
          <w:szCs w:val="26"/>
          <w:lang w:eastAsia="ru-RU"/>
        </w:rPr>
        <w:t>е</w:t>
      </w:r>
      <w:r w:rsidRPr="005B2DCE">
        <w:rPr>
          <w:rFonts w:ascii="Times New Roman" w:hAnsi="Times New Roman"/>
          <w:sz w:val="26"/>
          <w:szCs w:val="26"/>
          <w:lang w:eastAsia="ru-RU"/>
        </w:rPr>
        <w:t xml:space="preserve"> -</w:t>
      </w:r>
      <w:r>
        <w:rPr>
          <w:rFonts w:ascii="Times New Roman" w:hAnsi="Times New Roman"/>
          <w:sz w:val="26"/>
          <w:szCs w:val="26"/>
          <w:lang w:eastAsia="ru-RU"/>
        </w:rPr>
        <w:t xml:space="preserve"> </w:t>
      </w:r>
      <w:r w:rsidRPr="005B2DCE">
        <w:rPr>
          <w:rFonts w:ascii="Times New Roman" w:hAnsi="Times New Roman"/>
          <w:sz w:val="26"/>
          <w:szCs w:val="26"/>
          <w:lang w:eastAsia="ru-RU"/>
        </w:rPr>
        <w:t>Югре уже действует режим наибольшего благоприятствования для субъектов инвестиционной деятельности, реализующих инвестиционные проекты, в том</w:t>
      </w:r>
      <w:r w:rsidRPr="005B2DCE">
        <w:rPr>
          <w:rFonts w:ascii="Times New Roman" w:hAnsi="Times New Roman"/>
          <w:sz w:val="26"/>
          <w:szCs w:val="26"/>
        </w:rPr>
        <w:t xml:space="preserve"> числе и в промышленности строительных материалов. </w:t>
      </w:r>
    </w:p>
    <w:p w:rsidR="004616EA" w:rsidRPr="005B2DCE" w:rsidRDefault="004616EA" w:rsidP="005B2DCE">
      <w:pPr>
        <w:pStyle w:val="a7"/>
        <w:numPr>
          <w:ilvl w:val="0"/>
          <w:numId w:val="14"/>
        </w:numPr>
        <w:tabs>
          <w:tab w:val="left" w:pos="1134"/>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i/>
          <w:sz w:val="26"/>
          <w:szCs w:val="26"/>
        </w:rPr>
        <w:t>Наличие сильных конкурентов в отрасли строительных материалов</w:t>
      </w:r>
      <w:r w:rsidRPr="005B2DCE">
        <w:rPr>
          <w:rFonts w:ascii="Times New Roman" w:hAnsi="Times New Roman"/>
          <w:sz w:val="26"/>
          <w:szCs w:val="26"/>
        </w:rPr>
        <w:t xml:space="preserve">.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bCs/>
          <w:sz w:val="26"/>
          <w:szCs w:val="26"/>
        </w:rPr>
        <w:t xml:space="preserve">Предприятия промышленности строительных материалов на территории </w:t>
      </w:r>
      <w:r w:rsidRPr="005B2DCE">
        <w:rPr>
          <w:rFonts w:ascii="Times New Roman" w:hAnsi="Times New Roman"/>
          <w:sz w:val="26"/>
          <w:szCs w:val="26"/>
        </w:rPr>
        <w:t>Ханты-Мансийского автономного округа</w:t>
      </w:r>
      <w:r w:rsidRPr="005B2DCE">
        <w:rPr>
          <w:rFonts w:ascii="Times New Roman" w:hAnsi="Times New Roman"/>
          <w:bCs/>
          <w:sz w:val="26"/>
          <w:szCs w:val="26"/>
        </w:rPr>
        <w:t xml:space="preserve"> – Югры сосредоточены в таких центрах, как город Сургут, город Ханты-Мансийск, город Нижневартовск.</w:t>
      </w:r>
    </w:p>
    <w:p w:rsidR="004616EA" w:rsidRPr="005B2DCE" w:rsidRDefault="004616EA" w:rsidP="005B2DCE">
      <w:pPr>
        <w:pStyle w:val="3"/>
        <w:spacing w:line="240" w:lineRule="auto"/>
        <w:ind w:firstLine="709"/>
        <w:rPr>
          <w:sz w:val="26"/>
        </w:rPr>
      </w:pPr>
      <w:bookmarkStart w:id="107" w:name="_Toc405805507"/>
      <w:r w:rsidRPr="005B2DCE">
        <w:rPr>
          <w:sz w:val="26"/>
        </w:rPr>
        <w:t>3.1.2 Развитие территориальных производственных кластеров</w:t>
      </w:r>
      <w:bookmarkEnd w:id="107"/>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Исходя из всего вышеприведённого анализа, были сделаны выводы о наличии на территории городского округа город Когалым потенциала для создания микро-кластеров в нефтегазодобыче и строительном комплексе. Далее приводится подробный кластерный анализ.</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3.1.2.1 Нефтегазодобывающий микро-кластер</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Одним из наиболее важных экономических процессов в Ханты-Мансийском автономном округе</w:t>
      </w:r>
      <w:r>
        <w:rPr>
          <w:rFonts w:ascii="Times New Roman" w:hAnsi="Times New Roman"/>
          <w:sz w:val="26"/>
          <w:szCs w:val="26"/>
        </w:rPr>
        <w:t xml:space="preserve"> </w:t>
      </w:r>
      <w:r w:rsidRPr="005B2DCE">
        <w:rPr>
          <w:rFonts w:ascii="Times New Roman" w:hAnsi="Times New Roman"/>
          <w:sz w:val="26"/>
          <w:szCs w:val="26"/>
        </w:rPr>
        <w:t>-</w:t>
      </w:r>
      <w:r>
        <w:rPr>
          <w:rFonts w:ascii="Times New Roman" w:hAnsi="Times New Roman"/>
          <w:sz w:val="26"/>
          <w:szCs w:val="26"/>
        </w:rPr>
        <w:t xml:space="preserve"> </w:t>
      </w:r>
      <w:r w:rsidRPr="005B2DCE">
        <w:rPr>
          <w:rFonts w:ascii="Times New Roman" w:hAnsi="Times New Roman"/>
          <w:sz w:val="26"/>
          <w:szCs w:val="26"/>
        </w:rPr>
        <w:t>Югре является постепенная кластеризация нефтегазовой отрасли. Весь регион, в какой-то мере, можно рассматривать как нефтегазовый кластер, под которым понимается совокупность компаний, занятых в нефтегазодобыче и ее обслуживании, в том числе добывающие, нефтесервисные, транспортно-логистические предприятия, предприятия системы сбыта, поставщики комплектующих, ОКР и НИОКР, центры подготовки и переподготовки кадров и т. д.</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Системообразующими процессами кластеризации нефтегазовой отрасли автономного округа являются: </w:t>
      </w:r>
    </w:p>
    <w:p w:rsidR="004616EA" w:rsidRPr="005B2DCE" w:rsidRDefault="004616EA" w:rsidP="005B2DCE">
      <w:pPr>
        <w:pStyle w:val="a7"/>
        <w:numPr>
          <w:ilvl w:val="0"/>
          <w:numId w:val="15"/>
        </w:numPr>
        <w:tabs>
          <w:tab w:val="left" w:pos="0"/>
          <w:tab w:val="left" w:pos="1134"/>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разделение добывающего и обслуживающего секторов, автономизация рынка нефтегазосервисных услуг;</w:t>
      </w:r>
    </w:p>
    <w:p w:rsidR="004616EA" w:rsidRPr="005B2DCE" w:rsidRDefault="004616EA" w:rsidP="005B2DCE">
      <w:pPr>
        <w:pStyle w:val="a7"/>
        <w:numPr>
          <w:ilvl w:val="0"/>
          <w:numId w:val="15"/>
        </w:numPr>
        <w:tabs>
          <w:tab w:val="left" w:pos="0"/>
          <w:tab w:val="left" w:pos="1134"/>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 xml:space="preserve">вовлечение малого и среднего бизнеса в нефтегазодобывающую деятельность, в том числе в связи с усложнением условий добычи; </w:t>
      </w:r>
    </w:p>
    <w:p w:rsidR="004616EA" w:rsidRPr="005B2DCE" w:rsidRDefault="004616EA" w:rsidP="005B2DCE">
      <w:pPr>
        <w:pStyle w:val="a7"/>
        <w:numPr>
          <w:ilvl w:val="0"/>
          <w:numId w:val="15"/>
        </w:numPr>
        <w:tabs>
          <w:tab w:val="left" w:pos="0"/>
          <w:tab w:val="left" w:pos="1134"/>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увеличение спроса на научно-исследовательские работы.</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Таким образом, в регионе формируется мощный запрос на развитие различных направлений, участвующих в обслуживании процесса нефтегазодобычи. Муниципальные образования, сумевшие привлечь наибольшее количество элементов нефтегазового кластера, очевидно, получат новые функции в региональной системе разделения труда, приобретут уникальные экономические компетенции, что позволит им повысить качество экономического развития и снизить зависимость социальной стабильности от добычи сырья.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Одним из участников отраслевой кластеризации в региональном масштабе должен стать город Когалым, производственный и социальный потенциал которого способен трансформироваться в эффективные элементы кластера.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Далее проведем подробный анализ нефтегазодобывающего микро-кластера, который можно выделить на территории городского округа город Когалым. Для начала выявим компонентную линейку микро-кластера и определим кластерообразующее ядро - наиболее сильные из выявленных компонентов, взаимодействующие друг с другом. Компонентная линейка приведена в табличной форме и состоит из следующих компонентов: производство, обеспечение, обслуживание, потребление, исследования, экспорт и обучение (</w:t>
      </w:r>
      <w:r w:rsidR="001977F4">
        <w:fldChar w:fldCharType="begin"/>
      </w:r>
      <w:r w:rsidR="001977F4">
        <w:instrText xml:space="preserve"> REF _Ref397077369 \h  \* MERGEFORMAT </w:instrText>
      </w:r>
      <w:r w:rsidR="001977F4">
        <w:fldChar w:fldCharType="separate"/>
      </w:r>
      <w:r w:rsidR="001977F4" w:rsidRPr="005B2DCE">
        <w:rPr>
          <w:rFonts w:ascii="Times New Roman" w:hAnsi="Times New Roman"/>
          <w:sz w:val="26"/>
          <w:szCs w:val="26"/>
        </w:rPr>
        <w:t xml:space="preserve">Таблица </w:t>
      </w:r>
      <w:r w:rsidR="001977F4" w:rsidRPr="001977F4">
        <w:rPr>
          <w:rFonts w:ascii="Times New Roman" w:hAnsi="Times New Roman"/>
          <w:sz w:val="26"/>
          <w:szCs w:val="26"/>
        </w:rPr>
        <w:t>6</w:t>
      </w:r>
      <w:r w:rsidR="001977F4">
        <w:fldChar w:fldCharType="end"/>
      </w:r>
      <w:r w:rsidRPr="005B2DCE">
        <w:rPr>
          <w:rFonts w:ascii="Times New Roman" w:hAnsi="Times New Roman"/>
          <w:sz w:val="26"/>
          <w:szCs w:val="26"/>
        </w:rPr>
        <w:t>).</w:t>
      </w:r>
    </w:p>
    <w:p w:rsidR="004616EA" w:rsidRPr="005B2DCE" w:rsidRDefault="004616EA" w:rsidP="005B2DCE">
      <w:pPr>
        <w:pStyle w:val="af1"/>
        <w:keepNext/>
        <w:spacing w:after="0"/>
        <w:ind w:firstLine="709"/>
        <w:jc w:val="both"/>
        <w:rPr>
          <w:rFonts w:ascii="Times New Roman" w:hAnsi="Times New Roman"/>
          <w:b w:val="0"/>
          <w:color w:val="auto"/>
          <w:sz w:val="26"/>
          <w:szCs w:val="26"/>
        </w:rPr>
      </w:pPr>
      <w:bookmarkStart w:id="108" w:name="_Ref397077369"/>
      <w:bookmarkStart w:id="109" w:name="_Ref397077366"/>
      <w:r w:rsidRPr="005B2DCE">
        <w:rPr>
          <w:rFonts w:ascii="Times New Roman" w:hAnsi="Times New Roman"/>
          <w:b w:val="0"/>
          <w:color w:val="auto"/>
          <w:sz w:val="26"/>
          <w:szCs w:val="26"/>
        </w:rPr>
        <w:t xml:space="preserve">Таблица </w:t>
      </w:r>
      <w:r w:rsidRPr="005B2DCE">
        <w:rPr>
          <w:rFonts w:ascii="Times New Roman" w:hAnsi="Times New Roman"/>
          <w:b w:val="0"/>
          <w:color w:val="auto"/>
          <w:sz w:val="26"/>
          <w:szCs w:val="26"/>
        </w:rPr>
        <w:fldChar w:fldCharType="begin"/>
      </w:r>
      <w:r w:rsidRPr="005B2DCE">
        <w:rPr>
          <w:rFonts w:ascii="Times New Roman" w:hAnsi="Times New Roman"/>
          <w:b w:val="0"/>
          <w:color w:val="auto"/>
          <w:sz w:val="26"/>
          <w:szCs w:val="26"/>
        </w:rPr>
        <w:instrText xml:space="preserve"> SEQ Таблица \* ARABIC </w:instrText>
      </w:r>
      <w:r w:rsidRPr="005B2DCE">
        <w:rPr>
          <w:rFonts w:ascii="Times New Roman" w:hAnsi="Times New Roman"/>
          <w:b w:val="0"/>
          <w:color w:val="auto"/>
          <w:sz w:val="26"/>
          <w:szCs w:val="26"/>
        </w:rPr>
        <w:fldChar w:fldCharType="separate"/>
      </w:r>
      <w:r w:rsidR="001977F4">
        <w:rPr>
          <w:rFonts w:ascii="Times New Roman" w:hAnsi="Times New Roman"/>
          <w:b w:val="0"/>
          <w:noProof/>
          <w:color w:val="auto"/>
          <w:sz w:val="26"/>
          <w:szCs w:val="26"/>
        </w:rPr>
        <w:t>6</w:t>
      </w:r>
      <w:r w:rsidRPr="005B2DCE">
        <w:rPr>
          <w:rFonts w:ascii="Times New Roman" w:hAnsi="Times New Roman"/>
          <w:b w:val="0"/>
          <w:color w:val="auto"/>
          <w:sz w:val="26"/>
          <w:szCs w:val="26"/>
        </w:rPr>
        <w:fldChar w:fldCharType="end"/>
      </w:r>
      <w:bookmarkEnd w:id="108"/>
      <w:r w:rsidRPr="005B2DCE">
        <w:rPr>
          <w:rFonts w:ascii="Times New Roman" w:hAnsi="Times New Roman"/>
          <w:b w:val="0"/>
          <w:color w:val="auto"/>
          <w:sz w:val="26"/>
          <w:szCs w:val="26"/>
        </w:rPr>
        <w:t xml:space="preserve"> - Структура нефтегазодобывающего микро-кластера города Когалыма</w:t>
      </w:r>
      <w:bookmarkEnd w:id="109"/>
    </w:p>
    <w:tbl>
      <w:tblPr>
        <w:tblW w:w="9384" w:type="dxa"/>
        <w:jc w:val="center"/>
        <w:tblBorders>
          <w:top w:val="single" w:sz="4" w:space="0" w:color="auto"/>
          <w:left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52"/>
        <w:gridCol w:w="7432"/>
      </w:tblGrid>
      <w:tr w:rsidR="004616EA" w:rsidRPr="00475E67" w:rsidTr="00804E3C">
        <w:trPr>
          <w:tblHeader/>
          <w:jc w:val="center"/>
        </w:trPr>
        <w:tc>
          <w:tcPr>
            <w:tcW w:w="1952" w:type="dxa"/>
            <w:vAlign w:val="center"/>
          </w:tcPr>
          <w:p w:rsidR="004616EA" w:rsidRPr="00475E67" w:rsidRDefault="004616EA" w:rsidP="00804E3C">
            <w:pPr>
              <w:spacing w:after="0"/>
              <w:jc w:val="center"/>
              <w:rPr>
                <w:rFonts w:ascii="Times New Roman" w:hAnsi="Times New Roman"/>
                <w:b/>
                <w:sz w:val="20"/>
                <w:szCs w:val="20"/>
              </w:rPr>
            </w:pPr>
            <w:r w:rsidRPr="00475E67">
              <w:rPr>
                <w:rFonts w:ascii="Times New Roman" w:hAnsi="Times New Roman"/>
                <w:b/>
                <w:sz w:val="20"/>
                <w:szCs w:val="20"/>
              </w:rPr>
              <w:t>Наименование компонента</w:t>
            </w:r>
          </w:p>
        </w:tc>
        <w:tc>
          <w:tcPr>
            <w:tcW w:w="7432" w:type="dxa"/>
            <w:vAlign w:val="center"/>
          </w:tcPr>
          <w:p w:rsidR="004616EA" w:rsidRPr="00475E67" w:rsidRDefault="004616EA" w:rsidP="00804E3C">
            <w:pPr>
              <w:spacing w:after="0"/>
              <w:jc w:val="center"/>
              <w:rPr>
                <w:rFonts w:ascii="Times New Roman" w:hAnsi="Times New Roman"/>
                <w:b/>
                <w:sz w:val="20"/>
                <w:szCs w:val="20"/>
              </w:rPr>
            </w:pPr>
            <w:r w:rsidRPr="00475E67">
              <w:rPr>
                <w:rFonts w:ascii="Times New Roman" w:hAnsi="Times New Roman"/>
                <w:b/>
                <w:sz w:val="20"/>
                <w:szCs w:val="20"/>
              </w:rPr>
              <w:t>Организации, реализующие соответствующие виды деятельности</w:t>
            </w:r>
          </w:p>
        </w:tc>
      </w:tr>
      <w:tr w:rsidR="004616EA" w:rsidRPr="00475E67" w:rsidTr="00804E3C">
        <w:tblPrEx>
          <w:tblBorders>
            <w:bottom w:val="single" w:sz="4" w:space="0" w:color="auto"/>
          </w:tblBorders>
        </w:tblPrEx>
        <w:trPr>
          <w:trHeight w:val="20"/>
          <w:jc w:val="center"/>
        </w:trPr>
        <w:tc>
          <w:tcPr>
            <w:tcW w:w="1952" w:type="dxa"/>
          </w:tcPr>
          <w:p w:rsidR="004616EA" w:rsidRPr="00475E67" w:rsidRDefault="004616EA" w:rsidP="00804E3C">
            <w:pPr>
              <w:spacing w:after="0"/>
              <w:jc w:val="center"/>
              <w:rPr>
                <w:rFonts w:ascii="Times New Roman" w:hAnsi="Times New Roman"/>
                <w:sz w:val="20"/>
                <w:szCs w:val="20"/>
              </w:rPr>
            </w:pPr>
            <w:r w:rsidRPr="00475E67">
              <w:rPr>
                <w:rFonts w:ascii="Times New Roman" w:hAnsi="Times New Roman"/>
                <w:sz w:val="20"/>
                <w:szCs w:val="20"/>
              </w:rPr>
              <w:t>К1 Производство</w:t>
            </w:r>
          </w:p>
        </w:tc>
        <w:tc>
          <w:tcPr>
            <w:tcW w:w="7432" w:type="dxa"/>
            <w:vAlign w:val="center"/>
          </w:tcPr>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«ЛУКОЙЛ-Западная Сибирь»;</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ТПП "Когалымнефтегаз" ООО "ЛУКОЙЛ-Западная Сибирь";</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ТПП "Повхнефтегаз" ООО "ЛУКОЙЛ-Западная Сибирь";</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ЗАО "ЛУКОЙЛ-АИК"</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ФИЛИАЛ "ВАТОЙЛ" ЗАО "ЛУКОЙЛ-ПЕРМЬ"</w:t>
            </w:r>
          </w:p>
        </w:tc>
      </w:tr>
      <w:tr w:rsidR="004616EA" w:rsidRPr="00475E67" w:rsidTr="00804E3C">
        <w:tblPrEx>
          <w:tblBorders>
            <w:bottom w:val="single" w:sz="4" w:space="0" w:color="auto"/>
          </w:tblBorders>
        </w:tblPrEx>
        <w:trPr>
          <w:jc w:val="center"/>
        </w:trPr>
        <w:tc>
          <w:tcPr>
            <w:tcW w:w="1952" w:type="dxa"/>
          </w:tcPr>
          <w:p w:rsidR="004616EA" w:rsidRPr="00475E67" w:rsidRDefault="004616EA" w:rsidP="00804E3C">
            <w:pPr>
              <w:spacing w:after="0"/>
              <w:rPr>
                <w:rFonts w:ascii="Times New Roman" w:hAnsi="Times New Roman"/>
                <w:sz w:val="20"/>
                <w:szCs w:val="20"/>
              </w:rPr>
            </w:pPr>
            <w:r w:rsidRPr="00475E67">
              <w:rPr>
                <w:rFonts w:ascii="Times New Roman" w:hAnsi="Times New Roman"/>
                <w:sz w:val="20"/>
                <w:szCs w:val="20"/>
              </w:rPr>
              <w:t>К2 Обеспечение</w:t>
            </w:r>
          </w:p>
        </w:tc>
        <w:tc>
          <w:tcPr>
            <w:tcW w:w="7432" w:type="dxa"/>
            <w:vAlign w:val="center"/>
          </w:tcPr>
          <w:p w:rsidR="004616EA" w:rsidRPr="00475E67" w:rsidRDefault="004616EA" w:rsidP="00804E3C">
            <w:pPr>
              <w:tabs>
                <w:tab w:val="left" w:pos="1199"/>
              </w:tabs>
              <w:spacing w:after="0" w:line="240" w:lineRule="auto"/>
              <w:jc w:val="both"/>
              <w:rPr>
                <w:rFonts w:ascii="Times New Roman" w:hAnsi="Times New Roman"/>
                <w:sz w:val="20"/>
                <w:szCs w:val="20"/>
              </w:rPr>
            </w:pPr>
            <w:r w:rsidRPr="00475E67">
              <w:rPr>
                <w:rFonts w:ascii="Times New Roman" w:hAnsi="Times New Roman"/>
                <w:sz w:val="20"/>
                <w:szCs w:val="20"/>
              </w:rPr>
              <w:t>-</w:t>
            </w:r>
          </w:p>
        </w:tc>
      </w:tr>
      <w:tr w:rsidR="004616EA" w:rsidRPr="00475E67" w:rsidTr="00804E3C">
        <w:tblPrEx>
          <w:tblBorders>
            <w:bottom w:val="single" w:sz="4" w:space="0" w:color="auto"/>
          </w:tblBorders>
        </w:tblPrEx>
        <w:trPr>
          <w:jc w:val="center"/>
        </w:trPr>
        <w:tc>
          <w:tcPr>
            <w:tcW w:w="1952" w:type="dxa"/>
          </w:tcPr>
          <w:p w:rsidR="004616EA" w:rsidRPr="00475E67" w:rsidRDefault="004616EA" w:rsidP="00804E3C">
            <w:pPr>
              <w:spacing w:after="0"/>
              <w:jc w:val="center"/>
              <w:rPr>
                <w:rFonts w:ascii="Times New Roman" w:hAnsi="Times New Roman"/>
                <w:sz w:val="20"/>
                <w:szCs w:val="20"/>
              </w:rPr>
            </w:pPr>
            <w:r w:rsidRPr="00475E67">
              <w:rPr>
                <w:rFonts w:ascii="Times New Roman" w:hAnsi="Times New Roman"/>
                <w:sz w:val="20"/>
                <w:szCs w:val="20"/>
              </w:rPr>
              <w:t>К3 Обслуживание</w:t>
            </w:r>
          </w:p>
        </w:tc>
        <w:tc>
          <w:tcPr>
            <w:tcW w:w="7432" w:type="dxa"/>
            <w:vAlign w:val="center"/>
          </w:tcPr>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Организации по производству специального оборудования, по ремонту и сервисному обслуживанию нефтегазодобывающего оборудования и техники, нефтесервисные компании:</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ЗАО "ЛУКОЙЛ-АИК"</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"БВС Евразия"</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"КАТКонефть"</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"БПО Сервис"</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"ВМУ"</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Когалымский филиал ООО "Буровая компания "Евразия"</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Когалымский Филиал ООО "Инновационная Сервисная Компания "ПетроИнжиниринг"</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"СЕРВИС-МЕНЕДЖМЕНТ"</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"РосТрансСтрой"</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"ЛУКОЙЛ ЭПУ Сервис"</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ЗАПАДНО-СИБИРСКИЙ ФИЛИАЛ ООО "НОВЫЙ ТЕХНОЛОГИЧЕСКИЙ СЕРВИС"</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"ТЕХНОЛОГИЧЕСКИЙ ТРАНСПОРТ"</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КОГАЛЫМСКИЙ ФИЛИАЛ ООО "СГК-БУРЕНИЕ"</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"АРГОС"</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Филиал ОАО "Ойл Технолоджи Оверсиз"</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"Когалым нефтепромысловое оборудование-Сервис"</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"Центр научно-исследовательских и производственных работ"</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"Буровые гидромашины-Сервис"</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"Югра-Сервис-Транс"</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"Компания по ремонту скважин "Евразия"</w:t>
            </w:r>
          </w:p>
          <w:p w:rsidR="004616EA" w:rsidRPr="00475E67" w:rsidRDefault="004616EA" w:rsidP="00804E3C">
            <w:pPr>
              <w:spacing w:after="0"/>
              <w:jc w:val="both"/>
              <w:rPr>
                <w:rFonts w:ascii="Times New Roman" w:hAnsi="Times New Roman"/>
                <w:b/>
                <w:sz w:val="20"/>
                <w:szCs w:val="20"/>
              </w:rPr>
            </w:pPr>
            <w:r w:rsidRPr="00475E67">
              <w:rPr>
                <w:rFonts w:ascii="Times New Roman" w:hAnsi="Times New Roman"/>
                <w:sz w:val="20"/>
                <w:szCs w:val="20"/>
              </w:rPr>
              <w:t>ООО "Азимут ИТС"</w:t>
            </w:r>
          </w:p>
        </w:tc>
      </w:tr>
      <w:tr w:rsidR="004616EA" w:rsidRPr="00475E67" w:rsidTr="00804E3C">
        <w:tblPrEx>
          <w:tblBorders>
            <w:bottom w:val="single" w:sz="4" w:space="0" w:color="auto"/>
          </w:tblBorders>
        </w:tblPrEx>
        <w:trPr>
          <w:jc w:val="center"/>
        </w:trPr>
        <w:tc>
          <w:tcPr>
            <w:tcW w:w="1952" w:type="dxa"/>
          </w:tcPr>
          <w:p w:rsidR="004616EA" w:rsidRPr="00475E67" w:rsidRDefault="004616EA" w:rsidP="00804E3C">
            <w:pPr>
              <w:spacing w:after="0"/>
              <w:jc w:val="center"/>
              <w:rPr>
                <w:rFonts w:ascii="Times New Roman" w:hAnsi="Times New Roman"/>
                <w:sz w:val="20"/>
                <w:szCs w:val="20"/>
              </w:rPr>
            </w:pPr>
            <w:r w:rsidRPr="00475E67">
              <w:rPr>
                <w:rFonts w:ascii="Times New Roman" w:hAnsi="Times New Roman"/>
                <w:sz w:val="20"/>
                <w:szCs w:val="20"/>
              </w:rPr>
              <w:t>К4 Потребление</w:t>
            </w:r>
          </w:p>
        </w:tc>
        <w:tc>
          <w:tcPr>
            <w:tcW w:w="7432" w:type="dxa"/>
            <w:vAlign w:val="center"/>
          </w:tcPr>
          <w:p w:rsidR="004616EA" w:rsidRPr="00475E67" w:rsidRDefault="004616EA" w:rsidP="005F35A6">
            <w:pPr>
              <w:numPr>
                <w:ilvl w:val="0"/>
                <w:numId w:val="22"/>
              </w:numPr>
              <w:spacing w:after="0" w:line="240" w:lineRule="auto"/>
              <w:ind w:left="133" w:firstLine="0"/>
              <w:jc w:val="both"/>
              <w:rPr>
                <w:rFonts w:ascii="Times New Roman" w:hAnsi="Times New Roman"/>
                <w:sz w:val="20"/>
                <w:szCs w:val="20"/>
              </w:rPr>
            </w:pPr>
            <w:r w:rsidRPr="00475E67">
              <w:rPr>
                <w:rFonts w:ascii="Times New Roman" w:hAnsi="Times New Roman"/>
                <w:sz w:val="20"/>
                <w:szCs w:val="20"/>
              </w:rPr>
              <w:t xml:space="preserve">Нефтегазодобывающие компании: </w:t>
            </w:r>
          </w:p>
          <w:p w:rsidR="004616EA" w:rsidRPr="00475E67" w:rsidRDefault="004616EA" w:rsidP="00804E3C">
            <w:pPr>
              <w:spacing w:after="0"/>
              <w:ind w:left="133"/>
              <w:jc w:val="both"/>
              <w:rPr>
                <w:rFonts w:ascii="Times New Roman" w:hAnsi="Times New Roman"/>
                <w:b/>
                <w:sz w:val="20"/>
                <w:szCs w:val="20"/>
              </w:rPr>
            </w:pPr>
            <w:r w:rsidRPr="00475E67">
              <w:rPr>
                <w:rFonts w:ascii="Times New Roman" w:hAnsi="Times New Roman"/>
                <w:sz w:val="20"/>
                <w:szCs w:val="20"/>
              </w:rPr>
              <w:t>ОАО «НК «ЛУКойл»</w:t>
            </w:r>
          </w:p>
          <w:p w:rsidR="004616EA" w:rsidRPr="00475E67" w:rsidRDefault="004616EA" w:rsidP="005F35A6">
            <w:pPr>
              <w:numPr>
                <w:ilvl w:val="0"/>
                <w:numId w:val="22"/>
              </w:numPr>
              <w:spacing w:after="0" w:line="240" w:lineRule="auto"/>
              <w:ind w:left="133" w:firstLine="0"/>
              <w:jc w:val="both"/>
              <w:rPr>
                <w:rFonts w:ascii="Times New Roman" w:hAnsi="Times New Roman"/>
                <w:sz w:val="20"/>
                <w:szCs w:val="20"/>
              </w:rPr>
            </w:pPr>
            <w:r w:rsidRPr="00475E67">
              <w:rPr>
                <w:rFonts w:ascii="Times New Roman" w:hAnsi="Times New Roman"/>
                <w:sz w:val="20"/>
                <w:szCs w:val="20"/>
              </w:rPr>
              <w:t xml:space="preserve">Нефтегазоперерабатывающие предприятия: </w:t>
            </w:r>
          </w:p>
          <w:p w:rsidR="004616EA" w:rsidRPr="00475E67" w:rsidRDefault="004616EA" w:rsidP="00804E3C">
            <w:pPr>
              <w:spacing w:after="0"/>
              <w:ind w:left="133"/>
              <w:jc w:val="both"/>
              <w:rPr>
                <w:rFonts w:ascii="Times New Roman" w:hAnsi="Times New Roman"/>
                <w:sz w:val="20"/>
                <w:szCs w:val="20"/>
              </w:rPr>
            </w:pPr>
            <w:r w:rsidRPr="00475E67">
              <w:rPr>
                <w:rFonts w:ascii="Times New Roman" w:hAnsi="Times New Roman"/>
                <w:sz w:val="20"/>
                <w:szCs w:val="20"/>
              </w:rPr>
              <w:t>ТПП "Когалымнефтегаз" ООО "ЛУКОЙЛ-Западная Сибирь"</w:t>
            </w:r>
          </w:p>
          <w:p w:rsidR="004616EA" w:rsidRPr="00475E67" w:rsidRDefault="004616EA" w:rsidP="00E30F0B">
            <w:pPr>
              <w:numPr>
                <w:ilvl w:val="0"/>
                <w:numId w:val="22"/>
              </w:numPr>
              <w:spacing w:after="0" w:line="240" w:lineRule="auto"/>
              <w:jc w:val="both"/>
              <w:rPr>
                <w:rFonts w:ascii="Times New Roman" w:hAnsi="Times New Roman"/>
                <w:b/>
                <w:sz w:val="20"/>
                <w:szCs w:val="20"/>
              </w:rPr>
            </w:pPr>
            <w:r w:rsidRPr="00475E67">
              <w:rPr>
                <w:rFonts w:ascii="Times New Roman" w:hAnsi="Times New Roman"/>
                <w:sz w:val="20"/>
                <w:szCs w:val="20"/>
              </w:rPr>
              <w:t xml:space="preserve">Внешние потребители: другие муниципальные образования в </w:t>
            </w:r>
            <w:r w:rsidRPr="00E30F0B">
              <w:rPr>
                <w:rFonts w:ascii="Times New Roman" w:hAnsi="Times New Roman"/>
                <w:sz w:val="20"/>
                <w:szCs w:val="20"/>
              </w:rPr>
              <w:t xml:space="preserve">Ханты-Мансийском автономном округе </w:t>
            </w:r>
            <w:r w:rsidRPr="00475E67">
              <w:rPr>
                <w:rFonts w:ascii="Times New Roman" w:hAnsi="Times New Roman"/>
                <w:sz w:val="20"/>
                <w:szCs w:val="20"/>
              </w:rPr>
              <w:t>-</w:t>
            </w:r>
            <w:r>
              <w:rPr>
                <w:rFonts w:ascii="Times New Roman" w:hAnsi="Times New Roman"/>
                <w:sz w:val="20"/>
                <w:szCs w:val="20"/>
              </w:rPr>
              <w:t xml:space="preserve"> </w:t>
            </w:r>
            <w:r w:rsidRPr="00475E67">
              <w:rPr>
                <w:rFonts w:ascii="Times New Roman" w:hAnsi="Times New Roman"/>
                <w:sz w:val="20"/>
                <w:szCs w:val="20"/>
              </w:rPr>
              <w:t>Югре, соседние регионы, заграница.</w:t>
            </w:r>
          </w:p>
        </w:tc>
      </w:tr>
      <w:tr w:rsidR="004616EA" w:rsidRPr="00475E67" w:rsidTr="00804E3C">
        <w:tblPrEx>
          <w:tblBorders>
            <w:bottom w:val="single" w:sz="4" w:space="0" w:color="auto"/>
          </w:tblBorders>
        </w:tblPrEx>
        <w:trPr>
          <w:trHeight w:val="631"/>
          <w:jc w:val="center"/>
        </w:trPr>
        <w:tc>
          <w:tcPr>
            <w:tcW w:w="1952" w:type="dxa"/>
          </w:tcPr>
          <w:p w:rsidR="004616EA" w:rsidRPr="00475E67" w:rsidRDefault="004616EA" w:rsidP="00804E3C">
            <w:pPr>
              <w:spacing w:after="0"/>
              <w:jc w:val="center"/>
              <w:rPr>
                <w:rFonts w:ascii="Times New Roman" w:hAnsi="Times New Roman"/>
                <w:sz w:val="20"/>
                <w:szCs w:val="20"/>
              </w:rPr>
            </w:pPr>
            <w:r w:rsidRPr="00475E67">
              <w:rPr>
                <w:rFonts w:ascii="Times New Roman" w:hAnsi="Times New Roman"/>
                <w:sz w:val="20"/>
                <w:szCs w:val="20"/>
              </w:rPr>
              <w:t>К5 Исследования</w:t>
            </w:r>
          </w:p>
        </w:tc>
        <w:tc>
          <w:tcPr>
            <w:tcW w:w="7432" w:type="dxa"/>
            <w:vAlign w:val="center"/>
          </w:tcPr>
          <w:p w:rsidR="004616EA" w:rsidRPr="00475E67" w:rsidRDefault="004616EA" w:rsidP="00804E3C">
            <w:pPr>
              <w:spacing w:after="0" w:line="240" w:lineRule="auto"/>
              <w:jc w:val="both"/>
              <w:rPr>
                <w:rFonts w:ascii="Times New Roman" w:hAnsi="Times New Roman"/>
                <w:sz w:val="20"/>
                <w:szCs w:val="20"/>
                <w:u w:val="single"/>
              </w:rPr>
            </w:pPr>
            <w:r w:rsidRPr="00475E67">
              <w:rPr>
                <w:rFonts w:ascii="Times New Roman" w:hAnsi="Times New Roman"/>
                <w:sz w:val="20"/>
                <w:szCs w:val="20"/>
                <w:u w:val="single"/>
              </w:rPr>
              <w:t>Научно-производственные центры:</w:t>
            </w:r>
          </w:p>
          <w:p w:rsidR="004616EA" w:rsidRPr="00475E67" w:rsidRDefault="004616EA" w:rsidP="00804E3C">
            <w:pPr>
              <w:spacing w:after="0"/>
              <w:contextualSpacing/>
              <w:jc w:val="both"/>
              <w:rPr>
                <w:rFonts w:ascii="Times New Roman" w:hAnsi="Times New Roman"/>
                <w:sz w:val="20"/>
                <w:szCs w:val="20"/>
              </w:rPr>
            </w:pPr>
            <w:r w:rsidRPr="00475E67">
              <w:rPr>
                <w:rFonts w:ascii="Times New Roman" w:hAnsi="Times New Roman"/>
                <w:sz w:val="20"/>
                <w:szCs w:val="20"/>
              </w:rPr>
              <w:t xml:space="preserve">ООО «КогалымНИПИнефть», </w:t>
            </w:r>
          </w:p>
          <w:p w:rsidR="004616EA" w:rsidRPr="00475E67" w:rsidRDefault="004616EA" w:rsidP="00804E3C">
            <w:pPr>
              <w:spacing w:after="0"/>
              <w:contextualSpacing/>
              <w:jc w:val="both"/>
              <w:rPr>
                <w:rFonts w:ascii="Times New Roman" w:hAnsi="Times New Roman"/>
                <w:sz w:val="20"/>
                <w:szCs w:val="20"/>
              </w:rPr>
            </w:pPr>
            <w:r w:rsidRPr="00475E67">
              <w:rPr>
                <w:rFonts w:ascii="Times New Roman" w:hAnsi="Times New Roman"/>
                <w:sz w:val="20"/>
                <w:szCs w:val="20"/>
              </w:rPr>
              <w:t xml:space="preserve">ООО "Лаборатория Буровых Гидромашин", </w:t>
            </w:r>
          </w:p>
          <w:p w:rsidR="004616EA" w:rsidRPr="00475E67" w:rsidRDefault="004616EA" w:rsidP="00804E3C">
            <w:pPr>
              <w:spacing w:after="0"/>
              <w:contextualSpacing/>
              <w:jc w:val="both"/>
              <w:rPr>
                <w:rFonts w:ascii="Times New Roman" w:hAnsi="Times New Roman"/>
                <w:sz w:val="20"/>
                <w:szCs w:val="20"/>
              </w:rPr>
            </w:pPr>
            <w:r w:rsidRPr="00475E67">
              <w:rPr>
                <w:rFonts w:ascii="Times New Roman" w:hAnsi="Times New Roman"/>
                <w:sz w:val="20"/>
                <w:szCs w:val="20"/>
              </w:rPr>
              <w:t xml:space="preserve">Индивидуальное частное научно-внедренческое предприятие "ПОЛИНЕФТЬ", </w:t>
            </w:r>
          </w:p>
          <w:p w:rsidR="004616EA" w:rsidRPr="00475E67" w:rsidRDefault="004616EA" w:rsidP="00804E3C">
            <w:pPr>
              <w:spacing w:after="0"/>
              <w:contextualSpacing/>
              <w:jc w:val="both"/>
              <w:rPr>
                <w:rFonts w:ascii="Times New Roman" w:hAnsi="Times New Roman"/>
                <w:sz w:val="20"/>
                <w:szCs w:val="20"/>
              </w:rPr>
            </w:pPr>
            <w:r w:rsidRPr="00475E67">
              <w:rPr>
                <w:rFonts w:ascii="Times New Roman" w:hAnsi="Times New Roman"/>
                <w:sz w:val="20"/>
                <w:szCs w:val="20"/>
              </w:rPr>
              <w:t xml:space="preserve">Товарищество с ограниченной ответственностью МНВП "НИРНЕФТЬ", </w:t>
            </w:r>
          </w:p>
          <w:p w:rsidR="004616EA" w:rsidRPr="00475E67" w:rsidRDefault="004616EA" w:rsidP="00804E3C">
            <w:pPr>
              <w:spacing w:after="0"/>
              <w:contextualSpacing/>
              <w:jc w:val="both"/>
              <w:rPr>
                <w:rFonts w:ascii="Times New Roman" w:hAnsi="Times New Roman"/>
                <w:sz w:val="20"/>
                <w:szCs w:val="20"/>
              </w:rPr>
            </w:pPr>
            <w:r w:rsidRPr="00475E67">
              <w:rPr>
                <w:rFonts w:ascii="Times New Roman" w:hAnsi="Times New Roman"/>
                <w:sz w:val="20"/>
                <w:szCs w:val="20"/>
              </w:rPr>
              <w:t>Филиал открытого акционерного общества "Пермнипинефть"</w:t>
            </w:r>
          </w:p>
        </w:tc>
      </w:tr>
      <w:tr w:rsidR="004616EA" w:rsidRPr="00475E67" w:rsidTr="00804E3C">
        <w:tblPrEx>
          <w:tblBorders>
            <w:bottom w:val="single" w:sz="4" w:space="0" w:color="auto"/>
          </w:tblBorders>
        </w:tblPrEx>
        <w:trPr>
          <w:jc w:val="center"/>
        </w:trPr>
        <w:tc>
          <w:tcPr>
            <w:tcW w:w="1952" w:type="dxa"/>
          </w:tcPr>
          <w:p w:rsidR="004616EA" w:rsidRPr="00475E67" w:rsidRDefault="004616EA" w:rsidP="00804E3C">
            <w:pPr>
              <w:spacing w:after="0"/>
              <w:jc w:val="center"/>
              <w:rPr>
                <w:rFonts w:ascii="Times New Roman" w:hAnsi="Times New Roman"/>
                <w:sz w:val="20"/>
                <w:szCs w:val="20"/>
              </w:rPr>
            </w:pPr>
            <w:r w:rsidRPr="00475E67">
              <w:rPr>
                <w:rFonts w:ascii="Times New Roman" w:hAnsi="Times New Roman"/>
                <w:sz w:val="20"/>
                <w:szCs w:val="20"/>
              </w:rPr>
              <w:t>К6 Экспорт</w:t>
            </w:r>
          </w:p>
        </w:tc>
        <w:tc>
          <w:tcPr>
            <w:tcW w:w="7432" w:type="dxa"/>
            <w:vAlign w:val="center"/>
          </w:tcPr>
          <w:p w:rsidR="004616EA" w:rsidRPr="00475E67" w:rsidRDefault="004616EA" w:rsidP="00804E3C">
            <w:pPr>
              <w:spacing w:after="0"/>
              <w:jc w:val="both"/>
              <w:rPr>
                <w:rFonts w:ascii="Times New Roman" w:hAnsi="Times New Roman"/>
                <w:sz w:val="20"/>
                <w:szCs w:val="20"/>
              </w:rPr>
            </w:pPr>
            <w:r w:rsidRPr="00475E67">
              <w:rPr>
                <w:rFonts w:ascii="Times New Roman" w:hAnsi="Times New Roman"/>
                <w:iCs/>
                <w:sz w:val="20"/>
                <w:szCs w:val="20"/>
              </w:rPr>
              <w:t>-</w:t>
            </w:r>
          </w:p>
        </w:tc>
      </w:tr>
      <w:tr w:rsidR="004616EA" w:rsidRPr="00475E67" w:rsidTr="00804E3C">
        <w:tblPrEx>
          <w:tblBorders>
            <w:bottom w:val="single" w:sz="4" w:space="0" w:color="auto"/>
          </w:tblBorders>
        </w:tblPrEx>
        <w:trPr>
          <w:jc w:val="center"/>
        </w:trPr>
        <w:tc>
          <w:tcPr>
            <w:tcW w:w="1952" w:type="dxa"/>
          </w:tcPr>
          <w:p w:rsidR="004616EA" w:rsidRPr="00475E67" w:rsidRDefault="004616EA" w:rsidP="00804E3C">
            <w:pPr>
              <w:spacing w:after="0"/>
              <w:jc w:val="center"/>
              <w:rPr>
                <w:rFonts w:ascii="Times New Roman" w:hAnsi="Times New Roman"/>
                <w:sz w:val="20"/>
                <w:szCs w:val="20"/>
              </w:rPr>
            </w:pPr>
            <w:r w:rsidRPr="00475E67">
              <w:rPr>
                <w:rFonts w:ascii="Times New Roman" w:hAnsi="Times New Roman"/>
                <w:sz w:val="20"/>
                <w:szCs w:val="20"/>
              </w:rPr>
              <w:t>К7 Обучение</w:t>
            </w:r>
          </w:p>
        </w:tc>
        <w:tc>
          <w:tcPr>
            <w:tcW w:w="7432" w:type="dxa"/>
            <w:vAlign w:val="center"/>
          </w:tcPr>
          <w:p w:rsidR="004616EA" w:rsidRPr="00475E67" w:rsidRDefault="004616EA" w:rsidP="00804E3C">
            <w:pPr>
              <w:tabs>
                <w:tab w:val="left" w:pos="525"/>
              </w:tabs>
              <w:spacing w:after="0"/>
              <w:jc w:val="both"/>
              <w:rPr>
                <w:rFonts w:ascii="Times New Roman" w:hAnsi="Times New Roman"/>
                <w:b/>
                <w:sz w:val="20"/>
                <w:szCs w:val="20"/>
              </w:rPr>
            </w:pPr>
            <w:r w:rsidRPr="00475E67">
              <w:rPr>
                <w:rFonts w:ascii="Times New Roman" w:hAnsi="Times New Roman"/>
                <w:sz w:val="20"/>
                <w:szCs w:val="20"/>
              </w:rPr>
              <w:t>филиал ГОУ ВПО «Тюменский государственный нефтегазовый университет»</w:t>
            </w:r>
          </w:p>
        </w:tc>
      </w:tr>
    </w:tbl>
    <w:p w:rsidR="004616EA" w:rsidRPr="005B2DCE" w:rsidRDefault="004616EA" w:rsidP="005B2DCE">
      <w:pPr>
        <w:spacing w:after="0" w:line="240" w:lineRule="auto"/>
        <w:ind w:firstLine="709"/>
        <w:jc w:val="both"/>
        <w:rPr>
          <w:rFonts w:ascii="Times New Roman" w:hAnsi="Times New Roman"/>
          <w:sz w:val="26"/>
          <w:szCs w:val="26"/>
        </w:rPr>
      </w:pP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Таким, образом, в нефтегазодобывающем микро-кластере города Когалыма выделено ядро из компонентов «Производство» и «Обслуживание».</w:t>
      </w:r>
    </w:p>
    <w:p w:rsidR="004616EA" w:rsidRPr="005B2DCE" w:rsidRDefault="004616EA" w:rsidP="005B2DCE">
      <w:pPr>
        <w:spacing w:after="0" w:line="240" w:lineRule="auto"/>
        <w:ind w:firstLine="709"/>
        <w:jc w:val="both"/>
        <w:rPr>
          <w:rFonts w:ascii="Times New Roman" w:hAnsi="Times New Roman"/>
          <w:sz w:val="26"/>
          <w:szCs w:val="26"/>
        </w:rPr>
      </w:pP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Далее выявляем тип межкомпонентного противоречия в ядре типа «Производство – Обслуживание». Оба компонента стимулируют развитие друг друга («Обслуживание» поддерживает «Производство», а «Производство» в свою очередь создает дополнительный спрос на услуги и продукцию компаний компонента «Обслуживание»).</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Необходимо отметить, что указанные предприятия нефтегазодобывающего комплекса сконцентрированы на одной территории – городской округ город Когалым, что дополнительно стимулирует развитие микро-кластера по территориальному аспекту.</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Далее проводится диагностика структурной полноты: выявление наличия/отсутствия кластерных компонентов в значимых кластерах. В нефтегазодобывающем микро-кластере отсутствуют компоненты «Обеспечение» и «Экспорт». Остальные – в наличии. Соответственно, данный микро-кластер можно отнести к типу сложившихся микро-кластеров.</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Затем проводится диагностика типа нефтегазодобывающего микро-кластера, т.е. выявление места в генетической типологии (</w:t>
      </w:r>
      <w:r w:rsidR="001977F4">
        <w:fldChar w:fldCharType="begin"/>
      </w:r>
      <w:r w:rsidR="001977F4">
        <w:instrText xml:space="preserve"> REF _Ref397077479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38</w:t>
      </w:r>
      <w:r w:rsidR="001977F4">
        <w:fldChar w:fldCharType="end"/>
      </w:r>
      <w:r w:rsidRPr="005B2DCE">
        <w:rPr>
          <w:rFonts w:ascii="Times New Roman" w:hAnsi="Times New Roman"/>
          <w:sz w:val="26"/>
          <w:szCs w:val="26"/>
        </w:rPr>
        <w:t>).</w:t>
      </w:r>
    </w:p>
    <w:p w:rsidR="004616EA" w:rsidRPr="005B2DCE" w:rsidRDefault="004616EA" w:rsidP="005B2DCE">
      <w:pPr>
        <w:spacing w:after="0" w:line="240" w:lineRule="auto"/>
        <w:ind w:firstLine="709"/>
        <w:jc w:val="both"/>
        <w:rPr>
          <w:rFonts w:ascii="Times New Roman" w:hAnsi="Times New Roman"/>
          <w:sz w:val="26"/>
          <w:szCs w:val="26"/>
        </w:rPr>
      </w:pPr>
    </w:p>
    <w:tbl>
      <w:tblPr>
        <w:tblW w:w="5000" w:type="pct"/>
        <w:jc w:val="center"/>
        <w:tblCellMar>
          <w:left w:w="28" w:type="dxa"/>
          <w:right w:w="28" w:type="dxa"/>
        </w:tblCellMar>
        <w:tblLook w:val="0000" w:firstRow="0" w:lastRow="0" w:firstColumn="0" w:lastColumn="0" w:noHBand="0" w:noVBand="0"/>
      </w:tblPr>
      <w:tblGrid>
        <w:gridCol w:w="1221"/>
        <w:gridCol w:w="1222"/>
        <w:gridCol w:w="1280"/>
        <w:gridCol w:w="1280"/>
        <w:gridCol w:w="1280"/>
        <w:gridCol w:w="1280"/>
        <w:gridCol w:w="1280"/>
      </w:tblGrid>
      <w:tr w:rsidR="004616EA" w:rsidRPr="00475E67" w:rsidTr="005B2DCE">
        <w:trPr>
          <w:cantSplit/>
          <w:jc w:val="center"/>
        </w:trPr>
        <w:tc>
          <w:tcPr>
            <w:tcW w:w="691" w:type="pct"/>
          </w:tcPr>
          <w:p w:rsidR="004616EA" w:rsidRPr="00475E67" w:rsidRDefault="004616EA" w:rsidP="00804E3C">
            <w:pPr>
              <w:spacing w:after="0" w:line="240" w:lineRule="auto"/>
              <w:jc w:val="both"/>
              <w:rPr>
                <w:rFonts w:ascii="Times New Roman" w:hAnsi="Times New Roman"/>
                <w:sz w:val="20"/>
                <w:szCs w:val="20"/>
              </w:rPr>
            </w:pPr>
          </w:p>
        </w:tc>
        <w:tc>
          <w:tcPr>
            <w:tcW w:w="691" w:type="pct"/>
          </w:tcPr>
          <w:p w:rsidR="004616EA" w:rsidRPr="00475E67" w:rsidRDefault="004616EA" w:rsidP="00804E3C">
            <w:pPr>
              <w:spacing w:after="0" w:line="240" w:lineRule="auto"/>
              <w:jc w:val="both"/>
              <w:rPr>
                <w:rFonts w:ascii="Times New Roman" w:hAnsi="Times New Roman"/>
                <w:sz w:val="20"/>
                <w:szCs w:val="20"/>
              </w:rPr>
            </w:pPr>
          </w:p>
        </w:tc>
        <w:tc>
          <w:tcPr>
            <w:tcW w:w="724" w:type="pct"/>
          </w:tcPr>
          <w:p w:rsidR="004616EA" w:rsidRPr="00475E67" w:rsidRDefault="004616EA" w:rsidP="00804E3C">
            <w:pPr>
              <w:spacing w:after="0" w:line="240" w:lineRule="auto"/>
              <w:jc w:val="both"/>
              <w:rPr>
                <w:rFonts w:ascii="Times New Roman" w:hAnsi="Times New Roman"/>
                <w:sz w:val="20"/>
                <w:szCs w:val="20"/>
              </w:rPr>
            </w:pPr>
          </w:p>
        </w:tc>
        <w:tc>
          <w:tcPr>
            <w:tcW w:w="724" w:type="pct"/>
          </w:tcPr>
          <w:p w:rsidR="004616EA" w:rsidRPr="00475E67" w:rsidRDefault="004616EA" w:rsidP="00804E3C">
            <w:pPr>
              <w:spacing w:after="0" w:line="240" w:lineRule="auto"/>
              <w:jc w:val="both"/>
              <w:rPr>
                <w:rFonts w:ascii="Times New Roman" w:hAnsi="Times New Roman"/>
                <w:sz w:val="20"/>
                <w:szCs w:val="20"/>
              </w:rPr>
            </w:pPr>
          </w:p>
        </w:tc>
        <w:tc>
          <w:tcPr>
            <w:tcW w:w="724" w:type="pct"/>
            <w:vAlign w:val="bottom"/>
          </w:tcPr>
          <w:p w:rsidR="004616EA" w:rsidRPr="00475E67" w:rsidRDefault="004616EA" w:rsidP="00804E3C">
            <w:pPr>
              <w:spacing w:after="0" w:line="240" w:lineRule="auto"/>
              <w:jc w:val="right"/>
              <w:rPr>
                <w:rFonts w:ascii="Times New Roman" w:hAnsi="Times New Roman"/>
                <w:b/>
                <w:sz w:val="20"/>
                <w:szCs w:val="20"/>
              </w:rPr>
            </w:pPr>
          </w:p>
        </w:tc>
        <w:tc>
          <w:tcPr>
            <w:tcW w:w="724" w:type="pct"/>
            <w:vAlign w:val="bottom"/>
          </w:tcPr>
          <w:p w:rsidR="004616EA" w:rsidRPr="00857607" w:rsidRDefault="004616EA" w:rsidP="00804E3C">
            <w:pPr>
              <w:pStyle w:val="3"/>
              <w:spacing w:line="240" w:lineRule="auto"/>
              <w:rPr>
                <w:i/>
                <w:sz w:val="20"/>
                <w:szCs w:val="20"/>
              </w:rPr>
            </w:pPr>
          </w:p>
        </w:tc>
        <w:tc>
          <w:tcPr>
            <w:tcW w:w="724" w:type="pct"/>
            <w:tcBorders>
              <w:top w:val="single" w:sz="4" w:space="0" w:color="auto"/>
              <w:left w:val="single" w:sz="4" w:space="0" w:color="auto"/>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обучение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tc>
      </w:tr>
      <w:tr w:rsidR="004616EA" w:rsidRPr="00475E67" w:rsidTr="005B2DCE">
        <w:trPr>
          <w:cantSplit/>
          <w:jc w:val="center"/>
        </w:trPr>
        <w:tc>
          <w:tcPr>
            <w:tcW w:w="691" w:type="pct"/>
          </w:tcPr>
          <w:p w:rsidR="004616EA" w:rsidRPr="00475E67" w:rsidRDefault="004616EA" w:rsidP="00804E3C">
            <w:pPr>
              <w:spacing w:after="0" w:line="240" w:lineRule="auto"/>
              <w:jc w:val="both"/>
              <w:rPr>
                <w:rFonts w:ascii="Times New Roman" w:hAnsi="Times New Roman"/>
                <w:sz w:val="20"/>
                <w:szCs w:val="20"/>
              </w:rPr>
            </w:pPr>
          </w:p>
        </w:tc>
        <w:tc>
          <w:tcPr>
            <w:tcW w:w="691" w:type="pct"/>
          </w:tcPr>
          <w:p w:rsidR="004616EA" w:rsidRPr="00475E67" w:rsidRDefault="004616EA" w:rsidP="00804E3C">
            <w:pPr>
              <w:spacing w:after="0" w:line="240" w:lineRule="auto"/>
              <w:jc w:val="both"/>
              <w:rPr>
                <w:rFonts w:ascii="Times New Roman" w:hAnsi="Times New Roman"/>
                <w:sz w:val="20"/>
                <w:szCs w:val="20"/>
              </w:rPr>
            </w:pPr>
          </w:p>
        </w:tc>
        <w:tc>
          <w:tcPr>
            <w:tcW w:w="724" w:type="pct"/>
          </w:tcPr>
          <w:p w:rsidR="004616EA" w:rsidRPr="00475E67" w:rsidRDefault="004616EA" w:rsidP="00804E3C">
            <w:pPr>
              <w:spacing w:after="0" w:line="240" w:lineRule="auto"/>
              <w:jc w:val="both"/>
              <w:rPr>
                <w:rFonts w:ascii="Times New Roman" w:hAnsi="Times New Roman"/>
                <w:sz w:val="20"/>
                <w:szCs w:val="20"/>
              </w:rPr>
            </w:pPr>
          </w:p>
        </w:tc>
        <w:tc>
          <w:tcPr>
            <w:tcW w:w="724" w:type="pct"/>
          </w:tcPr>
          <w:p w:rsidR="004616EA" w:rsidRPr="00475E67" w:rsidRDefault="004616EA" w:rsidP="00804E3C">
            <w:pPr>
              <w:spacing w:after="0" w:line="240" w:lineRule="auto"/>
              <w:jc w:val="both"/>
              <w:rPr>
                <w:rFonts w:ascii="Times New Roman" w:hAnsi="Times New Roman"/>
                <w:sz w:val="20"/>
                <w:szCs w:val="20"/>
              </w:rPr>
            </w:pPr>
          </w:p>
        </w:tc>
        <w:tc>
          <w:tcPr>
            <w:tcW w:w="724" w:type="pct"/>
          </w:tcPr>
          <w:p w:rsidR="004616EA" w:rsidRPr="00475E67" w:rsidRDefault="004616EA" w:rsidP="00804E3C">
            <w:pPr>
              <w:spacing w:after="0" w:line="240" w:lineRule="auto"/>
              <w:jc w:val="both"/>
              <w:rPr>
                <w:rFonts w:ascii="Times New Roman" w:hAnsi="Times New Roman"/>
                <w:sz w:val="20"/>
                <w:szCs w:val="20"/>
              </w:rPr>
            </w:pPr>
          </w:p>
        </w:tc>
        <w:tc>
          <w:tcPr>
            <w:tcW w:w="724" w:type="pct"/>
            <w:tcBorders>
              <w:top w:val="single" w:sz="4" w:space="0" w:color="auto"/>
              <w:left w:val="single" w:sz="4" w:space="0" w:color="auto"/>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5</w:t>
            </w:r>
            <w:r w:rsidRPr="00475E67">
              <w:rPr>
                <w:rFonts w:ascii="Times New Roman" w:hAnsi="Times New Roman"/>
                <w:sz w:val="20"/>
                <w:szCs w:val="20"/>
              </w:rPr>
              <w:t>исследования</w:t>
            </w:r>
          </w:p>
        </w:tc>
        <w:tc>
          <w:tcPr>
            <w:tcW w:w="724" w:type="pct"/>
            <w:tcBorders>
              <w:left w:val="nil"/>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 xml:space="preserve">обучение </w:t>
            </w:r>
            <w:r w:rsidRPr="00475E67">
              <w:rPr>
                <w:rFonts w:ascii="Times New Roman" w:hAnsi="Times New Roman"/>
                <w:b/>
                <w:sz w:val="20"/>
                <w:szCs w:val="20"/>
              </w:rPr>
              <w:t>5</w:t>
            </w:r>
            <w:r w:rsidRPr="00475E67">
              <w:rPr>
                <w:rFonts w:ascii="Times New Roman" w:hAnsi="Times New Roman"/>
                <w:sz w:val="20"/>
                <w:szCs w:val="20"/>
              </w:rPr>
              <w:t>исследования</w:t>
            </w:r>
          </w:p>
        </w:tc>
      </w:tr>
      <w:tr w:rsidR="004616EA" w:rsidRPr="00475E67" w:rsidTr="005B2DCE">
        <w:trPr>
          <w:cantSplit/>
          <w:jc w:val="center"/>
        </w:trPr>
        <w:tc>
          <w:tcPr>
            <w:tcW w:w="691" w:type="pct"/>
          </w:tcPr>
          <w:p w:rsidR="004616EA" w:rsidRPr="00475E67" w:rsidRDefault="004616EA" w:rsidP="00804E3C">
            <w:pPr>
              <w:spacing w:after="0" w:line="240" w:lineRule="auto"/>
              <w:jc w:val="both"/>
              <w:rPr>
                <w:rFonts w:ascii="Times New Roman" w:hAnsi="Times New Roman"/>
                <w:sz w:val="20"/>
                <w:szCs w:val="20"/>
              </w:rPr>
            </w:pPr>
          </w:p>
        </w:tc>
        <w:tc>
          <w:tcPr>
            <w:tcW w:w="691" w:type="pct"/>
          </w:tcPr>
          <w:p w:rsidR="004616EA" w:rsidRPr="00475E67" w:rsidRDefault="004616EA" w:rsidP="00804E3C">
            <w:pPr>
              <w:spacing w:after="0" w:line="240" w:lineRule="auto"/>
              <w:jc w:val="both"/>
              <w:rPr>
                <w:rFonts w:ascii="Times New Roman" w:hAnsi="Times New Roman"/>
                <w:sz w:val="20"/>
                <w:szCs w:val="20"/>
              </w:rPr>
            </w:pPr>
          </w:p>
        </w:tc>
        <w:tc>
          <w:tcPr>
            <w:tcW w:w="724" w:type="pct"/>
          </w:tcPr>
          <w:p w:rsidR="004616EA" w:rsidRPr="00475E67" w:rsidRDefault="004616EA" w:rsidP="00804E3C">
            <w:pPr>
              <w:spacing w:after="0" w:line="240" w:lineRule="auto"/>
              <w:jc w:val="both"/>
              <w:rPr>
                <w:rFonts w:ascii="Times New Roman" w:hAnsi="Times New Roman"/>
                <w:sz w:val="20"/>
                <w:szCs w:val="20"/>
              </w:rPr>
            </w:pPr>
          </w:p>
        </w:tc>
        <w:tc>
          <w:tcPr>
            <w:tcW w:w="724" w:type="pct"/>
            <w:vAlign w:val="bottom"/>
          </w:tcPr>
          <w:p w:rsidR="004616EA" w:rsidRPr="00857607" w:rsidRDefault="004616EA" w:rsidP="00804E3C">
            <w:pPr>
              <w:pStyle w:val="3"/>
              <w:spacing w:line="240" w:lineRule="auto"/>
              <w:jc w:val="right"/>
              <w:rPr>
                <w:sz w:val="20"/>
                <w:szCs w:val="20"/>
              </w:rPr>
            </w:pPr>
          </w:p>
        </w:tc>
        <w:tc>
          <w:tcPr>
            <w:tcW w:w="724" w:type="pct"/>
            <w:tcBorders>
              <w:top w:val="single" w:sz="4" w:space="0" w:color="auto"/>
              <w:lef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6"/>
              <w:spacing w:before="0" w:line="240" w:lineRule="auto"/>
              <w:rPr>
                <w:rFonts w:ascii="Times New Roman" w:hAnsi="Times New Roman"/>
                <w:i w:val="0"/>
                <w:color w:val="auto"/>
                <w:lang w:eastAsia="en-US"/>
              </w:rPr>
            </w:pPr>
            <w:r w:rsidRPr="00857607">
              <w:rPr>
                <w:rFonts w:ascii="Times New Roman" w:hAnsi="Times New Roman"/>
                <w:b/>
                <w:i w:val="0"/>
                <w:color w:val="auto"/>
                <w:lang w:eastAsia="en-US"/>
              </w:rPr>
              <w:t>5</w:t>
            </w:r>
            <w:r w:rsidRPr="00857607">
              <w:rPr>
                <w:rFonts w:ascii="Times New Roman" w:hAnsi="Times New Roman"/>
                <w:i w:val="0"/>
                <w:color w:val="auto"/>
                <w:lang w:eastAsia="en-US"/>
              </w:rPr>
              <w:t>исследования</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4</w:t>
            </w:r>
            <w:r w:rsidRPr="00475E67">
              <w:rPr>
                <w:rFonts w:ascii="Times New Roman" w:hAnsi="Times New Roman"/>
                <w:sz w:val="20"/>
                <w:szCs w:val="20"/>
              </w:rPr>
              <w:t>потребление</w:t>
            </w:r>
          </w:p>
        </w:tc>
        <w:tc>
          <w:tcPr>
            <w:tcW w:w="724" w:type="pct"/>
            <w:tcBorders>
              <w:left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обучение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4</w:t>
            </w:r>
            <w:r w:rsidRPr="00475E67">
              <w:rPr>
                <w:rFonts w:ascii="Times New Roman" w:hAnsi="Times New Roman"/>
                <w:sz w:val="20"/>
                <w:szCs w:val="20"/>
              </w:rPr>
              <w:t>потребление</w:t>
            </w:r>
          </w:p>
        </w:tc>
        <w:tc>
          <w:tcPr>
            <w:tcW w:w="724" w:type="pct"/>
            <w:tcBorders>
              <w:top w:val="single" w:sz="4" w:space="0" w:color="auto"/>
              <w:left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 xml:space="preserve">обучение </w:t>
            </w:r>
            <w:r w:rsidRPr="00475E67">
              <w:rPr>
                <w:rFonts w:ascii="Times New Roman" w:hAnsi="Times New Roman"/>
                <w:b/>
                <w:sz w:val="20"/>
                <w:szCs w:val="20"/>
              </w:rPr>
              <w:t>4</w:t>
            </w:r>
            <w:r w:rsidRPr="00475E67">
              <w:rPr>
                <w:rFonts w:ascii="Times New Roman" w:hAnsi="Times New Roman"/>
                <w:sz w:val="20"/>
                <w:szCs w:val="20"/>
              </w:rPr>
              <w:t>потребление</w:t>
            </w:r>
          </w:p>
        </w:tc>
      </w:tr>
      <w:tr w:rsidR="004616EA" w:rsidRPr="00475E67" w:rsidTr="005B2DCE">
        <w:trPr>
          <w:cantSplit/>
          <w:jc w:val="center"/>
        </w:trPr>
        <w:tc>
          <w:tcPr>
            <w:tcW w:w="691" w:type="pct"/>
          </w:tcPr>
          <w:p w:rsidR="004616EA" w:rsidRPr="00475E67" w:rsidRDefault="004616EA" w:rsidP="00804E3C">
            <w:pPr>
              <w:spacing w:after="0" w:line="240" w:lineRule="auto"/>
              <w:jc w:val="both"/>
              <w:rPr>
                <w:rFonts w:ascii="Times New Roman" w:hAnsi="Times New Roman"/>
                <w:sz w:val="20"/>
                <w:szCs w:val="20"/>
              </w:rPr>
            </w:pPr>
          </w:p>
        </w:tc>
        <w:tc>
          <w:tcPr>
            <w:tcW w:w="691" w:type="pct"/>
          </w:tcPr>
          <w:p w:rsidR="004616EA" w:rsidRPr="00475E67" w:rsidRDefault="004616EA" w:rsidP="00804E3C">
            <w:pPr>
              <w:spacing w:after="0" w:line="240" w:lineRule="auto"/>
              <w:jc w:val="both"/>
              <w:rPr>
                <w:rFonts w:ascii="Times New Roman" w:hAnsi="Times New Roman"/>
                <w:sz w:val="20"/>
                <w:szCs w:val="20"/>
              </w:rPr>
            </w:pPr>
          </w:p>
        </w:tc>
        <w:tc>
          <w:tcPr>
            <w:tcW w:w="724" w:type="pct"/>
          </w:tcPr>
          <w:p w:rsidR="004616EA" w:rsidRPr="00475E67" w:rsidRDefault="004616EA" w:rsidP="00804E3C">
            <w:pPr>
              <w:spacing w:after="0" w:line="240" w:lineRule="auto"/>
              <w:jc w:val="both"/>
              <w:rPr>
                <w:rFonts w:ascii="Times New Roman" w:hAnsi="Times New Roman"/>
                <w:sz w:val="20"/>
                <w:szCs w:val="20"/>
              </w:rPr>
            </w:pPr>
          </w:p>
        </w:tc>
        <w:tc>
          <w:tcPr>
            <w:tcW w:w="724" w:type="pct"/>
            <w:tcBorders>
              <w:top w:val="single" w:sz="4" w:space="0" w:color="auto"/>
              <w:lef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6"/>
              <w:spacing w:before="0" w:line="240" w:lineRule="auto"/>
              <w:rPr>
                <w:rFonts w:ascii="Times New Roman" w:hAnsi="Times New Roman"/>
                <w:i w:val="0"/>
                <w:color w:val="auto"/>
                <w:lang w:eastAsia="en-US"/>
              </w:rPr>
            </w:pPr>
            <w:r w:rsidRPr="00857607">
              <w:rPr>
                <w:rFonts w:ascii="Times New Roman" w:hAnsi="Times New Roman"/>
                <w:b/>
                <w:i w:val="0"/>
                <w:color w:val="auto"/>
                <w:lang w:eastAsia="en-US"/>
              </w:rPr>
              <w:t>4</w:t>
            </w:r>
            <w:r w:rsidRPr="00857607">
              <w:rPr>
                <w:rFonts w:ascii="Times New Roman" w:hAnsi="Times New Roman"/>
                <w:i w:val="0"/>
                <w:color w:val="auto"/>
                <w:lang w:eastAsia="en-US"/>
              </w:rPr>
              <w:t>потребление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3</w:t>
            </w:r>
            <w:r w:rsidRPr="00475E67">
              <w:rPr>
                <w:rFonts w:ascii="Times New Roman" w:hAnsi="Times New Roman"/>
                <w:sz w:val="20"/>
                <w:szCs w:val="20"/>
              </w:rPr>
              <w:t>обслуживание</w:t>
            </w:r>
          </w:p>
        </w:tc>
        <w:tc>
          <w:tcPr>
            <w:tcW w:w="724" w:type="pct"/>
            <w:tcBorders>
              <w:top w:val="single" w:sz="4" w:space="0" w:color="auto"/>
              <w:left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6"/>
              <w:spacing w:before="0" w:line="240" w:lineRule="auto"/>
              <w:rPr>
                <w:rFonts w:ascii="Times New Roman" w:hAnsi="Times New Roman"/>
                <w:i w:val="0"/>
                <w:color w:val="auto"/>
                <w:lang w:eastAsia="en-US"/>
              </w:rPr>
            </w:pPr>
            <w:r w:rsidRPr="00857607">
              <w:rPr>
                <w:rFonts w:ascii="Times New Roman" w:hAnsi="Times New Roman"/>
                <w:b/>
                <w:i w:val="0"/>
                <w:color w:val="auto"/>
                <w:lang w:eastAsia="en-US"/>
              </w:rPr>
              <w:t>5</w:t>
            </w:r>
            <w:r w:rsidRPr="00857607">
              <w:rPr>
                <w:rFonts w:ascii="Times New Roman" w:hAnsi="Times New Roman"/>
                <w:i w:val="0"/>
                <w:color w:val="auto"/>
                <w:lang w:eastAsia="en-US"/>
              </w:rPr>
              <w:t>исследования</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3</w:t>
            </w:r>
            <w:r w:rsidRPr="00475E67">
              <w:rPr>
                <w:rFonts w:ascii="Times New Roman" w:hAnsi="Times New Roman"/>
                <w:sz w:val="20"/>
                <w:szCs w:val="20"/>
              </w:rPr>
              <w:t>обслуживание</w:t>
            </w:r>
          </w:p>
        </w:tc>
        <w:tc>
          <w:tcPr>
            <w:tcW w:w="724" w:type="pct"/>
            <w:tcBorders>
              <w:top w:val="single" w:sz="4" w:space="0" w:color="auto"/>
              <w:left w:val="nil"/>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3</w:t>
            </w:r>
            <w:r w:rsidRPr="00475E67">
              <w:rPr>
                <w:rFonts w:ascii="Times New Roman" w:hAnsi="Times New Roman"/>
                <w:sz w:val="20"/>
                <w:szCs w:val="20"/>
              </w:rPr>
              <w:t>обслуживание</w:t>
            </w:r>
          </w:p>
        </w:tc>
        <w:tc>
          <w:tcPr>
            <w:tcW w:w="724" w:type="pct"/>
            <w:tcBorders>
              <w:top w:val="single" w:sz="4" w:space="0" w:color="auto"/>
              <w:left w:val="nil"/>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 xml:space="preserve">обучение </w:t>
            </w:r>
            <w:r w:rsidRPr="00475E67">
              <w:rPr>
                <w:rFonts w:ascii="Times New Roman" w:hAnsi="Times New Roman"/>
                <w:b/>
                <w:sz w:val="20"/>
                <w:szCs w:val="20"/>
              </w:rPr>
              <w:t>3</w:t>
            </w:r>
            <w:r w:rsidRPr="00475E67">
              <w:rPr>
                <w:rFonts w:ascii="Times New Roman" w:hAnsi="Times New Roman"/>
                <w:sz w:val="20"/>
                <w:szCs w:val="20"/>
              </w:rPr>
              <w:t>обслуживание</w:t>
            </w:r>
          </w:p>
        </w:tc>
      </w:tr>
      <w:tr w:rsidR="004616EA" w:rsidRPr="00475E67" w:rsidTr="005B2DCE">
        <w:trPr>
          <w:cantSplit/>
          <w:jc w:val="center"/>
        </w:trPr>
        <w:tc>
          <w:tcPr>
            <w:tcW w:w="691" w:type="pct"/>
          </w:tcPr>
          <w:p w:rsidR="004616EA" w:rsidRPr="00475E67" w:rsidRDefault="004616EA" w:rsidP="00804E3C">
            <w:pPr>
              <w:spacing w:after="0" w:line="240" w:lineRule="auto"/>
              <w:rPr>
                <w:rFonts w:ascii="Times New Roman" w:hAnsi="Times New Roman"/>
                <w:sz w:val="20"/>
                <w:szCs w:val="20"/>
              </w:rPr>
            </w:pPr>
          </w:p>
        </w:tc>
        <w:tc>
          <w:tcPr>
            <w:tcW w:w="691" w:type="pct"/>
          </w:tcPr>
          <w:p w:rsidR="004616EA" w:rsidRPr="00475E67" w:rsidRDefault="004616EA" w:rsidP="00804E3C">
            <w:pPr>
              <w:spacing w:after="0" w:line="240" w:lineRule="auto"/>
              <w:rPr>
                <w:rFonts w:ascii="Times New Roman" w:hAnsi="Times New Roman"/>
                <w:sz w:val="20"/>
                <w:szCs w:val="20"/>
              </w:rPr>
            </w:pPr>
          </w:p>
        </w:tc>
        <w:tc>
          <w:tcPr>
            <w:tcW w:w="724" w:type="pct"/>
            <w:tcBorders>
              <w:top w:val="single" w:sz="4" w:space="0" w:color="auto"/>
              <w:left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6"/>
              <w:spacing w:before="0" w:line="240" w:lineRule="auto"/>
              <w:rPr>
                <w:rFonts w:ascii="Times New Roman" w:hAnsi="Times New Roman"/>
                <w:i w:val="0"/>
                <w:color w:val="auto"/>
                <w:lang w:eastAsia="en-US"/>
              </w:rPr>
            </w:pPr>
            <w:r w:rsidRPr="00857607">
              <w:rPr>
                <w:rFonts w:ascii="Times New Roman" w:hAnsi="Times New Roman"/>
                <w:b/>
                <w:i w:val="0"/>
                <w:color w:val="auto"/>
                <w:lang w:eastAsia="en-US"/>
              </w:rPr>
              <w:t>3</w:t>
            </w:r>
            <w:r w:rsidRPr="00857607">
              <w:rPr>
                <w:rFonts w:ascii="Times New Roman" w:hAnsi="Times New Roman"/>
                <w:i w:val="0"/>
                <w:color w:val="auto"/>
                <w:lang w:eastAsia="en-US"/>
              </w:rPr>
              <w:t>обслуживание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2</w:t>
            </w:r>
            <w:r w:rsidRPr="00475E67">
              <w:rPr>
                <w:rFonts w:ascii="Times New Roman" w:hAnsi="Times New Roman"/>
                <w:sz w:val="20"/>
                <w:szCs w:val="20"/>
              </w:rPr>
              <w:t>обеспечение</w:t>
            </w:r>
          </w:p>
        </w:tc>
        <w:tc>
          <w:tcPr>
            <w:tcW w:w="724" w:type="pct"/>
            <w:tcBorders>
              <w:top w:val="single" w:sz="4" w:space="0" w:color="auto"/>
              <w:left w:val="nil"/>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6"/>
              <w:spacing w:before="0" w:line="240" w:lineRule="auto"/>
              <w:rPr>
                <w:rFonts w:ascii="Times New Roman" w:hAnsi="Times New Roman"/>
                <w:i w:val="0"/>
                <w:color w:val="auto"/>
                <w:lang w:eastAsia="en-US"/>
              </w:rPr>
            </w:pPr>
            <w:r w:rsidRPr="00857607">
              <w:rPr>
                <w:rFonts w:ascii="Times New Roman" w:hAnsi="Times New Roman"/>
                <w:b/>
                <w:i w:val="0"/>
                <w:color w:val="auto"/>
                <w:lang w:eastAsia="en-US"/>
              </w:rPr>
              <w:t>4</w:t>
            </w:r>
            <w:r w:rsidRPr="00857607">
              <w:rPr>
                <w:rFonts w:ascii="Times New Roman" w:hAnsi="Times New Roman"/>
                <w:i w:val="0"/>
                <w:color w:val="auto"/>
                <w:lang w:eastAsia="en-US"/>
              </w:rPr>
              <w:t>потребление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2</w:t>
            </w:r>
            <w:r w:rsidRPr="00475E67">
              <w:rPr>
                <w:rFonts w:ascii="Times New Roman" w:hAnsi="Times New Roman"/>
                <w:sz w:val="20"/>
                <w:szCs w:val="20"/>
              </w:rPr>
              <w:t>обеспечение</w:t>
            </w:r>
          </w:p>
        </w:tc>
        <w:tc>
          <w:tcPr>
            <w:tcW w:w="724" w:type="pct"/>
            <w:tcBorders>
              <w:top w:val="single" w:sz="4" w:space="0" w:color="auto"/>
              <w:left w:val="single" w:sz="4" w:space="0" w:color="auto"/>
              <w:bottom w:val="single" w:sz="2"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6"/>
              <w:spacing w:before="0" w:line="240" w:lineRule="auto"/>
              <w:rPr>
                <w:rFonts w:ascii="Times New Roman" w:hAnsi="Times New Roman"/>
                <w:i w:val="0"/>
                <w:color w:val="auto"/>
                <w:lang w:eastAsia="en-US"/>
              </w:rPr>
            </w:pPr>
            <w:r w:rsidRPr="00857607">
              <w:rPr>
                <w:rFonts w:ascii="Times New Roman" w:hAnsi="Times New Roman"/>
                <w:b/>
                <w:i w:val="0"/>
                <w:color w:val="auto"/>
                <w:lang w:eastAsia="en-US"/>
              </w:rPr>
              <w:t>5</w:t>
            </w:r>
            <w:r w:rsidRPr="00857607">
              <w:rPr>
                <w:rFonts w:ascii="Times New Roman" w:hAnsi="Times New Roman"/>
                <w:i w:val="0"/>
                <w:color w:val="auto"/>
                <w:lang w:eastAsia="en-US"/>
              </w:rPr>
              <w:t>исследования</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2</w:t>
            </w:r>
            <w:r w:rsidRPr="00475E67">
              <w:rPr>
                <w:rFonts w:ascii="Times New Roman" w:hAnsi="Times New Roman"/>
                <w:sz w:val="20"/>
                <w:szCs w:val="20"/>
              </w:rPr>
              <w:t>обеспечение</w:t>
            </w:r>
          </w:p>
        </w:tc>
        <w:tc>
          <w:tcPr>
            <w:tcW w:w="724" w:type="pct"/>
            <w:tcBorders>
              <w:top w:val="single" w:sz="4" w:space="0" w:color="auto"/>
              <w:left w:val="nil"/>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2</w:t>
            </w:r>
            <w:r w:rsidRPr="00475E67">
              <w:rPr>
                <w:rFonts w:ascii="Times New Roman" w:hAnsi="Times New Roman"/>
                <w:sz w:val="20"/>
                <w:szCs w:val="20"/>
              </w:rPr>
              <w:t>обеспечение</w:t>
            </w:r>
          </w:p>
        </w:tc>
        <w:tc>
          <w:tcPr>
            <w:tcW w:w="724" w:type="pct"/>
            <w:tcBorders>
              <w:top w:val="single" w:sz="4" w:space="0" w:color="auto"/>
              <w:left w:val="nil"/>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 xml:space="preserve">обучение </w:t>
            </w:r>
            <w:r w:rsidRPr="00475E67">
              <w:rPr>
                <w:rFonts w:ascii="Times New Roman" w:hAnsi="Times New Roman"/>
                <w:b/>
                <w:sz w:val="20"/>
                <w:szCs w:val="20"/>
              </w:rPr>
              <w:t>2</w:t>
            </w:r>
            <w:r w:rsidRPr="00475E67">
              <w:rPr>
                <w:rFonts w:ascii="Times New Roman" w:hAnsi="Times New Roman"/>
                <w:sz w:val="20"/>
                <w:szCs w:val="20"/>
              </w:rPr>
              <w:t>обеспечение</w:t>
            </w:r>
          </w:p>
        </w:tc>
      </w:tr>
      <w:tr w:rsidR="004616EA" w:rsidRPr="00475E67" w:rsidTr="005B2DCE">
        <w:trPr>
          <w:cantSplit/>
          <w:jc w:val="center"/>
        </w:trPr>
        <w:tc>
          <w:tcPr>
            <w:tcW w:w="691" w:type="pct"/>
          </w:tcPr>
          <w:p w:rsidR="004616EA" w:rsidRPr="00475E67" w:rsidRDefault="004616EA" w:rsidP="00804E3C">
            <w:pPr>
              <w:spacing w:after="0" w:line="240" w:lineRule="auto"/>
              <w:rPr>
                <w:rFonts w:ascii="Times New Roman" w:hAnsi="Times New Roman"/>
                <w:sz w:val="20"/>
                <w:szCs w:val="20"/>
              </w:rPr>
            </w:pPr>
          </w:p>
        </w:tc>
        <w:tc>
          <w:tcPr>
            <w:tcW w:w="691" w:type="pct"/>
            <w:tcBorders>
              <w:top w:val="single" w:sz="4" w:space="0" w:color="auto"/>
              <w:left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2</w:t>
            </w:r>
            <w:r w:rsidRPr="00475E67">
              <w:rPr>
                <w:rFonts w:ascii="Times New Roman" w:hAnsi="Times New Roman"/>
                <w:sz w:val="20"/>
                <w:szCs w:val="20"/>
              </w:rPr>
              <w:t>обеспечение</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1</w:t>
            </w:r>
            <w:r w:rsidRPr="00475E67">
              <w:rPr>
                <w:rFonts w:ascii="Times New Roman" w:hAnsi="Times New Roman"/>
                <w:sz w:val="20"/>
                <w:szCs w:val="20"/>
              </w:rPr>
              <w:t>производство</w:t>
            </w:r>
          </w:p>
        </w:tc>
        <w:tc>
          <w:tcPr>
            <w:tcW w:w="724" w:type="pct"/>
            <w:tcBorders>
              <w:top w:val="single" w:sz="4" w:space="0" w:color="auto"/>
              <w:left w:val="nil"/>
            </w:tcBorders>
            <w:shd w:val="clear" w:color="auto" w:fill="A6A6A6"/>
          </w:tcPr>
          <w:p w:rsidR="004616EA" w:rsidRPr="00475E67" w:rsidRDefault="00E70A58" w:rsidP="00804E3C">
            <w:pPr>
              <w:spacing w:after="0" w:line="240" w:lineRule="auto"/>
              <w:jc w:val="both"/>
              <w:rPr>
                <w:rFonts w:ascii="Times New Roman" w:hAnsi="Times New Roman"/>
                <w:sz w:val="20"/>
                <w:szCs w:val="20"/>
              </w:rPr>
            </w:pPr>
            <w:r>
              <w:rPr>
                <w:noProof/>
                <w:lang w:eastAsia="ru-RU"/>
              </w:rPr>
              <mc:AlternateContent>
                <mc:Choice Requires="wps">
                  <w:drawing>
                    <wp:anchor distT="4294967291" distB="4294967291" distL="114300" distR="114300" simplePos="0" relativeHeight="251656704" behindDoc="0" locked="0" layoutInCell="1" allowOverlap="1">
                      <wp:simplePos x="0" y="0"/>
                      <wp:positionH relativeFrom="column">
                        <wp:posOffset>502920</wp:posOffset>
                      </wp:positionH>
                      <wp:positionV relativeFrom="paragraph">
                        <wp:posOffset>69214</wp:posOffset>
                      </wp:positionV>
                      <wp:extent cx="276225" cy="0"/>
                      <wp:effectExtent l="57150" t="133350" r="0" b="133350"/>
                      <wp:wrapNone/>
                      <wp:docPr id="79" name="Прямая со стрелкой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type w14:anchorId="5F900C68" id="_x0000_t32" coordsize="21600,21600" o:spt="32" o:oned="t" path="m,l21600,21600e" filled="f">
                      <v:path arrowok="t" fillok="f" o:connecttype="none"/>
                      <o:lock v:ext="edit" shapetype="t"/>
                    </v:shapetype>
                    <v:shape id="Прямая со стрелкой 17" o:spid="_x0000_s1026" type="#_x0000_t32" style="position:absolute;margin-left:39.6pt;margin-top:5.45pt;width:21.75pt;height:0;z-index:25165670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" strokecolor="windowText" strokeweight="2.25pt">
                      <v:stroke endarrow="open"/>
                      <o:lock v:ext="edit" shapetype="f"/>
                    </v:shape>
                  </w:pict>
                </mc:Fallback>
              </mc:AlternateContent>
            </w:r>
            <w:r>
              <w:rPr>
                <w:noProof/>
                <w:lang w:eastAsia="ru-RU"/>
              </w:rPr>
              <mc:AlternateContent>
                <mc:Choice Requires="wps">
                  <w:drawing>
                    <wp:anchor distT="4294967291" distB="4294967291" distL="114300" distR="114300" simplePos="0" relativeHeight="251654656" behindDoc="0" locked="0" layoutInCell="1" allowOverlap="1">
                      <wp:simplePos x="0" y="0"/>
                      <wp:positionH relativeFrom="column">
                        <wp:posOffset>5229225</wp:posOffset>
                      </wp:positionH>
                      <wp:positionV relativeFrom="paragraph">
                        <wp:posOffset>7541894</wp:posOffset>
                      </wp:positionV>
                      <wp:extent cx="247650" cy="0"/>
                      <wp:effectExtent l="0" t="76200" r="22225" b="95250"/>
                      <wp:wrapNone/>
                      <wp:docPr id="78" name="Прямая со стрелкой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76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580E5A5" id="Прямая со стрелкой 16" o:spid="_x0000_s1026" type="#_x0000_t32" style="position:absolute;margin-left:411.75pt;margin-top:593.85pt;width:19.5pt;height:0;z-index:25165465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">
                      <v:stroke endarrow="block"/>
                    </v:shape>
                  </w:pict>
                </mc:Fallback>
              </mc:AlternateContent>
            </w:r>
            <w:r>
              <w:rPr>
                <w:noProof/>
                <w:lang w:eastAsia="ru-RU"/>
              </w:rPr>
              <mc:AlternateContent>
                <mc:Choice Requires="wps">
                  <w:drawing>
                    <wp:anchor distT="4294967291" distB="4294967291" distL="114300" distR="114300" simplePos="0" relativeHeight="251653632" behindDoc="0" locked="0" layoutInCell="1" allowOverlap="1">
                      <wp:simplePos x="0" y="0"/>
                      <wp:positionH relativeFrom="column">
                        <wp:posOffset>4248150</wp:posOffset>
                      </wp:positionH>
                      <wp:positionV relativeFrom="paragraph">
                        <wp:posOffset>7541894</wp:posOffset>
                      </wp:positionV>
                      <wp:extent cx="247650" cy="0"/>
                      <wp:effectExtent l="0" t="76200" r="22225" b="95250"/>
                      <wp:wrapNone/>
                      <wp:docPr id="77" name="Прямая со стрелкой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76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EE8C75C" id="Прямая со стрелкой 15" o:spid="_x0000_s1026" type="#_x0000_t32" style="position:absolute;margin-left:334.5pt;margin-top:593.85pt;width:19.5pt;height:0;z-index:25165363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">
                      <v:stroke endarrow="block"/>
                    </v:shape>
                  </w:pict>
                </mc:Fallback>
              </mc:AlternateContent>
            </w:r>
            <w:r>
              <w:rPr>
                <w:noProof/>
                <w:lang w:eastAsia="ru-RU"/>
              </w:rPr>
              <mc:AlternateContent>
                <mc:Choice Requires="wps">
                  <w:drawing>
                    <wp:anchor distT="4294967291" distB="4294967291" distL="114300" distR="114300" simplePos="0" relativeHeight="251649536" behindDoc="0" locked="0" layoutInCell="1" allowOverlap="1">
                      <wp:simplePos x="0" y="0"/>
                      <wp:positionH relativeFrom="column">
                        <wp:posOffset>4248150</wp:posOffset>
                      </wp:positionH>
                      <wp:positionV relativeFrom="paragraph">
                        <wp:posOffset>7541894</wp:posOffset>
                      </wp:positionV>
                      <wp:extent cx="247650" cy="0"/>
                      <wp:effectExtent l="0" t="76200" r="22225" b="95250"/>
                      <wp:wrapNone/>
                      <wp:docPr id="76" name="Прямая со стрелкой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76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7DEDA6" id="Прямая со стрелкой 14" o:spid="_x0000_s1026" type="#_x0000_t32" style="position:absolute;margin-left:334.5pt;margin-top:593.85pt;width:19.5pt;height:0;z-index:25164953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">
                      <v:stroke endarrow="block"/>
                    </v:shape>
                  </w:pict>
                </mc:Fallback>
              </mc:AlternateContent>
            </w:r>
            <w:r>
              <w:rPr>
                <w:noProof/>
                <w:lang w:eastAsia="ru-RU"/>
              </w:rPr>
              <mc:AlternateContent>
                <mc:Choice Requires="wps">
                  <w:drawing>
                    <wp:anchor distT="4294967291" distB="4294967291" distL="114300" distR="114300" simplePos="0" relativeHeight="251648512" behindDoc="0" locked="0" layoutInCell="1" allowOverlap="1">
                      <wp:simplePos x="0" y="0"/>
                      <wp:positionH relativeFrom="column">
                        <wp:posOffset>4248150</wp:posOffset>
                      </wp:positionH>
                      <wp:positionV relativeFrom="paragraph">
                        <wp:posOffset>7541894</wp:posOffset>
                      </wp:positionV>
                      <wp:extent cx="247650" cy="0"/>
                      <wp:effectExtent l="0" t="76200" r="22225" b="95250"/>
                      <wp:wrapNone/>
                      <wp:docPr id="75" name="Прямая со стрелкой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76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418F7E" id="Прямая со стрелкой 13" o:spid="_x0000_s1026" type="#_x0000_t32" style="position:absolute;margin-left:334.5pt;margin-top:593.85pt;width:19.5pt;height:0;z-index:25164851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">
                      <v:stroke endarrow="block"/>
                    </v:shape>
                  </w:pict>
                </mc:Fallback>
              </mc:AlternateContent>
            </w:r>
            <w:r w:rsidR="004616EA" w:rsidRPr="00475E67">
              <w:rPr>
                <w:rFonts w:ascii="Times New Roman" w:hAnsi="Times New Roman"/>
                <w:b/>
                <w:sz w:val="20"/>
                <w:szCs w:val="20"/>
              </w:rPr>
              <w:t>8</w:t>
            </w:r>
            <w:r w:rsidR="004616EA"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3</w:t>
            </w:r>
            <w:r w:rsidRPr="00475E67">
              <w:rPr>
                <w:rFonts w:ascii="Times New Roman" w:hAnsi="Times New Roman"/>
                <w:sz w:val="20"/>
                <w:szCs w:val="20"/>
              </w:rPr>
              <w:t>обслуживание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1</w:t>
            </w:r>
            <w:r w:rsidRPr="00475E67">
              <w:rPr>
                <w:rFonts w:ascii="Times New Roman" w:hAnsi="Times New Roman"/>
                <w:sz w:val="20"/>
                <w:szCs w:val="20"/>
              </w:rPr>
              <w:t>производство</w:t>
            </w:r>
          </w:p>
        </w:tc>
        <w:tc>
          <w:tcPr>
            <w:tcW w:w="724" w:type="pct"/>
            <w:tcBorders>
              <w:top w:val="single" w:sz="4" w:space="0" w:color="auto"/>
              <w:left w:val="single" w:sz="4" w:space="0" w:color="auto"/>
              <w:bottom w:val="single" w:sz="4" w:space="0" w:color="auto"/>
              <w:right w:val="single" w:sz="2" w:space="0" w:color="auto"/>
            </w:tcBorders>
          </w:tcPr>
          <w:p w:rsidR="004616EA" w:rsidRPr="00475E67" w:rsidRDefault="00E70A58" w:rsidP="00804E3C">
            <w:pPr>
              <w:spacing w:after="0" w:line="240" w:lineRule="auto"/>
              <w:jc w:val="both"/>
              <w:rPr>
                <w:rFonts w:ascii="Times New Roman" w:hAnsi="Times New Roman"/>
                <w:sz w:val="20"/>
                <w:szCs w:val="20"/>
              </w:rPr>
            </w:pPr>
            <w:r>
              <w:rPr>
                <w:noProof/>
                <w:lang w:eastAsia="ru-RU"/>
              </w:rPr>
              <mc:AlternateContent>
                <mc:Choice Requires="wps">
                  <w:drawing>
                    <wp:anchor distT="4294967291" distB="4294967291" distL="114300" distR="114300" simplePos="0" relativeHeight="251658752" behindDoc="0" locked="0" layoutInCell="1" allowOverlap="1">
                      <wp:simplePos x="0" y="0"/>
                      <wp:positionH relativeFrom="column">
                        <wp:posOffset>518795</wp:posOffset>
                      </wp:positionH>
                      <wp:positionV relativeFrom="paragraph">
                        <wp:posOffset>69214</wp:posOffset>
                      </wp:positionV>
                      <wp:extent cx="276225" cy="0"/>
                      <wp:effectExtent l="57150" t="133350" r="0" b="133350"/>
                      <wp:wrapNone/>
                      <wp:docPr id="74" name="Прямая со стрелкой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56B4436F" id="Прямая со стрелкой 12" o:spid="_x0000_s1026" type="#_x0000_t32" style="position:absolute;margin-left:40.85pt;margin-top:5.45pt;width:21.75pt;height:0;z-index:25165875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" strokecolor="windowText" strokeweight="2.25pt">
                      <v:stroke endarrow="open"/>
                      <o:lock v:ext="edit" shapetype="f"/>
                    </v:shape>
                  </w:pict>
                </mc:Fallback>
              </mc:AlternateContent>
            </w:r>
            <w:r w:rsidR="004616EA" w:rsidRPr="00475E67">
              <w:rPr>
                <w:rFonts w:ascii="Times New Roman" w:hAnsi="Times New Roman"/>
                <w:b/>
                <w:sz w:val="20"/>
                <w:szCs w:val="20"/>
              </w:rPr>
              <w:t>8</w:t>
            </w:r>
            <w:r w:rsidR="004616EA"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4</w:t>
            </w:r>
            <w:r w:rsidRPr="00475E67">
              <w:rPr>
                <w:rFonts w:ascii="Times New Roman" w:hAnsi="Times New Roman"/>
                <w:sz w:val="20"/>
                <w:szCs w:val="20"/>
              </w:rPr>
              <w:t>потребление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1</w:t>
            </w:r>
            <w:r w:rsidRPr="00475E67">
              <w:rPr>
                <w:rFonts w:ascii="Times New Roman" w:hAnsi="Times New Roman"/>
                <w:sz w:val="20"/>
                <w:szCs w:val="20"/>
              </w:rPr>
              <w:t>производство</w:t>
            </w:r>
          </w:p>
        </w:tc>
        <w:tc>
          <w:tcPr>
            <w:tcW w:w="724" w:type="pct"/>
            <w:tcBorders>
              <w:top w:val="single" w:sz="2" w:space="0" w:color="auto"/>
              <w:left w:val="single" w:sz="2" w:space="0" w:color="auto"/>
              <w:bottom w:val="single" w:sz="2" w:space="0" w:color="auto"/>
              <w:right w:val="single" w:sz="2"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5</w:t>
            </w:r>
            <w:r w:rsidRPr="00475E67">
              <w:rPr>
                <w:rFonts w:ascii="Times New Roman" w:hAnsi="Times New Roman"/>
                <w:sz w:val="20"/>
                <w:szCs w:val="20"/>
              </w:rPr>
              <w:t>исследования</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1</w:t>
            </w:r>
            <w:r w:rsidRPr="00475E67">
              <w:rPr>
                <w:rFonts w:ascii="Times New Roman" w:hAnsi="Times New Roman"/>
                <w:sz w:val="20"/>
                <w:szCs w:val="20"/>
              </w:rPr>
              <w:t>производство</w:t>
            </w:r>
          </w:p>
        </w:tc>
        <w:tc>
          <w:tcPr>
            <w:tcW w:w="724" w:type="pct"/>
            <w:tcBorders>
              <w:top w:val="single" w:sz="4" w:space="0" w:color="auto"/>
              <w:left w:val="single" w:sz="2" w:space="0" w:color="auto"/>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1</w:t>
            </w:r>
            <w:r w:rsidRPr="00475E67">
              <w:rPr>
                <w:rFonts w:ascii="Times New Roman" w:hAnsi="Times New Roman"/>
                <w:sz w:val="20"/>
                <w:szCs w:val="20"/>
              </w:rPr>
              <w:t>производство</w:t>
            </w:r>
          </w:p>
        </w:tc>
        <w:tc>
          <w:tcPr>
            <w:tcW w:w="724" w:type="pct"/>
            <w:tcBorders>
              <w:top w:val="single" w:sz="4" w:space="0" w:color="auto"/>
              <w:left w:val="nil"/>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обучение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1</w:t>
            </w:r>
            <w:r w:rsidRPr="00475E67">
              <w:rPr>
                <w:rFonts w:ascii="Times New Roman" w:hAnsi="Times New Roman"/>
                <w:sz w:val="20"/>
                <w:szCs w:val="20"/>
              </w:rPr>
              <w:t>производство</w:t>
            </w:r>
          </w:p>
        </w:tc>
      </w:tr>
      <w:tr w:rsidR="004616EA" w:rsidRPr="00475E67" w:rsidTr="005B2DCE">
        <w:trPr>
          <w:cantSplit/>
          <w:jc w:val="center"/>
        </w:trPr>
        <w:tc>
          <w:tcPr>
            <w:tcW w:w="691" w:type="pct"/>
            <w:tcBorders>
              <w:top w:val="single" w:sz="2" w:space="0" w:color="auto"/>
              <w:left w:val="single" w:sz="2" w:space="0" w:color="auto"/>
              <w:bottom w:val="single" w:sz="2" w:space="0" w:color="auto"/>
              <w:right w:val="single" w:sz="2"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6"/>
              <w:spacing w:before="0" w:line="240" w:lineRule="auto"/>
              <w:rPr>
                <w:rFonts w:ascii="Times New Roman" w:hAnsi="Times New Roman"/>
                <w:i w:val="0"/>
                <w:color w:val="auto"/>
                <w:lang w:eastAsia="en-US"/>
              </w:rPr>
            </w:pPr>
            <w:r w:rsidRPr="00857607">
              <w:rPr>
                <w:rFonts w:ascii="Times New Roman" w:hAnsi="Times New Roman"/>
                <w:b/>
                <w:i w:val="0"/>
                <w:color w:val="auto"/>
                <w:lang w:eastAsia="en-US"/>
              </w:rPr>
              <w:t>1</w:t>
            </w:r>
            <w:r w:rsidRPr="00857607">
              <w:rPr>
                <w:rFonts w:ascii="Times New Roman" w:hAnsi="Times New Roman"/>
                <w:i w:val="0"/>
                <w:color w:val="auto"/>
                <w:lang w:eastAsia="en-US"/>
              </w:rPr>
              <w:t>производство</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0</w:t>
            </w:r>
          </w:p>
        </w:tc>
        <w:tc>
          <w:tcPr>
            <w:tcW w:w="691" w:type="pct"/>
            <w:tcBorders>
              <w:top w:val="single" w:sz="4" w:space="0" w:color="auto"/>
              <w:left w:val="nil"/>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2</w:t>
            </w:r>
            <w:r w:rsidRPr="00475E67">
              <w:rPr>
                <w:rFonts w:ascii="Times New Roman" w:hAnsi="Times New Roman"/>
                <w:sz w:val="20"/>
                <w:szCs w:val="20"/>
              </w:rPr>
              <w:t>обеспечение</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0</w:t>
            </w:r>
          </w:p>
        </w:tc>
        <w:tc>
          <w:tcPr>
            <w:tcW w:w="724" w:type="pct"/>
            <w:tcBorders>
              <w:top w:val="single" w:sz="4" w:space="0" w:color="auto"/>
              <w:left w:val="nil"/>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3</w:t>
            </w:r>
            <w:r w:rsidRPr="00475E67">
              <w:rPr>
                <w:rFonts w:ascii="Times New Roman" w:hAnsi="Times New Roman"/>
                <w:sz w:val="20"/>
                <w:szCs w:val="20"/>
              </w:rPr>
              <w:t>обслуживание</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0</w:t>
            </w:r>
          </w:p>
        </w:tc>
        <w:tc>
          <w:tcPr>
            <w:tcW w:w="724" w:type="pct"/>
            <w:tcBorders>
              <w:left w:val="nil"/>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4</w:t>
            </w:r>
            <w:r w:rsidRPr="00475E67">
              <w:rPr>
                <w:rFonts w:ascii="Times New Roman" w:hAnsi="Times New Roman"/>
                <w:sz w:val="20"/>
                <w:szCs w:val="20"/>
              </w:rPr>
              <w:t>потребление</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0</w:t>
            </w:r>
          </w:p>
        </w:tc>
        <w:tc>
          <w:tcPr>
            <w:tcW w:w="724" w:type="pct"/>
            <w:tcBorders>
              <w:top w:val="single" w:sz="2" w:space="0" w:color="auto"/>
              <w:left w:val="nil"/>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5</w:t>
            </w:r>
            <w:r w:rsidRPr="00475E67">
              <w:rPr>
                <w:rFonts w:ascii="Times New Roman" w:hAnsi="Times New Roman"/>
                <w:sz w:val="20"/>
                <w:szCs w:val="20"/>
              </w:rPr>
              <w:t>исследования</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0</w:t>
            </w:r>
          </w:p>
        </w:tc>
        <w:tc>
          <w:tcPr>
            <w:tcW w:w="724" w:type="pct"/>
            <w:tcBorders>
              <w:top w:val="single" w:sz="4" w:space="0" w:color="auto"/>
              <w:left w:val="nil"/>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0</w:t>
            </w:r>
          </w:p>
        </w:tc>
        <w:tc>
          <w:tcPr>
            <w:tcW w:w="724" w:type="pct"/>
            <w:tcBorders>
              <w:top w:val="single" w:sz="4" w:space="0" w:color="auto"/>
              <w:left w:val="nil"/>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обучение</w:t>
            </w:r>
          </w:p>
          <w:p w:rsidR="004616EA" w:rsidRPr="00475E67" w:rsidRDefault="004616EA" w:rsidP="006B4162">
            <w:pPr>
              <w:keepNext/>
              <w:spacing w:after="0" w:line="240" w:lineRule="auto"/>
              <w:jc w:val="both"/>
              <w:rPr>
                <w:rFonts w:ascii="Times New Roman" w:hAnsi="Times New Roman"/>
                <w:b/>
                <w:sz w:val="20"/>
                <w:szCs w:val="20"/>
              </w:rPr>
            </w:pPr>
            <w:r w:rsidRPr="00475E67">
              <w:rPr>
                <w:rFonts w:ascii="Times New Roman" w:hAnsi="Times New Roman"/>
                <w:b/>
                <w:sz w:val="20"/>
                <w:szCs w:val="20"/>
              </w:rPr>
              <w:t>0</w:t>
            </w:r>
          </w:p>
        </w:tc>
      </w:tr>
    </w:tbl>
    <w:p w:rsidR="004616EA" w:rsidRPr="00475E67" w:rsidRDefault="004616EA" w:rsidP="006B4162">
      <w:pPr>
        <w:pStyle w:val="af1"/>
        <w:jc w:val="center"/>
        <w:rPr>
          <w:rFonts w:ascii="Times New Roman" w:hAnsi="Times New Roman"/>
          <w:b w:val="0"/>
          <w:color w:val="auto"/>
          <w:sz w:val="24"/>
          <w:szCs w:val="24"/>
        </w:rPr>
      </w:pPr>
      <w:bookmarkStart w:id="110" w:name="_Ref397077479"/>
      <w:r w:rsidRPr="00475E67">
        <w:rPr>
          <w:rFonts w:ascii="Times New Roman" w:hAnsi="Times New Roman"/>
          <w:b w:val="0"/>
          <w:color w:val="auto"/>
          <w:sz w:val="24"/>
          <w:szCs w:val="24"/>
        </w:rPr>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sidR="001977F4">
        <w:rPr>
          <w:rFonts w:ascii="Times New Roman" w:hAnsi="Times New Roman"/>
          <w:b w:val="0"/>
          <w:noProof/>
          <w:color w:val="auto"/>
          <w:sz w:val="24"/>
          <w:szCs w:val="24"/>
        </w:rPr>
        <w:t>38</w:t>
      </w:r>
      <w:r w:rsidRPr="00475E67">
        <w:rPr>
          <w:rFonts w:ascii="Times New Roman" w:hAnsi="Times New Roman"/>
          <w:b w:val="0"/>
          <w:color w:val="auto"/>
          <w:sz w:val="24"/>
          <w:szCs w:val="24"/>
        </w:rPr>
        <w:fldChar w:fldCharType="end"/>
      </w:r>
      <w:bookmarkEnd w:id="110"/>
      <w:r w:rsidRPr="00475E67">
        <w:rPr>
          <w:rFonts w:ascii="Times New Roman" w:hAnsi="Times New Roman"/>
          <w:b w:val="0"/>
          <w:color w:val="auto"/>
          <w:sz w:val="24"/>
          <w:szCs w:val="24"/>
        </w:rPr>
        <w:t xml:space="preserve"> - Диагностика типа нефтегазодобывающего микро-кластера: выявление места в генетической типологии</w:t>
      </w:r>
    </w:p>
    <w:p w:rsidR="004616EA" w:rsidRPr="005B2DCE" w:rsidRDefault="00E70A58" w:rsidP="005B2DCE">
      <w:pPr>
        <w:spacing w:after="0" w:line="240" w:lineRule="auto"/>
        <w:ind w:firstLine="709"/>
        <w:jc w:val="both"/>
        <w:rPr>
          <w:rFonts w:ascii="Times New Roman" w:hAnsi="Times New Roman"/>
          <w:sz w:val="26"/>
          <w:szCs w:val="26"/>
        </w:rPr>
      </w:pPr>
      <w:r>
        <w:rPr>
          <w:noProof/>
          <w:lang w:eastAsia="ru-RU"/>
        </w:rPr>
        <mc:AlternateContent>
          <mc:Choice Requires="wps">
            <w:drawing>
              <wp:anchor distT="4294967291" distB="4294967291" distL="114300" distR="114300" simplePos="0" relativeHeight="251655680" behindDoc="0" locked="0" layoutInCell="1" allowOverlap="1">
                <wp:simplePos x="0" y="0"/>
                <wp:positionH relativeFrom="column">
                  <wp:posOffset>5229225</wp:posOffset>
                </wp:positionH>
                <wp:positionV relativeFrom="paragraph">
                  <wp:posOffset>7541894</wp:posOffset>
                </wp:positionV>
                <wp:extent cx="247650" cy="0"/>
                <wp:effectExtent l="0" t="76200" r="22225" b="95250"/>
                <wp:wrapNone/>
                <wp:docPr id="73" name="Прямая со стрелкой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76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B3B311" id="Прямая со стрелкой 11" o:spid="_x0000_s1026" type="#_x0000_t32" style="position:absolute;margin-left:411.75pt;margin-top:593.85pt;width:19.5pt;height:0;z-index:25165568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">
                <v:stroke endarrow="block"/>
              </v:shape>
            </w:pict>
          </mc:Fallback>
        </mc:AlternateContent>
      </w:r>
    </w:p>
    <w:p w:rsidR="004616EA" w:rsidRPr="005B2DCE" w:rsidRDefault="00E70A58" w:rsidP="005B2DCE">
      <w:pPr>
        <w:spacing w:after="0" w:line="240" w:lineRule="auto"/>
        <w:ind w:firstLine="709"/>
        <w:jc w:val="both"/>
        <w:rPr>
          <w:rFonts w:ascii="Times New Roman" w:hAnsi="Times New Roman"/>
          <w:sz w:val="26"/>
          <w:szCs w:val="26"/>
        </w:rPr>
      </w:pPr>
      <w:r>
        <w:rPr>
          <w:noProof/>
          <w:lang w:eastAsia="ru-RU"/>
        </w:rPr>
        <mc:AlternateContent>
          <mc:Choice Requires="wps">
            <w:drawing>
              <wp:anchor distT="4294967291" distB="4294967291" distL="114300" distR="114300" simplePos="0" relativeHeight="251652608" behindDoc="0" locked="0" layoutInCell="1" allowOverlap="1">
                <wp:simplePos x="0" y="0"/>
                <wp:positionH relativeFrom="column">
                  <wp:posOffset>4248150</wp:posOffset>
                </wp:positionH>
                <wp:positionV relativeFrom="paragraph">
                  <wp:posOffset>7541894</wp:posOffset>
                </wp:positionV>
                <wp:extent cx="247650" cy="0"/>
                <wp:effectExtent l="0" t="76200" r="22225" b="95250"/>
                <wp:wrapNone/>
                <wp:docPr id="72" name="Прямая со стрелкой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76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1F4967" id="Прямая со стрелкой 9" o:spid="_x0000_s1026" type="#_x0000_t32" style="position:absolute;margin-left:334.5pt;margin-top:593.85pt;width:19.5pt;height:0;z-index:25165260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">
                <v:stroke endarrow="block"/>
              </v:shape>
            </w:pict>
          </mc:Fallback>
        </mc:AlternateContent>
      </w:r>
      <w:r>
        <w:rPr>
          <w:noProof/>
          <w:lang w:eastAsia="ru-RU"/>
        </w:rPr>
        <mc:AlternateContent>
          <mc:Choice Requires="wps">
            <w:drawing>
              <wp:anchor distT="4294967291" distB="4294967291" distL="114300" distR="114300" simplePos="0" relativeHeight="251650560" behindDoc="0" locked="0" layoutInCell="1" allowOverlap="1">
                <wp:simplePos x="0" y="0"/>
                <wp:positionH relativeFrom="column">
                  <wp:posOffset>4248150</wp:posOffset>
                </wp:positionH>
                <wp:positionV relativeFrom="paragraph">
                  <wp:posOffset>7541894</wp:posOffset>
                </wp:positionV>
                <wp:extent cx="247650" cy="0"/>
                <wp:effectExtent l="0" t="76200" r="22225" b="95250"/>
                <wp:wrapNone/>
                <wp:docPr id="71" name="Прямая со стрелкой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76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EF05192" id="Прямая со стрелкой 7" o:spid="_x0000_s1026" type="#_x0000_t32" style="position:absolute;margin-left:334.5pt;margin-top:593.85pt;width:19.5pt;height:0;z-index:25165056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">
                <v:stroke endarrow="block"/>
              </v:shape>
            </w:pict>
          </mc:Fallback>
        </mc:AlternateContent>
      </w:r>
      <w:r w:rsidR="004616EA" w:rsidRPr="005B2DCE">
        <w:rPr>
          <w:rFonts w:ascii="Times New Roman" w:hAnsi="Times New Roman"/>
          <w:sz w:val="26"/>
          <w:szCs w:val="26"/>
        </w:rPr>
        <w:t>Нефтегазодобывающий микро-кластер города Когалыма относится к типу К831 «обслуживание – производство» (</w:t>
      </w:r>
      <w:r w:rsidR="001977F4">
        <w:fldChar w:fldCharType="begin"/>
      </w:r>
      <w:r w:rsidR="001977F4">
        <w:instrText xml:space="preserve"> REF _Ref397078022 \h  \* MERGEFORMAT </w:instrText>
      </w:r>
      <w:r w:rsidR="001977F4">
        <w:fldChar w:fldCharType="separate"/>
      </w:r>
      <w:r w:rsidR="001977F4" w:rsidRPr="001977F4">
        <w:rPr>
          <w:rFonts w:ascii="Times New Roman" w:hAnsi="Times New Roman"/>
          <w:sz w:val="26"/>
          <w:szCs w:val="26"/>
        </w:rPr>
        <w:t>Рисунок</w:t>
      </w:r>
      <w:r w:rsidR="001977F4" w:rsidRPr="001977F4">
        <w:rPr>
          <w:rFonts w:ascii="Times New Roman" w:hAnsi="Times New Roman"/>
          <w:b/>
          <w:sz w:val="24"/>
          <w:szCs w:val="24"/>
        </w:rPr>
        <w:t xml:space="preserve"> </w:t>
      </w:r>
      <w:r w:rsidR="001977F4">
        <w:rPr>
          <w:rFonts w:ascii="Times New Roman" w:hAnsi="Times New Roman"/>
          <w:b/>
          <w:noProof/>
          <w:sz w:val="24"/>
          <w:szCs w:val="24"/>
        </w:rPr>
        <w:t>39</w:t>
      </w:r>
      <w:r w:rsidR="001977F4">
        <w:fldChar w:fldCharType="end"/>
      </w:r>
      <w:r w:rsidR="004616EA" w:rsidRPr="005B2DCE">
        <w:rPr>
          <w:rFonts w:ascii="Times New Roman" w:hAnsi="Times New Roman"/>
          <w:sz w:val="26"/>
          <w:szCs w:val="26"/>
        </w:rPr>
        <w:t>). Можно выделить 2 варианта траекторий развития: К832 и К841 (данные траектории движения выбираются исходя из того, что один компонент кластерообразующего ядра должен остаться неизменным, а другой изменяется). Предлагается из данных вариантов выбрать для дальнейшего развития вариант К841 («потребление – производство»), поскольку выявлен потенциал реализации этой траектории прогрессивного развития (имеются сложившиеся компоненты, например, в виде нефтегазоперерабатывающего предприятия, однако его мощности и число предприятий в целом не являются достаточным и пока компании-потребители не сильно диверсифицированы по отраслям).</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Необходимо отметить, что также имеется определенное количество организаций в компонентах «Потребление», «Исследования» и «Обучение», которые расположены также на территории города Когалыма. На территории городского округа расположены научно-производственные центры, которые занимаются исследования в области нефтегазодобычи и нефтегазопереработки. Соответственно, нефтегазодобывающий микро-кластер города Когалыма имеет значительный потенциал развития компонента «Исследование». Следовательно, он может развиваться далее в направлении К851.</w:t>
      </w:r>
    </w:p>
    <w:p w:rsidR="004616EA" w:rsidRPr="005B2DCE" w:rsidRDefault="004616EA" w:rsidP="005B2DCE">
      <w:pPr>
        <w:pStyle w:val="af1"/>
        <w:spacing w:after="0"/>
        <w:ind w:firstLine="709"/>
        <w:jc w:val="both"/>
        <w:rPr>
          <w:rFonts w:ascii="Times New Roman" w:hAnsi="Times New Roman"/>
          <w:b w:val="0"/>
          <w:color w:val="auto"/>
          <w:sz w:val="24"/>
          <w:szCs w:val="24"/>
        </w:rPr>
      </w:pPr>
      <w:bookmarkStart w:id="111" w:name="_Ref397078022"/>
      <w:r w:rsidRPr="005B2DCE">
        <w:rPr>
          <w:rFonts w:ascii="Times New Roman" w:hAnsi="Times New Roman"/>
          <w:b w:val="0"/>
          <w:color w:val="auto"/>
          <w:sz w:val="24"/>
          <w:szCs w:val="24"/>
        </w:rPr>
        <w:t xml:space="preserve">Рисунок </w:t>
      </w:r>
      <w:r w:rsidRPr="005B2DCE">
        <w:rPr>
          <w:rFonts w:ascii="Times New Roman" w:hAnsi="Times New Roman"/>
          <w:b w:val="0"/>
          <w:color w:val="auto"/>
          <w:sz w:val="24"/>
          <w:szCs w:val="24"/>
        </w:rPr>
        <w:fldChar w:fldCharType="begin"/>
      </w:r>
      <w:r w:rsidRPr="005B2DCE">
        <w:rPr>
          <w:rFonts w:ascii="Times New Roman" w:hAnsi="Times New Roman"/>
          <w:b w:val="0"/>
          <w:color w:val="auto"/>
          <w:sz w:val="24"/>
          <w:szCs w:val="24"/>
        </w:rPr>
        <w:instrText xml:space="preserve"> SEQ Рисунок \* ARABIC </w:instrText>
      </w:r>
      <w:r w:rsidRPr="005B2DCE">
        <w:rPr>
          <w:rFonts w:ascii="Times New Roman" w:hAnsi="Times New Roman"/>
          <w:b w:val="0"/>
          <w:color w:val="auto"/>
          <w:sz w:val="24"/>
          <w:szCs w:val="24"/>
        </w:rPr>
        <w:fldChar w:fldCharType="separate"/>
      </w:r>
      <w:r w:rsidR="001977F4">
        <w:rPr>
          <w:rFonts w:ascii="Times New Roman" w:hAnsi="Times New Roman"/>
          <w:b w:val="0"/>
          <w:noProof/>
          <w:color w:val="auto"/>
          <w:sz w:val="24"/>
          <w:szCs w:val="24"/>
        </w:rPr>
        <w:t>39</w:t>
      </w:r>
      <w:r w:rsidRPr="005B2DCE">
        <w:rPr>
          <w:rFonts w:ascii="Times New Roman" w:hAnsi="Times New Roman"/>
          <w:b w:val="0"/>
          <w:color w:val="auto"/>
          <w:sz w:val="24"/>
          <w:szCs w:val="24"/>
        </w:rPr>
        <w:fldChar w:fldCharType="end"/>
      </w:r>
      <w:bookmarkEnd w:id="111"/>
      <w:r w:rsidRPr="005B2DCE">
        <w:rPr>
          <w:rFonts w:ascii="Times New Roman" w:hAnsi="Times New Roman"/>
          <w:b w:val="0"/>
          <w:color w:val="auto"/>
          <w:sz w:val="24"/>
          <w:szCs w:val="24"/>
        </w:rPr>
        <w:t xml:space="preserve"> - Ресурсное обеспечение и системные связи в существующем кластерообразующем ядре нефтегазодобывающего микро-кластера</w:t>
      </w:r>
    </w:p>
    <w:p w:rsidR="004616EA" w:rsidRPr="008255E5" w:rsidRDefault="004616EA" w:rsidP="005B2DCE">
      <w:pPr>
        <w:spacing w:after="0" w:line="240" w:lineRule="auto"/>
        <w:ind w:firstLine="709"/>
        <w:jc w:val="both"/>
        <w:rPr>
          <w:rFonts w:ascii="Times New Roman" w:hAnsi="Times New Roman"/>
          <w:sz w:val="8"/>
          <w:szCs w:val="26"/>
        </w:rPr>
      </w:pP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Следующим этапом формируется комплекс мер, обеспечивающих реализацию оптимальной траектории прогрессивного развития кластера.</w:t>
      </w:r>
    </w:p>
    <w:p w:rsidR="004616EA" w:rsidRPr="005B2DCE" w:rsidRDefault="00574C05" w:rsidP="005B2DCE">
      <w:pPr>
        <w:spacing w:after="0" w:line="240" w:lineRule="auto"/>
        <w:ind w:firstLine="709"/>
        <w:jc w:val="both"/>
        <w:rPr>
          <w:rFonts w:ascii="Times New Roman" w:hAnsi="Times New Roman"/>
          <w:sz w:val="26"/>
          <w:szCs w:val="26"/>
        </w:rPr>
      </w:pPr>
      <w:r>
        <w:rPr>
          <w:noProof/>
          <w:lang w:eastAsia="ru-RU"/>
        </w:rPr>
        <w:object w:dxaOrig="1440" w:dyaOrig="1440">
          <v:shape id="_x0000_s1035" type="#_x0000_t75" style="position:absolute;left:0;text-align:left;margin-left:10.75pt;margin-top:-71.5pt;width:435.05pt;height:301.7pt;z-index:251651584;mso-position-horizontal-relative:margin">
            <v:imagedata r:id="rId63" o:title=""/>
            <w10:wrap type="topAndBottom" anchorx="margin"/>
            <w10:anchorlock/>
          </v:shape>
          <o:OLEObject Type="Embed" ProgID="Visio.Drawing.11" ShapeID="_x0000_s1035" DrawAspect="Content" ObjectID="_1509436648" r:id="rId64"/>
        </w:object>
      </w:r>
      <w:r w:rsidR="004616EA" w:rsidRPr="005B2DCE">
        <w:rPr>
          <w:rFonts w:ascii="Times New Roman" w:hAnsi="Times New Roman"/>
          <w:sz w:val="26"/>
          <w:szCs w:val="26"/>
        </w:rPr>
        <w:t xml:space="preserve">Эти два компонента стимулируют развитие друг друга, и такой режим существования микро-кластера является наиболее благоприятным. Однако переход к нему опосредован режимами, когда один из компонентов ограничивает развитие другого. Таким образом, в качестве целей управления развитием микро-кластеров целесообразно рассматривать последовательно: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1) ускорение протекания режимов 2 или 3 (один из компонентов микро-кластера блокирует развитие другого);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2) содействие переходу микро-кластера из режимов 2 или 3 в режим 4 (оба компонента стимулируют развитие друг друга).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Указанные целевые направления могут быть реализованы путём управления разворачиванием межкомпонентного противоречия внутри ядра микро-кластера. Контекстные задачи субъекта управления можно свести к следующему комплексу мер.</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Меры, направленные на развитие существующего кластерообразующего ядра «Производство – Обслуживание»:</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1.</w:t>
      </w:r>
      <w:r w:rsidRPr="005B2DCE">
        <w:rPr>
          <w:rFonts w:ascii="Times New Roman" w:hAnsi="Times New Roman"/>
          <w:sz w:val="26"/>
          <w:szCs w:val="26"/>
        </w:rPr>
        <w:tab/>
        <w:t>Развитие компонента «Производство» путем поддержки развития существующих и создания новых нефтегазодобывающих предприятий, путем развития добычи нефти и газа, увеличение объемов добычи углеводородного сырья.</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2.</w:t>
      </w:r>
      <w:r w:rsidRPr="005B2DCE">
        <w:rPr>
          <w:rFonts w:ascii="Times New Roman" w:hAnsi="Times New Roman"/>
          <w:sz w:val="26"/>
          <w:szCs w:val="26"/>
        </w:rPr>
        <w:tab/>
        <w:t>Развитие компонента «Обслуживание» путем поддержки и стимулирования формирования новых малых и средних предприятий в данной отрасли.</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3.</w:t>
      </w:r>
      <w:r w:rsidRPr="005B2DCE">
        <w:rPr>
          <w:rFonts w:ascii="Times New Roman" w:hAnsi="Times New Roman"/>
          <w:sz w:val="26"/>
          <w:szCs w:val="26"/>
        </w:rPr>
        <w:tab/>
        <w:t>Развитие новых технологий в сфере нефтегазодобычи.</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4.</w:t>
      </w:r>
      <w:r w:rsidRPr="005B2DCE">
        <w:rPr>
          <w:rFonts w:ascii="Times New Roman" w:hAnsi="Times New Roman"/>
          <w:sz w:val="26"/>
          <w:szCs w:val="26"/>
        </w:rPr>
        <w:tab/>
        <w:t>Создание соответствующей инфраструктуры, обслуживающей микро-кластер, в частности, транспортной инфраструктуры, для чего требуется содействие органов власти, а также обоснованные инвестиционные проекты.</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После укрепления позиций ядра «Производство – Обслуживание» микро-кластер начинает искать дополнительные возможности для развития. Соответственно, схему ресурсного обеспечения и реализации системных связей в образующемся ядре «Производство – Потребление» можно представить следующим образом (</w:t>
      </w:r>
      <w:r w:rsidR="001977F4">
        <w:fldChar w:fldCharType="begin"/>
      </w:r>
      <w:r w:rsidR="001977F4">
        <w:instrText xml:space="preserve"> REF _Ref397078172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40</w:t>
      </w:r>
      <w:r w:rsidR="001977F4">
        <w:fldChar w:fldCharType="end"/>
      </w:r>
      <w:r w:rsidRPr="005B2DCE">
        <w:rPr>
          <w:rFonts w:ascii="Times New Roman" w:hAnsi="Times New Roman"/>
          <w:sz w:val="26"/>
          <w:szCs w:val="26"/>
        </w:rPr>
        <w:t>).</w:t>
      </w:r>
    </w:p>
    <w:p w:rsidR="004616EA" w:rsidRPr="005B2DCE" w:rsidRDefault="004616EA" w:rsidP="005B2DCE">
      <w:pPr>
        <w:spacing w:after="0" w:line="240" w:lineRule="auto"/>
        <w:ind w:firstLine="709"/>
        <w:jc w:val="both"/>
        <w:rPr>
          <w:rFonts w:ascii="Times New Roman" w:hAnsi="Times New Roman"/>
          <w:sz w:val="26"/>
          <w:szCs w:val="26"/>
        </w:rPr>
      </w:pPr>
    </w:p>
    <w:p w:rsidR="004616EA" w:rsidRPr="005B2DCE" w:rsidRDefault="00574C05" w:rsidP="005B2DCE">
      <w:pPr>
        <w:spacing w:after="0" w:line="240" w:lineRule="auto"/>
        <w:ind w:firstLine="709"/>
        <w:jc w:val="both"/>
        <w:rPr>
          <w:rFonts w:ascii="Times New Roman" w:hAnsi="Times New Roman"/>
          <w:b/>
          <w:sz w:val="26"/>
          <w:szCs w:val="26"/>
        </w:rPr>
      </w:pPr>
      <w:r>
        <w:rPr>
          <w:noProof/>
          <w:lang w:eastAsia="ru-RU"/>
        </w:rPr>
        <w:object w:dxaOrig="1440" w:dyaOrig="1440">
          <v:shape id="_x0000_s1036" type="#_x0000_t75" style="position:absolute;left:0;text-align:left;margin-left:55pt;margin-top:-1.65pt;width:313.5pt;height:281.45pt;z-index:-251650560;mso-position-horizontal-relative:margin" wrapcoords="8733 749 8733 1670 6511 2534 6511 4435 2325 4493 2119 4550 2119 8813 2739 9043 2325 9101 2119 9158 2119 10080 4082 10886 4289 10886 362 11635 362 16531 6149 17338 6769 17338 6769 21542 12660 21542 12660 17338 16949 17338 20618 16934 20670 11117 18965 10944 13229 10886 15657 10656 15812 8237 15554 8122 13229 8122 15657 7891 15761 7488 14676 7200 15606 7200 15812 7027 15812 5587 15606 5357 14934 5357 15761 5069 15554 4493 15812 4378 15812 2650 15399 2592 11213 2592 15709 2362 15657 1786 8940 1670 8940 749 8733 749">
            <v:imagedata r:id="rId65" o:title=""/>
            <w10:wrap type="tight" anchorx="margin"/>
            <w10:anchorlock/>
          </v:shape>
          <o:OLEObject Type="Embed" ProgID="Visio.Drawing.11" ShapeID="_x0000_s1036" DrawAspect="Content" ObjectID="_1509436649" r:id="rId66"/>
        </w:object>
      </w:r>
    </w:p>
    <w:p w:rsidR="004616EA" w:rsidRPr="005B2DCE" w:rsidRDefault="004616EA" w:rsidP="005B2DCE">
      <w:pPr>
        <w:spacing w:after="0" w:line="240" w:lineRule="auto"/>
        <w:ind w:firstLine="709"/>
        <w:jc w:val="both"/>
        <w:rPr>
          <w:rFonts w:ascii="Times New Roman" w:hAnsi="Times New Roman"/>
          <w:b/>
          <w:sz w:val="26"/>
          <w:szCs w:val="26"/>
        </w:rPr>
      </w:pPr>
    </w:p>
    <w:p w:rsidR="004616EA" w:rsidRPr="005B2DCE" w:rsidRDefault="004616EA" w:rsidP="005B2DCE">
      <w:pPr>
        <w:spacing w:after="0" w:line="240" w:lineRule="auto"/>
        <w:ind w:firstLine="709"/>
        <w:jc w:val="both"/>
        <w:rPr>
          <w:rFonts w:ascii="Times New Roman" w:hAnsi="Times New Roman"/>
          <w:b/>
          <w:sz w:val="26"/>
          <w:szCs w:val="26"/>
        </w:rPr>
      </w:pPr>
    </w:p>
    <w:p w:rsidR="004616EA" w:rsidRPr="005B2DCE" w:rsidRDefault="004616EA" w:rsidP="005B2DCE">
      <w:pPr>
        <w:spacing w:after="0" w:line="240" w:lineRule="auto"/>
        <w:ind w:firstLine="709"/>
        <w:jc w:val="both"/>
        <w:rPr>
          <w:rFonts w:ascii="Times New Roman" w:hAnsi="Times New Roman"/>
          <w:b/>
          <w:sz w:val="26"/>
          <w:szCs w:val="26"/>
        </w:rPr>
      </w:pPr>
    </w:p>
    <w:p w:rsidR="004616EA" w:rsidRDefault="004616EA" w:rsidP="005B2DCE">
      <w:pPr>
        <w:spacing w:after="0" w:line="240" w:lineRule="auto"/>
        <w:ind w:firstLine="709"/>
        <w:jc w:val="both"/>
        <w:rPr>
          <w:rFonts w:ascii="Times New Roman" w:hAnsi="Times New Roman"/>
          <w:b/>
          <w:sz w:val="26"/>
          <w:szCs w:val="26"/>
        </w:rPr>
      </w:pPr>
    </w:p>
    <w:p w:rsidR="004616EA" w:rsidRDefault="004616EA" w:rsidP="005B2DCE">
      <w:pPr>
        <w:spacing w:after="0" w:line="240" w:lineRule="auto"/>
        <w:ind w:firstLine="709"/>
        <w:jc w:val="both"/>
        <w:rPr>
          <w:rFonts w:ascii="Times New Roman" w:hAnsi="Times New Roman"/>
          <w:b/>
          <w:sz w:val="26"/>
          <w:szCs w:val="26"/>
        </w:rPr>
      </w:pPr>
    </w:p>
    <w:p w:rsidR="004616EA" w:rsidRDefault="004616EA" w:rsidP="005B2DCE">
      <w:pPr>
        <w:spacing w:after="0" w:line="240" w:lineRule="auto"/>
        <w:ind w:firstLine="709"/>
        <w:jc w:val="both"/>
        <w:rPr>
          <w:rFonts w:ascii="Times New Roman" w:hAnsi="Times New Roman"/>
          <w:b/>
          <w:sz w:val="26"/>
          <w:szCs w:val="26"/>
        </w:rPr>
      </w:pPr>
    </w:p>
    <w:p w:rsidR="004616EA" w:rsidRDefault="004616EA" w:rsidP="005B2DCE">
      <w:pPr>
        <w:spacing w:after="0" w:line="240" w:lineRule="auto"/>
        <w:ind w:firstLine="709"/>
        <w:jc w:val="both"/>
        <w:rPr>
          <w:rFonts w:ascii="Times New Roman" w:hAnsi="Times New Roman"/>
          <w:b/>
          <w:sz w:val="26"/>
          <w:szCs w:val="26"/>
        </w:rPr>
      </w:pPr>
    </w:p>
    <w:p w:rsidR="004616EA" w:rsidRDefault="004616EA" w:rsidP="008255E5">
      <w:pPr>
        <w:spacing w:after="0" w:line="240" w:lineRule="auto"/>
        <w:ind w:firstLine="709"/>
        <w:jc w:val="both"/>
        <w:rPr>
          <w:rFonts w:ascii="Times New Roman" w:hAnsi="Times New Roman"/>
          <w:b/>
          <w:sz w:val="26"/>
          <w:szCs w:val="26"/>
        </w:rPr>
      </w:pPr>
    </w:p>
    <w:p w:rsidR="004616EA" w:rsidRDefault="004616EA" w:rsidP="008255E5">
      <w:pPr>
        <w:spacing w:after="0" w:line="240" w:lineRule="auto"/>
        <w:ind w:firstLine="709"/>
        <w:jc w:val="both"/>
        <w:rPr>
          <w:rFonts w:ascii="Times New Roman" w:hAnsi="Times New Roman"/>
          <w:b/>
          <w:sz w:val="26"/>
          <w:szCs w:val="26"/>
        </w:rPr>
      </w:pPr>
    </w:p>
    <w:p w:rsidR="004616EA" w:rsidRDefault="004616EA" w:rsidP="008255E5">
      <w:pPr>
        <w:spacing w:after="0" w:line="240" w:lineRule="auto"/>
        <w:ind w:firstLine="709"/>
        <w:jc w:val="both"/>
        <w:rPr>
          <w:rFonts w:ascii="Times New Roman" w:hAnsi="Times New Roman"/>
          <w:b/>
          <w:sz w:val="26"/>
          <w:szCs w:val="26"/>
        </w:rPr>
      </w:pPr>
    </w:p>
    <w:p w:rsidR="004616EA" w:rsidRDefault="004616EA" w:rsidP="008255E5">
      <w:pPr>
        <w:spacing w:after="0" w:line="240" w:lineRule="auto"/>
        <w:ind w:firstLine="709"/>
        <w:jc w:val="both"/>
        <w:rPr>
          <w:rFonts w:ascii="Times New Roman" w:hAnsi="Times New Roman"/>
          <w:b/>
          <w:sz w:val="26"/>
          <w:szCs w:val="26"/>
        </w:rPr>
      </w:pPr>
    </w:p>
    <w:p w:rsidR="004616EA" w:rsidRDefault="004616EA" w:rsidP="008255E5">
      <w:pPr>
        <w:spacing w:after="0" w:line="240" w:lineRule="auto"/>
        <w:ind w:firstLine="709"/>
        <w:jc w:val="both"/>
        <w:rPr>
          <w:rFonts w:ascii="Times New Roman" w:hAnsi="Times New Roman"/>
          <w:b/>
          <w:sz w:val="26"/>
          <w:szCs w:val="26"/>
        </w:rPr>
      </w:pPr>
    </w:p>
    <w:p w:rsidR="004616EA" w:rsidRDefault="004616EA" w:rsidP="008255E5">
      <w:pPr>
        <w:spacing w:after="0" w:line="240" w:lineRule="auto"/>
        <w:ind w:firstLine="709"/>
        <w:jc w:val="both"/>
        <w:rPr>
          <w:rFonts w:ascii="Times New Roman" w:hAnsi="Times New Roman"/>
          <w:b/>
          <w:sz w:val="26"/>
          <w:szCs w:val="26"/>
        </w:rPr>
      </w:pPr>
    </w:p>
    <w:p w:rsidR="004616EA" w:rsidRPr="005B2DCE" w:rsidRDefault="004616EA" w:rsidP="008255E5">
      <w:pPr>
        <w:spacing w:after="0" w:line="240" w:lineRule="auto"/>
        <w:ind w:firstLine="709"/>
        <w:jc w:val="both"/>
        <w:rPr>
          <w:rFonts w:ascii="Times New Roman" w:hAnsi="Times New Roman"/>
          <w:b/>
          <w:sz w:val="26"/>
          <w:szCs w:val="26"/>
        </w:rPr>
      </w:pPr>
    </w:p>
    <w:p w:rsidR="004616EA" w:rsidRPr="005B2DCE" w:rsidRDefault="004616EA" w:rsidP="008255E5">
      <w:pPr>
        <w:spacing w:after="0" w:line="240" w:lineRule="auto"/>
        <w:ind w:firstLine="709"/>
        <w:jc w:val="both"/>
        <w:rPr>
          <w:rFonts w:ascii="Times New Roman" w:hAnsi="Times New Roman"/>
          <w:b/>
          <w:sz w:val="26"/>
          <w:szCs w:val="26"/>
        </w:rPr>
      </w:pPr>
    </w:p>
    <w:p w:rsidR="004616EA" w:rsidRPr="00475E67" w:rsidRDefault="004616EA" w:rsidP="008255E5">
      <w:pPr>
        <w:spacing w:after="0" w:line="240" w:lineRule="auto"/>
        <w:ind w:firstLine="708"/>
        <w:jc w:val="both"/>
        <w:rPr>
          <w:rFonts w:ascii="Times New Roman" w:hAnsi="Times New Roman"/>
          <w:b/>
          <w:sz w:val="24"/>
        </w:rPr>
      </w:pPr>
    </w:p>
    <w:p w:rsidR="004616EA" w:rsidRPr="00475E67" w:rsidRDefault="004616EA" w:rsidP="008255E5">
      <w:pPr>
        <w:spacing w:after="0" w:line="240" w:lineRule="auto"/>
        <w:ind w:firstLine="708"/>
        <w:jc w:val="both"/>
        <w:rPr>
          <w:rFonts w:ascii="Times New Roman" w:hAnsi="Times New Roman"/>
          <w:b/>
          <w:sz w:val="24"/>
        </w:rPr>
      </w:pPr>
    </w:p>
    <w:p w:rsidR="004616EA" w:rsidRDefault="004616EA" w:rsidP="008255E5">
      <w:pPr>
        <w:spacing w:after="0" w:line="240" w:lineRule="auto"/>
        <w:ind w:firstLine="708"/>
        <w:jc w:val="both"/>
        <w:rPr>
          <w:rFonts w:ascii="Times New Roman" w:hAnsi="Times New Roman"/>
          <w:b/>
          <w:sz w:val="24"/>
        </w:rPr>
      </w:pPr>
    </w:p>
    <w:p w:rsidR="004616EA" w:rsidRPr="00475E67" w:rsidRDefault="004616EA" w:rsidP="008255E5">
      <w:pPr>
        <w:pStyle w:val="af1"/>
        <w:spacing w:after="0"/>
        <w:jc w:val="center"/>
        <w:rPr>
          <w:rFonts w:ascii="Times New Roman" w:hAnsi="Times New Roman"/>
          <w:b w:val="0"/>
          <w:color w:val="auto"/>
          <w:sz w:val="24"/>
        </w:rPr>
      </w:pPr>
      <w:bookmarkStart w:id="112" w:name="_Ref397078172"/>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40</w:t>
      </w:r>
      <w:r w:rsidRPr="00475E67">
        <w:rPr>
          <w:rFonts w:ascii="Times New Roman" w:hAnsi="Times New Roman"/>
          <w:b w:val="0"/>
          <w:color w:val="auto"/>
          <w:sz w:val="24"/>
        </w:rPr>
        <w:fldChar w:fldCharType="end"/>
      </w:r>
      <w:bookmarkEnd w:id="112"/>
      <w:r w:rsidRPr="00475E67">
        <w:rPr>
          <w:rFonts w:ascii="Times New Roman" w:hAnsi="Times New Roman"/>
          <w:b w:val="0"/>
          <w:color w:val="auto"/>
          <w:sz w:val="24"/>
        </w:rPr>
        <w:t xml:space="preserve"> - Ресурсное обеспечение и системные связи в перспективном кластерообразующем ядре нефтегазодобывающего микро-кластера</w:t>
      </w:r>
    </w:p>
    <w:p w:rsidR="004616EA" w:rsidRPr="00475E67" w:rsidRDefault="004616EA" w:rsidP="00EC4816">
      <w:pPr>
        <w:spacing w:after="0" w:line="360" w:lineRule="auto"/>
        <w:ind w:firstLine="708"/>
        <w:jc w:val="both"/>
        <w:rPr>
          <w:rFonts w:ascii="Times New Roman" w:hAnsi="Times New Roman"/>
          <w:sz w:val="24"/>
        </w:rPr>
      </w:pPr>
    </w:p>
    <w:p w:rsidR="004616EA" w:rsidRPr="008255E5" w:rsidRDefault="004616EA" w:rsidP="008255E5">
      <w:pPr>
        <w:spacing w:after="0" w:line="240" w:lineRule="auto"/>
        <w:ind w:firstLine="709"/>
        <w:jc w:val="both"/>
        <w:rPr>
          <w:rFonts w:ascii="Times New Roman" w:hAnsi="Times New Roman"/>
          <w:b/>
          <w:sz w:val="26"/>
          <w:szCs w:val="26"/>
        </w:rPr>
      </w:pPr>
      <w:r w:rsidRPr="008255E5">
        <w:rPr>
          <w:rFonts w:ascii="Times New Roman" w:hAnsi="Times New Roman"/>
          <w:b/>
          <w:sz w:val="26"/>
          <w:szCs w:val="26"/>
        </w:rPr>
        <w:t>Меры, направленные на развитие перспективного кластерообразующего ядра «Производство – Потребление»:</w:t>
      </w:r>
    </w:p>
    <w:p w:rsidR="004616EA" w:rsidRPr="008255E5" w:rsidRDefault="004616EA" w:rsidP="008255E5">
      <w:pPr>
        <w:pStyle w:val="a7"/>
        <w:numPr>
          <w:ilvl w:val="0"/>
          <w:numId w:val="23"/>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Развитие компонента «Потребление» путем наращивания объемов производства за счет строительства новых производственных мощностей по переработке нефти и попутного нефтяного газа.</w:t>
      </w:r>
    </w:p>
    <w:p w:rsidR="004616EA" w:rsidRPr="008255E5" w:rsidRDefault="004616EA" w:rsidP="008255E5">
      <w:pPr>
        <w:pStyle w:val="a7"/>
        <w:numPr>
          <w:ilvl w:val="0"/>
          <w:numId w:val="23"/>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Содействие проведению исследований в отрасли нефтегазопереработки с целью повышения ее эффективности и конкурентоспособности.</w:t>
      </w:r>
    </w:p>
    <w:p w:rsidR="004616EA" w:rsidRPr="008255E5" w:rsidRDefault="004616EA" w:rsidP="008255E5">
      <w:pPr>
        <w:pStyle w:val="a7"/>
        <w:numPr>
          <w:ilvl w:val="0"/>
          <w:numId w:val="23"/>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Административное стимулирование внедрения на нефтегазоперерабатывающих предприятиях новых технологий и производства инновационной продукции.</w:t>
      </w:r>
    </w:p>
    <w:p w:rsidR="004616EA" w:rsidRPr="008255E5" w:rsidRDefault="004616EA" w:rsidP="008255E5">
      <w:pPr>
        <w:pStyle w:val="a7"/>
        <w:numPr>
          <w:ilvl w:val="0"/>
          <w:numId w:val="23"/>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Подготовка необходимых для развития отрасли специалистов на базе имеющихся образовательных учреждений.</w:t>
      </w:r>
    </w:p>
    <w:p w:rsidR="004616EA" w:rsidRPr="008255E5" w:rsidRDefault="004616EA" w:rsidP="008255E5">
      <w:pPr>
        <w:spacing w:after="0" w:line="240" w:lineRule="auto"/>
        <w:ind w:firstLine="709"/>
        <w:jc w:val="both"/>
        <w:rPr>
          <w:rFonts w:ascii="Times New Roman" w:hAnsi="Times New Roman"/>
          <w:b/>
          <w:sz w:val="26"/>
          <w:szCs w:val="26"/>
        </w:rPr>
      </w:pPr>
      <w:r w:rsidRPr="008255E5">
        <w:rPr>
          <w:rFonts w:ascii="Times New Roman" w:hAnsi="Times New Roman"/>
          <w:b/>
          <w:sz w:val="26"/>
          <w:szCs w:val="26"/>
        </w:rPr>
        <w:t>3.1.2.2 Строительный микро-кластер</w:t>
      </w:r>
    </w:p>
    <w:p w:rsidR="004616EA" w:rsidRPr="008255E5" w:rsidRDefault="004616EA" w:rsidP="008255E5">
      <w:pPr>
        <w:pStyle w:val="ab"/>
        <w:spacing w:before="0" w:after="0"/>
        <w:ind w:firstLine="709"/>
        <w:rPr>
          <w:sz w:val="26"/>
          <w:szCs w:val="26"/>
        </w:rPr>
      </w:pPr>
      <w:r w:rsidRPr="008255E5">
        <w:rPr>
          <w:sz w:val="26"/>
          <w:szCs w:val="26"/>
        </w:rPr>
        <w:t>Далее проведем подробный анализ строительного микро-кластера, который также можно выделить на территории городского округа город Когалым. Для начала выявим компонентную линейку микро-кластера и определим кластерообразующее ядро - наиболее сильные из выявленных компонентов, взаимодействующие друг с другом. Компонентная линейка приведена в табличной форме и состоит из следующих компонентов: производство, обеспечение, потребление и обучение (</w:t>
      </w:r>
      <w:r w:rsidR="001977F4">
        <w:fldChar w:fldCharType="begin"/>
      </w:r>
      <w:r w:rsidR="001977F4">
        <w:instrText xml:space="preserve"> REF _Ref397078409 \h  \* MERGEFORMAT </w:instrText>
      </w:r>
      <w:r w:rsidR="001977F4">
        <w:fldChar w:fldCharType="separate"/>
      </w:r>
      <w:r w:rsidR="001977F4" w:rsidRPr="008255E5">
        <w:rPr>
          <w:sz w:val="26"/>
          <w:szCs w:val="26"/>
        </w:rPr>
        <w:t xml:space="preserve">Таблица </w:t>
      </w:r>
      <w:r w:rsidR="001977F4" w:rsidRPr="001977F4">
        <w:rPr>
          <w:sz w:val="26"/>
          <w:szCs w:val="26"/>
        </w:rPr>
        <w:t>7</w:t>
      </w:r>
      <w:r w:rsidR="001977F4">
        <w:fldChar w:fldCharType="end"/>
      </w:r>
      <w:r w:rsidRPr="008255E5">
        <w:rPr>
          <w:sz w:val="26"/>
          <w:szCs w:val="26"/>
        </w:rPr>
        <w:t>).</w:t>
      </w:r>
    </w:p>
    <w:p w:rsidR="004616EA" w:rsidRPr="008255E5" w:rsidRDefault="004616EA" w:rsidP="008255E5">
      <w:pPr>
        <w:pStyle w:val="af1"/>
        <w:keepNext/>
        <w:spacing w:after="0"/>
        <w:ind w:firstLine="709"/>
        <w:jc w:val="both"/>
        <w:rPr>
          <w:rFonts w:ascii="Times New Roman" w:hAnsi="Times New Roman"/>
          <w:b w:val="0"/>
          <w:color w:val="auto"/>
          <w:sz w:val="26"/>
          <w:szCs w:val="26"/>
        </w:rPr>
      </w:pPr>
      <w:bookmarkStart w:id="113" w:name="_Ref397078409"/>
      <w:bookmarkStart w:id="114" w:name="_Ref397078406"/>
      <w:r w:rsidRPr="008255E5">
        <w:rPr>
          <w:rFonts w:ascii="Times New Roman" w:hAnsi="Times New Roman"/>
          <w:b w:val="0"/>
          <w:color w:val="auto"/>
          <w:sz w:val="26"/>
          <w:szCs w:val="26"/>
        </w:rPr>
        <w:t xml:space="preserve">Таблица </w:t>
      </w:r>
      <w:r w:rsidRPr="008255E5">
        <w:rPr>
          <w:rFonts w:ascii="Times New Roman" w:hAnsi="Times New Roman"/>
          <w:b w:val="0"/>
          <w:color w:val="auto"/>
          <w:sz w:val="26"/>
          <w:szCs w:val="26"/>
        </w:rPr>
        <w:fldChar w:fldCharType="begin"/>
      </w:r>
      <w:r w:rsidRPr="008255E5">
        <w:rPr>
          <w:rFonts w:ascii="Times New Roman" w:hAnsi="Times New Roman"/>
          <w:b w:val="0"/>
          <w:color w:val="auto"/>
          <w:sz w:val="26"/>
          <w:szCs w:val="26"/>
        </w:rPr>
        <w:instrText xml:space="preserve"> SEQ Таблица \* ARABIC </w:instrText>
      </w:r>
      <w:r w:rsidRPr="008255E5">
        <w:rPr>
          <w:rFonts w:ascii="Times New Roman" w:hAnsi="Times New Roman"/>
          <w:b w:val="0"/>
          <w:color w:val="auto"/>
          <w:sz w:val="26"/>
          <w:szCs w:val="26"/>
        </w:rPr>
        <w:fldChar w:fldCharType="separate"/>
      </w:r>
      <w:r w:rsidR="001977F4">
        <w:rPr>
          <w:rFonts w:ascii="Times New Roman" w:hAnsi="Times New Roman"/>
          <w:b w:val="0"/>
          <w:noProof/>
          <w:color w:val="auto"/>
          <w:sz w:val="26"/>
          <w:szCs w:val="26"/>
        </w:rPr>
        <w:t>7</w:t>
      </w:r>
      <w:r w:rsidRPr="008255E5">
        <w:rPr>
          <w:rFonts w:ascii="Times New Roman" w:hAnsi="Times New Roman"/>
          <w:b w:val="0"/>
          <w:color w:val="auto"/>
          <w:sz w:val="26"/>
          <w:szCs w:val="26"/>
        </w:rPr>
        <w:fldChar w:fldCharType="end"/>
      </w:r>
      <w:bookmarkEnd w:id="113"/>
      <w:r w:rsidRPr="008255E5">
        <w:rPr>
          <w:rFonts w:ascii="Times New Roman" w:hAnsi="Times New Roman"/>
          <w:b w:val="0"/>
          <w:color w:val="auto"/>
          <w:sz w:val="26"/>
          <w:szCs w:val="26"/>
        </w:rPr>
        <w:t xml:space="preserve"> - Структура строительного микро-кластера города Когалыма</w:t>
      </w:r>
      <w:bookmarkEnd w:id="114"/>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39"/>
        <w:gridCol w:w="7004"/>
      </w:tblGrid>
      <w:tr w:rsidR="004616EA" w:rsidRPr="00475E67" w:rsidTr="00442D55">
        <w:trPr>
          <w:tblHeader/>
          <w:jc w:val="center"/>
        </w:trPr>
        <w:tc>
          <w:tcPr>
            <w:tcW w:w="1040" w:type="pct"/>
            <w:vAlign w:val="center"/>
          </w:tcPr>
          <w:p w:rsidR="004616EA" w:rsidRPr="00475E67" w:rsidRDefault="004616EA" w:rsidP="00804E3C">
            <w:pPr>
              <w:spacing w:after="0"/>
              <w:jc w:val="center"/>
              <w:rPr>
                <w:rFonts w:ascii="Times New Roman" w:hAnsi="Times New Roman"/>
                <w:b/>
                <w:sz w:val="24"/>
              </w:rPr>
            </w:pPr>
            <w:r w:rsidRPr="00475E67">
              <w:rPr>
                <w:rFonts w:ascii="Times New Roman" w:hAnsi="Times New Roman"/>
                <w:b/>
                <w:sz w:val="24"/>
              </w:rPr>
              <w:t>Наименование компонента</w:t>
            </w:r>
          </w:p>
        </w:tc>
        <w:tc>
          <w:tcPr>
            <w:tcW w:w="3960" w:type="pct"/>
            <w:vAlign w:val="center"/>
          </w:tcPr>
          <w:p w:rsidR="004616EA" w:rsidRPr="00475E67" w:rsidRDefault="004616EA" w:rsidP="00804E3C">
            <w:pPr>
              <w:spacing w:after="0"/>
              <w:jc w:val="center"/>
              <w:rPr>
                <w:rFonts w:ascii="Times New Roman" w:hAnsi="Times New Roman"/>
                <w:b/>
                <w:sz w:val="24"/>
              </w:rPr>
            </w:pPr>
            <w:r w:rsidRPr="00475E67">
              <w:rPr>
                <w:rFonts w:ascii="Times New Roman" w:hAnsi="Times New Roman"/>
                <w:b/>
                <w:sz w:val="24"/>
              </w:rPr>
              <w:t>Организации, реализующие соответствующие виды деятельности</w:t>
            </w:r>
          </w:p>
        </w:tc>
      </w:tr>
      <w:tr w:rsidR="004616EA" w:rsidRPr="00475E67" w:rsidTr="00442D55">
        <w:tblPrEx>
          <w:tblBorders>
            <w:bottom w:val="single" w:sz="4" w:space="0" w:color="auto"/>
          </w:tblBorders>
        </w:tblPrEx>
        <w:trPr>
          <w:trHeight w:val="20"/>
          <w:jc w:val="center"/>
        </w:trPr>
        <w:tc>
          <w:tcPr>
            <w:tcW w:w="1040" w:type="pct"/>
          </w:tcPr>
          <w:p w:rsidR="004616EA" w:rsidRPr="00475E67" w:rsidRDefault="004616EA" w:rsidP="00804E3C">
            <w:pPr>
              <w:spacing w:after="0"/>
              <w:jc w:val="center"/>
              <w:rPr>
                <w:rFonts w:ascii="Times New Roman" w:hAnsi="Times New Roman"/>
                <w:sz w:val="24"/>
              </w:rPr>
            </w:pPr>
            <w:r w:rsidRPr="00475E67">
              <w:rPr>
                <w:rFonts w:ascii="Times New Roman" w:hAnsi="Times New Roman"/>
                <w:sz w:val="24"/>
              </w:rPr>
              <w:t>К1 Производство</w:t>
            </w:r>
          </w:p>
        </w:tc>
        <w:tc>
          <w:tcPr>
            <w:tcW w:w="3960" w:type="pct"/>
            <w:vAlign w:val="center"/>
          </w:tcPr>
          <w:p w:rsidR="004616EA" w:rsidRPr="00475E67" w:rsidRDefault="004616EA" w:rsidP="00804E3C">
            <w:pPr>
              <w:spacing w:after="0"/>
              <w:jc w:val="both"/>
              <w:rPr>
                <w:rFonts w:ascii="Times New Roman" w:hAnsi="Times New Roman"/>
                <w:b/>
                <w:sz w:val="24"/>
                <w:u w:val="single"/>
              </w:rPr>
            </w:pPr>
            <w:r w:rsidRPr="00475E67">
              <w:rPr>
                <w:rFonts w:ascii="Times New Roman" w:hAnsi="Times New Roman"/>
                <w:sz w:val="24"/>
                <w:u w:val="single"/>
              </w:rPr>
              <w:t>Строительные организации</w:t>
            </w:r>
          </w:p>
          <w:p w:rsidR="004616EA" w:rsidRPr="00475E67" w:rsidRDefault="004616EA" w:rsidP="00804E3C">
            <w:pPr>
              <w:spacing w:after="0"/>
              <w:jc w:val="both"/>
              <w:rPr>
                <w:rFonts w:ascii="Times New Roman" w:hAnsi="Times New Roman"/>
                <w:sz w:val="24"/>
              </w:rPr>
            </w:pPr>
            <w:r w:rsidRPr="00475E67">
              <w:rPr>
                <w:rFonts w:ascii="Times New Roman" w:hAnsi="Times New Roman"/>
                <w:sz w:val="24"/>
              </w:rPr>
              <w:t>ООО «ЮГРАМАРКЕТ»</w:t>
            </w:r>
          </w:p>
          <w:p w:rsidR="004616EA" w:rsidRPr="00475E67" w:rsidRDefault="004616EA" w:rsidP="00804E3C">
            <w:pPr>
              <w:spacing w:after="0"/>
              <w:jc w:val="both"/>
              <w:rPr>
                <w:rFonts w:ascii="Times New Roman" w:hAnsi="Times New Roman"/>
                <w:sz w:val="24"/>
              </w:rPr>
            </w:pPr>
            <w:r w:rsidRPr="00475E67">
              <w:rPr>
                <w:rFonts w:ascii="Times New Roman" w:hAnsi="Times New Roman"/>
                <w:sz w:val="24"/>
              </w:rPr>
              <w:t>ООО «Росавтодорремонт»</w:t>
            </w:r>
          </w:p>
          <w:p w:rsidR="004616EA" w:rsidRPr="00475E67" w:rsidRDefault="004616EA" w:rsidP="00804E3C">
            <w:pPr>
              <w:spacing w:after="0"/>
              <w:jc w:val="both"/>
              <w:rPr>
                <w:rFonts w:ascii="Times New Roman" w:hAnsi="Times New Roman"/>
                <w:sz w:val="24"/>
              </w:rPr>
            </w:pPr>
            <w:r w:rsidRPr="00475E67">
              <w:rPr>
                <w:rFonts w:ascii="Times New Roman" w:hAnsi="Times New Roman"/>
                <w:sz w:val="24"/>
              </w:rPr>
              <w:t>ООО Строительное предприятие «Нефтестрой»</w:t>
            </w:r>
          </w:p>
        </w:tc>
      </w:tr>
      <w:tr w:rsidR="004616EA" w:rsidRPr="00475E67" w:rsidTr="00442D55">
        <w:tblPrEx>
          <w:tblBorders>
            <w:bottom w:val="single" w:sz="4" w:space="0" w:color="auto"/>
          </w:tblBorders>
        </w:tblPrEx>
        <w:trPr>
          <w:trHeight w:val="1598"/>
          <w:jc w:val="center"/>
        </w:trPr>
        <w:tc>
          <w:tcPr>
            <w:tcW w:w="1040" w:type="pct"/>
          </w:tcPr>
          <w:p w:rsidR="004616EA" w:rsidRPr="00475E67" w:rsidRDefault="004616EA" w:rsidP="00804E3C">
            <w:pPr>
              <w:spacing w:after="0"/>
              <w:jc w:val="center"/>
              <w:rPr>
                <w:rFonts w:ascii="Times New Roman" w:hAnsi="Times New Roman"/>
                <w:sz w:val="24"/>
              </w:rPr>
            </w:pPr>
            <w:r w:rsidRPr="00475E67">
              <w:rPr>
                <w:rFonts w:ascii="Times New Roman" w:hAnsi="Times New Roman"/>
                <w:sz w:val="24"/>
              </w:rPr>
              <w:t>К2 Обеспечение</w:t>
            </w:r>
          </w:p>
        </w:tc>
        <w:tc>
          <w:tcPr>
            <w:tcW w:w="3960" w:type="pct"/>
            <w:vAlign w:val="center"/>
          </w:tcPr>
          <w:p w:rsidR="004616EA" w:rsidRPr="00475E67" w:rsidRDefault="004616EA" w:rsidP="00804E3C">
            <w:pPr>
              <w:spacing w:after="0"/>
              <w:jc w:val="both"/>
              <w:rPr>
                <w:rFonts w:ascii="Times New Roman" w:hAnsi="Times New Roman"/>
                <w:sz w:val="24"/>
                <w:u w:val="single"/>
              </w:rPr>
            </w:pPr>
            <w:r w:rsidRPr="00475E67">
              <w:rPr>
                <w:rFonts w:ascii="Times New Roman" w:hAnsi="Times New Roman"/>
                <w:sz w:val="24"/>
                <w:u w:val="single"/>
              </w:rPr>
              <w:t>Производство изделий из бетона, гипса и цемента</w:t>
            </w:r>
          </w:p>
          <w:p w:rsidR="004616EA" w:rsidRPr="00475E67" w:rsidRDefault="004616EA" w:rsidP="00804E3C">
            <w:pPr>
              <w:spacing w:after="0"/>
              <w:jc w:val="both"/>
              <w:rPr>
                <w:rFonts w:ascii="Times New Roman" w:hAnsi="Times New Roman"/>
                <w:sz w:val="24"/>
              </w:rPr>
            </w:pPr>
            <w:r w:rsidRPr="00475E67">
              <w:rPr>
                <w:rFonts w:ascii="Times New Roman" w:hAnsi="Times New Roman"/>
                <w:sz w:val="24"/>
              </w:rPr>
              <w:t>Когалымское городское МУП "Управление производственно-технологической комплектации"</w:t>
            </w:r>
          </w:p>
          <w:p w:rsidR="004616EA" w:rsidRPr="00475E67" w:rsidRDefault="004616EA" w:rsidP="00804E3C">
            <w:pPr>
              <w:spacing w:after="0"/>
              <w:jc w:val="both"/>
              <w:rPr>
                <w:rFonts w:ascii="Times New Roman" w:hAnsi="Times New Roman"/>
                <w:sz w:val="24"/>
              </w:rPr>
            </w:pPr>
            <w:r w:rsidRPr="00475E67">
              <w:rPr>
                <w:rFonts w:ascii="Times New Roman" w:hAnsi="Times New Roman"/>
                <w:sz w:val="24"/>
              </w:rPr>
              <w:t>Филиал «Ханты-Мансийский» ООО «Градэкс»</w:t>
            </w:r>
          </w:p>
          <w:p w:rsidR="004616EA" w:rsidRPr="00475E67" w:rsidRDefault="004616EA" w:rsidP="00804E3C">
            <w:pPr>
              <w:spacing w:after="0"/>
              <w:jc w:val="both"/>
              <w:rPr>
                <w:rFonts w:ascii="Times New Roman" w:hAnsi="Times New Roman"/>
                <w:sz w:val="24"/>
              </w:rPr>
            </w:pPr>
            <w:r w:rsidRPr="00475E67">
              <w:rPr>
                <w:rFonts w:ascii="Times New Roman" w:hAnsi="Times New Roman"/>
                <w:sz w:val="24"/>
              </w:rPr>
              <w:t>ООО «Си Групп Югра»</w:t>
            </w:r>
          </w:p>
          <w:p w:rsidR="004616EA" w:rsidRPr="00475E67" w:rsidRDefault="004616EA" w:rsidP="00804E3C">
            <w:pPr>
              <w:spacing w:after="0"/>
              <w:jc w:val="both"/>
              <w:rPr>
                <w:rFonts w:ascii="Times New Roman" w:hAnsi="Times New Roman"/>
                <w:sz w:val="24"/>
                <w:u w:val="single"/>
              </w:rPr>
            </w:pPr>
            <w:r w:rsidRPr="00475E67">
              <w:rPr>
                <w:rFonts w:ascii="Times New Roman" w:hAnsi="Times New Roman"/>
                <w:sz w:val="24"/>
                <w:u w:val="single"/>
              </w:rPr>
              <w:t>Производство пластмассовых изделий, используемых в строительстве</w:t>
            </w:r>
          </w:p>
          <w:p w:rsidR="004616EA" w:rsidRPr="00475E67" w:rsidRDefault="004616EA" w:rsidP="00804E3C">
            <w:pPr>
              <w:spacing w:after="0"/>
              <w:jc w:val="both"/>
              <w:rPr>
                <w:rFonts w:ascii="Times New Roman" w:hAnsi="Times New Roman"/>
                <w:sz w:val="24"/>
              </w:rPr>
            </w:pPr>
            <w:r w:rsidRPr="00475E67">
              <w:rPr>
                <w:rFonts w:ascii="Times New Roman" w:hAnsi="Times New Roman"/>
                <w:sz w:val="24"/>
              </w:rPr>
              <w:t>ООО «Мегапласт"</w:t>
            </w:r>
          </w:p>
          <w:p w:rsidR="004616EA" w:rsidRPr="00475E67" w:rsidRDefault="004616EA" w:rsidP="00804E3C">
            <w:pPr>
              <w:spacing w:after="0"/>
              <w:jc w:val="both"/>
              <w:rPr>
                <w:rFonts w:ascii="Times New Roman" w:hAnsi="Times New Roman"/>
                <w:sz w:val="24"/>
              </w:rPr>
            </w:pPr>
            <w:r w:rsidRPr="00475E67">
              <w:rPr>
                <w:rFonts w:ascii="Times New Roman" w:hAnsi="Times New Roman"/>
                <w:sz w:val="24"/>
              </w:rPr>
              <w:t>ООО «Когалымский завод металло-пластиковых конструкций"</w:t>
            </w:r>
          </w:p>
        </w:tc>
      </w:tr>
      <w:tr w:rsidR="004616EA" w:rsidRPr="00475E67" w:rsidTr="00442D55">
        <w:tblPrEx>
          <w:tblBorders>
            <w:bottom w:val="single" w:sz="4" w:space="0" w:color="auto"/>
          </w:tblBorders>
        </w:tblPrEx>
        <w:trPr>
          <w:jc w:val="center"/>
        </w:trPr>
        <w:tc>
          <w:tcPr>
            <w:tcW w:w="1040" w:type="pct"/>
          </w:tcPr>
          <w:p w:rsidR="004616EA" w:rsidRPr="00475E67" w:rsidRDefault="004616EA" w:rsidP="00804E3C">
            <w:pPr>
              <w:spacing w:after="0"/>
              <w:jc w:val="center"/>
              <w:rPr>
                <w:rFonts w:ascii="Times New Roman" w:hAnsi="Times New Roman"/>
                <w:sz w:val="24"/>
              </w:rPr>
            </w:pPr>
            <w:r w:rsidRPr="00475E67">
              <w:rPr>
                <w:rFonts w:ascii="Times New Roman" w:hAnsi="Times New Roman"/>
                <w:sz w:val="24"/>
              </w:rPr>
              <w:t>К3 Обслуживание</w:t>
            </w:r>
          </w:p>
        </w:tc>
        <w:tc>
          <w:tcPr>
            <w:tcW w:w="3960" w:type="pct"/>
            <w:vAlign w:val="center"/>
          </w:tcPr>
          <w:p w:rsidR="004616EA" w:rsidRPr="00475E67" w:rsidRDefault="004616EA" w:rsidP="00804E3C">
            <w:pPr>
              <w:spacing w:after="0"/>
              <w:jc w:val="both"/>
              <w:rPr>
                <w:rFonts w:ascii="Times New Roman" w:hAnsi="Times New Roman"/>
                <w:sz w:val="24"/>
              </w:rPr>
            </w:pPr>
            <w:r w:rsidRPr="00475E67">
              <w:rPr>
                <w:rFonts w:ascii="Times New Roman" w:hAnsi="Times New Roman"/>
                <w:sz w:val="24"/>
              </w:rPr>
              <w:t>-</w:t>
            </w:r>
          </w:p>
        </w:tc>
      </w:tr>
      <w:tr w:rsidR="004616EA" w:rsidRPr="00475E67" w:rsidTr="00442D55">
        <w:tblPrEx>
          <w:tblBorders>
            <w:bottom w:val="single" w:sz="4" w:space="0" w:color="auto"/>
          </w:tblBorders>
        </w:tblPrEx>
        <w:trPr>
          <w:jc w:val="center"/>
        </w:trPr>
        <w:tc>
          <w:tcPr>
            <w:tcW w:w="1040" w:type="pct"/>
          </w:tcPr>
          <w:p w:rsidR="004616EA" w:rsidRPr="00475E67" w:rsidRDefault="004616EA" w:rsidP="00804E3C">
            <w:pPr>
              <w:spacing w:after="0"/>
              <w:jc w:val="center"/>
              <w:rPr>
                <w:rFonts w:ascii="Times New Roman" w:hAnsi="Times New Roman"/>
                <w:sz w:val="24"/>
              </w:rPr>
            </w:pPr>
            <w:r w:rsidRPr="00475E67">
              <w:rPr>
                <w:rFonts w:ascii="Times New Roman" w:hAnsi="Times New Roman"/>
                <w:sz w:val="24"/>
              </w:rPr>
              <w:t>К4 Потребление</w:t>
            </w:r>
          </w:p>
        </w:tc>
        <w:tc>
          <w:tcPr>
            <w:tcW w:w="3960" w:type="pct"/>
            <w:vAlign w:val="center"/>
          </w:tcPr>
          <w:p w:rsidR="004616EA" w:rsidRPr="00475E67" w:rsidRDefault="004616EA" w:rsidP="00804E3C">
            <w:pPr>
              <w:spacing w:after="0"/>
              <w:jc w:val="both"/>
              <w:rPr>
                <w:rFonts w:ascii="Times New Roman" w:hAnsi="Times New Roman"/>
                <w:sz w:val="24"/>
              </w:rPr>
            </w:pPr>
            <w:r w:rsidRPr="00475E67">
              <w:rPr>
                <w:rFonts w:ascii="Times New Roman" w:hAnsi="Times New Roman"/>
                <w:sz w:val="24"/>
              </w:rPr>
              <w:t>Население.</w:t>
            </w:r>
          </w:p>
          <w:p w:rsidR="004616EA" w:rsidRPr="00475E67" w:rsidRDefault="004616EA" w:rsidP="00804E3C">
            <w:pPr>
              <w:spacing w:after="0"/>
              <w:jc w:val="both"/>
              <w:rPr>
                <w:rFonts w:ascii="Times New Roman" w:hAnsi="Times New Roman"/>
                <w:sz w:val="24"/>
              </w:rPr>
            </w:pPr>
            <w:r w:rsidRPr="00475E67">
              <w:rPr>
                <w:rFonts w:ascii="Times New Roman" w:hAnsi="Times New Roman"/>
                <w:sz w:val="24"/>
              </w:rPr>
              <w:t>Органы государственной власти и органы местного самоуправления.</w:t>
            </w:r>
          </w:p>
          <w:p w:rsidR="004616EA" w:rsidRPr="00475E67" w:rsidRDefault="004616EA" w:rsidP="00804E3C">
            <w:pPr>
              <w:spacing w:after="0"/>
              <w:jc w:val="both"/>
              <w:rPr>
                <w:rFonts w:ascii="Times New Roman" w:hAnsi="Times New Roman"/>
                <w:sz w:val="24"/>
              </w:rPr>
            </w:pPr>
            <w:r w:rsidRPr="00475E67">
              <w:rPr>
                <w:rFonts w:ascii="Times New Roman" w:hAnsi="Times New Roman"/>
                <w:sz w:val="24"/>
              </w:rPr>
              <w:t>Инвесторы (организации).</w:t>
            </w:r>
          </w:p>
        </w:tc>
      </w:tr>
      <w:tr w:rsidR="004616EA" w:rsidRPr="00475E67" w:rsidTr="00442D55">
        <w:tblPrEx>
          <w:tblBorders>
            <w:bottom w:val="single" w:sz="4" w:space="0" w:color="auto"/>
          </w:tblBorders>
        </w:tblPrEx>
        <w:trPr>
          <w:trHeight w:val="230"/>
          <w:jc w:val="center"/>
        </w:trPr>
        <w:tc>
          <w:tcPr>
            <w:tcW w:w="1040" w:type="pct"/>
            <w:vAlign w:val="center"/>
          </w:tcPr>
          <w:p w:rsidR="004616EA" w:rsidRPr="00475E67" w:rsidRDefault="004616EA" w:rsidP="00804E3C">
            <w:pPr>
              <w:spacing w:after="0"/>
              <w:jc w:val="center"/>
              <w:rPr>
                <w:rFonts w:ascii="Times New Roman" w:hAnsi="Times New Roman"/>
                <w:sz w:val="24"/>
              </w:rPr>
            </w:pPr>
            <w:r w:rsidRPr="00475E67">
              <w:rPr>
                <w:rFonts w:ascii="Times New Roman" w:hAnsi="Times New Roman"/>
                <w:sz w:val="24"/>
              </w:rPr>
              <w:t>К5 Исследования</w:t>
            </w:r>
          </w:p>
        </w:tc>
        <w:tc>
          <w:tcPr>
            <w:tcW w:w="3960" w:type="pct"/>
            <w:vAlign w:val="center"/>
          </w:tcPr>
          <w:p w:rsidR="004616EA" w:rsidRPr="00475E67" w:rsidRDefault="004616EA" w:rsidP="00804E3C">
            <w:pPr>
              <w:spacing w:after="0"/>
              <w:contextualSpacing/>
              <w:rPr>
                <w:rFonts w:ascii="Times New Roman" w:hAnsi="Times New Roman"/>
                <w:sz w:val="24"/>
              </w:rPr>
            </w:pPr>
            <w:r w:rsidRPr="00475E67">
              <w:rPr>
                <w:rFonts w:ascii="Times New Roman" w:hAnsi="Times New Roman"/>
                <w:sz w:val="24"/>
              </w:rPr>
              <w:t>-</w:t>
            </w:r>
          </w:p>
        </w:tc>
      </w:tr>
      <w:tr w:rsidR="004616EA" w:rsidRPr="00475E67" w:rsidTr="00442D55">
        <w:tblPrEx>
          <w:tblBorders>
            <w:bottom w:val="single" w:sz="4" w:space="0" w:color="auto"/>
          </w:tblBorders>
        </w:tblPrEx>
        <w:trPr>
          <w:jc w:val="center"/>
        </w:trPr>
        <w:tc>
          <w:tcPr>
            <w:tcW w:w="1040" w:type="pct"/>
          </w:tcPr>
          <w:p w:rsidR="004616EA" w:rsidRPr="00475E67" w:rsidRDefault="004616EA" w:rsidP="00804E3C">
            <w:pPr>
              <w:spacing w:after="0"/>
              <w:jc w:val="center"/>
              <w:rPr>
                <w:rFonts w:ascii="Times New Roman" w:hAnsi="Times New Roman"/>
                <w:sz w:val="24"/>
              </w:rPr>
            </w:pPr>
            <w:r w:rsidRPr="00475E67">
              <w:rPr>
                <w:rFonts w:ascii="Times New Roman" w:hAnsi="Times New Roman"/>
                <w:sz w:val="24"/>
              </w:rPr>
              <w:t>К6 Экспорт</w:t>
            </w:r>
          </w:p>
        </w:tc>
        <w:tc>
          <w:tcPr>
            <w:tcW w:w="3960" w:type="pct"/>
            <w:vAlign w:val="center"/>
          </w:tcPr>
          <w:p w:rsidR="004616EA" w:rsidRPr="00475E67" w:rsidRDefault="004616EA" w:rsidP="00804E3C">
            <w:pPr>
              <w:spacing w:after="0"/>
              <w:jc w:val="both"/>
              <w:rPr>
                <w:rFonts w:ascii="Times New Roman" w:hAnsi="Times New Roman"/>
                <w:sz w:val="24"/>
              </w:rPr>
            </w:pPr>
            <w:r w:rsidRPr="00475E67">
              <w:rPr>
                <w:rFonts w:ascii="Times New Roman" w:hAnsi="Times New Roman"/>
                <w:iCs/>
                <w:sz w:val="24"/>
              </w:rPr>
              <w:t>-</w:t>
            </w:r>
          </w:p>
        </w:tc>
      </w:tr>
      <w:tr w:rsidR="004616EA" w:rsidRPr="00475E67" w:rsidTr="00442D55">
        <w:tblPrEx>
          <w:tblBorders>
            <w:bottom w:val="single" w:sz="4" w:space="0" w:color="auto"/>
          </w:tblBorders>
        </w:tblPrEx>
        <w:trPr>
          <w:jc w:val="center"/>
        </w:trPr>
        <w:tc>
          <w:tcPr>
            <w:tcW w:w="1040" w:type="pct"/>
          </w:tcPr>
          <w:p w:rsidR="004616EA" w:rsidRPr="00475E67" w:rsidRDefault="004616EA" w:rsidP="00804E3C">
            <w:pPr>
              <w:spacing w:after="0"/>
              <w:jc w:val="center"/>
              <w:rPr>
                <w:rFonts w:ascii="Times New Roman" w:hAnsi="Times New Roman"/>
                <w:sz w:val="24"/>
              </w:rPr>
            </w:pPr>
            <w:r w:rsidRPr="00475E67">
              <w:rPr>
                <w:rFonts w:ascii="Times New Roman" w:hAnsi="Times New Roman"/>
                <w:sz w:val="24"/>
              </w:rPr>
              <w:t>К7 Обучение</w:t>
            </w:r>
          </w:p>
        </w:tc>
        <w:tc>
          <w:tcPr>
            <w:tcW w:w="3960" w:type="pct"/>
            <w:vAlign w:val="center"/>
          </w:tcPr>
          <w:p w:rsidR="004616EA" w:rsidRPr="00475E67" w:rsidRDefault="004616EA" w:rsidP="00804E3C">
            <w:pPr>
              <w:tabs>
                <w:tab w:val="left" w:pos="525"/>
              </w:tabs>
              <w:spacing w:after="0"/>
              <w:contextualSpacing/>
              <w:jc w:val="both"/>
              <w:rPr>
                <w:rFonts w:ascii="Times New Roman" w:hAnsi="Times New Roman"/>
                <w:i/>
                <w:sz w:val="24"/>
              </w:rPr>
            </w:pPr>
            <w:r w:rsidRPr="00475E67">
              <w:rPr>
                <w:rFonts w:ascii="Times New Roman" w:hAnsi="Times New Roman"/>
                <w:sz w:val="24"/>
              </w:rPr>
              <w:t>филиал ГОУ ВПО «Тюменский государственный нефтегазовый университет»</w:t>
            </w:r>
          </w:p>
        </w:tc>
      </w:tr>
    </w:tbl>
    <w:p w:rsidR="004616EA" w:rsidRPr="008255E5" w:rsidRDefault="004616EA" w:rsidP="008255E5">
      <w:pPr>
        <w:spacing w:after="0" w:line="240" w:lineRule="auto"/>
        <w:ind w:firstLine="709"/>
        <w:jc w:val="both"/>
        <w:rPr>
          <w:rFonts w:ascii="Times New Roman" w:hAnsi="Times New Roman"/>
          <w:sz w:val="26"/>
          <w:szCs w:val="26"/>
        </w:rPr>
      </w:pP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Таким, образом, в строительном микро-кластере города Когалыма выделено ядро из компонентов «Производство» и «Обеспечение».</w:t>
      </w:r>
    </w:p>
    <w:p w:rsidR="004616EA" w:rsidRPr="008255E5" w:rsidRDefault="004616EA" w:rsidP="008255E5">
      <w:pPr>
        <w:spacing w:after="0" w:line="240" w:lineRule="auto"/>
        <w:ind w:firstLine="709"/>
        <w:jc w:val="both"/>
        <w:rPr>
          <w:rFonts w:ascii="Times New Roman" w:hAnsi="Times New Roman"/>
          <w:sz w:val="26"/>
          <w:szCs w:val="26"/>
        </w:rPr>
      </w:pP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Далее выявляем тип межкомпонентного противоречия в ядре типа «Производство – Обеспечение». Оба компонента стимулируют развитие друг друга («Обеспечение» поддерживает «Производство», а «Производство» в свою очередь создает дополнительный спрос на услуги и продукцию компаний компонента «Обслуживание»).</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Необходимо отметить, что указанные предприятия строительного комплекса сконцентрированы на одной территории – городской округ город Когалым, что дополнительно стимулирует развитие микро-кластера по территориальному аспекту.</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Далее проводится диагностика структурной полноты: выявление наличия/отсутствия кластерных компонентов в значимых кластерах. В строительном микро-кластере отсутствуют компоненты «Обслуживание», «Исследования» и «Экспорт». Остальные – в наличии. Соответственно, данный микро-кластер можно отнести к типу сложившихся микро-кластеров.</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Затем проводится диагностика типа строительного микро-кластера, т.е. выявление места в генетической типологии (</w:t>
      </w:r>
      <w:r w:rsidR="001977F4">
        <w:fldChar w:fldCharType="begin"/>
      </w:r>
      <w:r w:rsidR="001977F4">
        <w:instrText xml:space="preserve"> REF _Ref397078512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41</w:t>
      </w:r>
      <w:r w:rsidR="001977F4">
        <w:fldChar w:fldCharType="end"/>
      </w:r>
      <w:r w:rsidRPr="008255E5">
        <w:rPr>
          <w:rFonts w:ascii="Times New Roman" w:hAnsi="Times New Roman"/>
          <w:sz w:val="26"/>
          <w:szCs w:val="26"/>
        </w:rPr>
        <w:t>).</w:t>
      </w:r>
    </w:p>
    <w:p w:rsidR="004616EA" w:rsidRPr="008255E5" w:rsidRDefault="004616EA" w:rsidP="008255E5">
      <w:pPr>
        <w:spacing w:after="0" w:line="240" w:lineRule="auto"/>
        <w:ind w:firstLine="709"/>
        <w:jc w:val="both"/>
        <w:rPr>
          <w:rFonts w:ascii="Times New Roman" w:hAnsi="Times New Roman"/>
          <w:sz w:val="26"/>
          <w:szCs w:val="26"/>
        </w:rPr>
      </w:pPr>
    </w:p>
    <w:tbl>
      <w:tblPr>
        <w:tblW w:w="5000" w:type="pct"/>
        <w:jc w:val="center"/>
        <w:tblCellMar>
          <w:left w:w="28" w:type="dxa"/>
          <w:right w:w="28" w:type="dxa"/>
        </w:tblCellMar>
        <w:tblLook w:val="0000" w:firstRow="0" w:lastRow="0" w:firstColumn="0" w:lastColumn="0" w:noHBand="0" w:noVBand="0"/>
      </w:tblPr>
      <w:tblGrid>
        <w:gridCol w:w="1221"/>
        <w:gridCol w:w="1222"/>
        <w:gridCol w:w="1280"/>
        <w:gridCol w:w="1280"/>
        <w:gridCol w:w="1280"/>
        <w:gridCol w:w="1280"/>
        <w:gridCol w:w="1280"/>
      </w:tblGrid>
      <w:tr w:rsidR="004616EA" w:rsidRPr="00475E67" w:rsidTr="00243834">
        <w:trPr>
          <w:cantSplit/>
          <w:jc w:val="center"/>
        </w:trPr>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vAlign w:val="bottom"/>
          </w:tcPr>
          <w:p w:rsidR="004616EA" w:rsidRPr="00475E67" w:rsidRDefault="004616EA" w:rsidP="00804E3C">
            <w:pPr>
              <w:spacing w:after="0" w:line="240" w:lineRule="auto"/>
              <w:jc w:val="right"/>
              <w:rPr>
                <w:rFonts w:ascii="Times New Roman" w:hAnsi="Times New Roman"/>
                <w:b/>
                <w:sz w:val="20"/>
                <w:szCs w:val="20"/>
              </w:rPr>
            </w:pPr>
          </w:p>
        </w:tc>
        <w:tc>
          <w:tcPr>
            <w:tcW w:w="714" w:type="pct"/>
            <w:vAlign w:val="bottom"/>
          </w:tcPr>
          <w:p w:rsidR="004616EA" w:rsidRPr="00857607" w:rsidRDefault="004616EA" w:rsidP="00804E3C">
            <w:pPr>
              <w:pStyle w:val="3"/>
              <w:spacing w:line="240" w:lineRule="auto"/>
              <w:rPr>
                <w:i/>
                <w:sz w:val="20"/>
                <w:szCs w:val="20"/>
              </w:rPr>
            </w:pPr>
          </w:p>
        </w:tc>
        <w:tc>
          <w:tcPr>
            <w:tcW w:w="714" w:type="pct"/>
            <w:tcBorders>
              <w:top w:val="single" w:sz="4" w:space="0" w:color="auto"/>
              <w:left w:val="single" w:sz="4" w:space="0" w:color="auto"/>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обучение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tc>
      </w:tr>
      <w:tr w:rsidR="004616EA" w:rsidRPr="00475E67" w:rsidTr="00243834">
        <w:trPr>
          <w:cantSplit/>
          <w:jc w:val="center"/>
        </w:trPr>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tcBorders>
              <w:top w:val="single" w:sz="4" w:space="0" w:color="auto"/>
              <w:left w:val="single" w:sz="4" w:space="0" w:color="auto"/>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5</w:t>
            </w:r>
            <w:r w:rsidRPr="00475E67">
              <w:rPr>
                <w:rFonts w:ascii="Times New Roman" w:hAnsi="Times New Roman"/>
                <w:sz w:val="20"/>
                <w:szCs w:val="20"/>
              </w:rPr>
              <w:t>исследования</w:t>
            </w:r>
          </w:p>
        </w:tc>
        <w:tc>
          <w:tcPr>
            <w:tcW w:w="714" w:type="pct"/>
            <w:tcBorders>
              <w:left w:val="nil"/>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 xml:space="preserve">обучение </w:t>
            </w:r>
            <w:r w:rsidRPr="00475E67">
              <w:rPr>
                <w:rFonts w:ascii="Times New Roman" w:hAnsi="Times New Roman"/>
                <w:b/>
                <w:sz w:val="20"/>
                <w:szCs w:val="20"/>
              </w:rPr>
              <w:t>5</w:t>
            </w:r>
            <w:r w:rsidRPr="00475E67">
              <w:rPr>
                <w:rFonts w:ascii="Times New Roman" w:hAnsi="Times New Roman"/>
                <w:sz w:val="20"/>
                <w:szCs w:val="20"/>
              </w:rPr>
              <w:t>исследования</w:t>
            </w:r>
          </w:p>
        </w:tc>
      </w:tr>
      <w:tr w:rsidR="004616EA" w:rsidRPr="00475E67" w:rsidTr="00243834">
        <w:trPr>
          <w:cantSplit/>
          <w:jc w:val="center"/>
        </w:trPr>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vAlign w:val="bottom"/>
          </w:tcPr>
          <w:p w:rsidR="004616EA" w:rsidRPr="00857607" w:rsidRDefault="004616EA" w:rsidP="00804E3C">
            <w:pPr>
              <w:pStyle w:val="3"/>
              <w:spacing w:line="240" w:lineRule="auto"/>
              <w:jc w:val="right"/>
              <w:rPr>
                <w:i/>
                <w:sz w:val="20"/>
                <w:szCs w:val="20"/>
              </w:rPr>
            </w:pPr>
          </w:p>
        </w:tc>
        <w:tc>
          <w:tcPr>
            <w:tcW w:w="714" w:type="pct"/>
            <w:tcBorders>
              <w:top w:val="single" w:sz="4" w:space="0" w:color="auto"/>
              <w:lef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6"/>
              <w:spacing w:before="0" w:line="240" w:lineRule="auto"/>
              <w:rPr>
                <w:rFonts w:ascii="Times New Roman" w:hAnsi="Times New Roman"/>
                <w:i w:val="0"/>
                <w:color w:val="auto"/>
                <w:lang w:eastAsia="en-US"/>
              </w:rPr>
            </w:pPr>
            <w:r w:rsidRPr="00857607">
              <w:rPr>
                <w:rFonts w:ascii="Times New Roman" w:hAnsi="Times New Roman"/>
                <w:b/>
                <w:i w:val="0"/>
                <w:color w:val="auto"/>
                <w:lang w:eastAsia="en-US"/>
              </w:rPr>
              <w:t>5</w:t>
            </w:r>
            <w:r w:rsidRPr="00857607">
              <w:rPr>
                <w:rFonts w:ascii="Times New Roman" w:hAnsi="Times New Roman"/>
                <w:i w:val="0"/>
                <w:color w:val="auto"/>
                <w:lang w:eastAsia="en-US"/>
              </w:rPr>
              <w:t>исследования</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4</w:t>
            </w:r>
            <w:r w:rsidRPr="00475E67">
              <w:rPr>
                <w:rFonts w:ascii="Times New Roman" w:hAnsi="Times New Roman"/>
                <w:sz w:val="20"/>
                <w:szCs w:val="20"/>
              </w:rPr>
              <w:t>потребление</w:t>
            </w:r>
          </w:p>
        </w:tc>
        <w:tc>
          <w:tcPr>
            <w:tcW w:w="714" w:type="pct"/>
            <w:tcBorders>
              <w:left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обучение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4</w:t>
            </w:r>
            <w:r w:rsidRPr="00475E67">
              <w:rPr>
                <w:rFonts w:ascii="Times New Roman" w:hAnsi="Times New Roman"/>
                <w:sz w:val="20"/>
                <w:szCs w:val="20"/>
              </w:rPr>
              <w:t>потребление</w:t>
            </w:r>
          </w:p>
        </w:tc>
        <w:tc>
          <w:tcPr>
            <w:tcW w:w="714" w:type="pct"/>
            <w:tcBorders>
              <w:top w:val="single" w:sz="4" w:space="0" w:color="auto"/>
              <w:left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 xml:space="preserve">обучение </w:t>
            </w:r>
            <w:r w:rsidRPr="00475E67">
              <w:rPr>
                <w:rFonts w:ascii="Times New Roman" w:hAnsi="Times New Roman"/>
                <w:b/>
                <w:sz w:val="20"/>
                <w:szCs w:val="20"/>
              </w:rPr>
              <w:t>4</w:t>
            </w:r>
            <w:r w:rsidRPr="00475E67">
              <w:rPr>
                <w:rFonts w:ascii="Times New Roman" w:hAnsi="Times New Roman"/>
                <w:sz w:val="20"/>
                <w:szCs w:val="20"/>
              </w:rPr>
              <w:t>потребление</w:t>
            </w:r>
          </w:p>
        </w:tc>
      </w:tr>
      <w:tr w:rsidR="004616EA" w:rsidRPr="00475E67" w:rsidTr="00243834">
        <w:trPr>
          <w:cantSplit/>
          <w:jc w:val="center"/>
        </w:trPr>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tcBorders>
              <w:top w:val="single" w:sz="4" w:space="0" w:color="auto"/>
              <w:lef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6"/>
              <w:spacing w:before="0" w:line="240" w:lineRule="auto"/>
              <w:rPr>
                <w:rFonts w:ascii="Times New Roman" w:hAnsi="Times New Roman"/>
                <w:i w:val="0"/>
                <w:color w:val="auto"/>
                <w:lang w:eastAsia="en-US"/>
              </w:rPr>
            </w:pPr>
            <w:r w:rsidRPr="00857607">
              <w:rPr>
                <w:rFonts w:ascii="Times New Roman" w:hAnsi="Times New Roman"/>
                <w:b/>
                <w:i w:val="0"/>
                <w:color w:val="auto"/>
                <w:lang w:eastAsia="en-US"/>
              </w:rPr>
              <w:t>4</w:t>
            </w:r>
            <w:r w:rsidRPr="00857607">
              <w:rPr>
                <w:rFonts w:ascii="Times New Roman" w:hAnsi="Times New Roman"/>
                <w:i w:val="0"/>
                <w:color w:val="auto"/>
                <w:lang w:eastAsia="en-US"/>
              </w:rPr>
              <w:t>потребление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3</w:t>
            </w:r>
            <w:r w:rsidRPr="00475E67">
              <w:rPr>
                <w:rFonts w:ascii="Times New Roman" w:hAnsi="Times New Roman"/>
                <w:sz w:val="20"/>
                <w:szCs w:val="20"/>
              </w:rPr>
              <w:t>обслуживание</w:t>
            </w:r>
          </w:p>
        </w:tc>
        <w:tc>
          <w:tcPr>
            <w:tcW w:w="714" w:type="pct"/>
            <w:tcBorders>
              <w:top w:val="single" w:sz="4" w:space="0" w:color="auto"/>
              <w:left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6"/>
              <w:spacing w:before="0" w:line="240" w:lineRule="auto"/>
              <w:rPr>
                <w:rFonts w:ascii="Times New Roman" w:hAnsi="Times New Roman"/>
                <w:i w:val="0"/>
                <w:color w:val="auto"/>
                <w:lang w:eastAsia="en-US"/>
              </w:rPr>
            </w:pPr>
            <w:r w:rsidRPr="00857607">
              <w:rPr>
                <w:rFonts w:ascii="Times New Roman" w:hAnsi="Times New Roman"/>
                <w:b/>
                <w:i w:val="0"/>
                <w:color w:val="auto"/>
                <w:lang w:eastAsia="en-US"/>
              </w:rPr>
              <w:t>5</w:t>
            </w:r>
            <w:r w:rsidRPr="00857607">
              <w:rPr>
                <w:rFonts w:ascii="Times New Roman" w:hAnsi="Times New Roman"/>
                <w:i w:val="0"/>
                <w:color w:val="auto"/>
                <w:lang w:eastAsia="en-US"/>
              </w:rPr>
              <w:t>исследования</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3</w:t>
            </w:r>
            <w:r w:rsidRPr="00475E67">
              <w:rPr>
                <w:rFonts w:ascii="Times New Roman" w:hAnsi="Times New Roman"/>
                <w:sz w:val="20"/>
                <w:szCs w:val="20"/>
              </w:rPr>
              <w:t>обслуживание</w:t>
            </w:r>
          </w:p>
        </w:tc>
        <w:tc>
          <w:tcPr>
            <w:tcW w:w="714" w:type="pct"/>
            <w:tcBorders>
              <w:top w:val="single" w:sz="4" w:space="0" w:color="auto"/>
              <w:left w:val="nil"/>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3</w:t>
            </w:r>
            <w:r w:rsidRPr="00475E67">
              <w:rPr>
                <w:rFonts w:ascii="Times New Roman" w:hAnsi="Times New Roman"/>
                <w:sz w:val="20"/>
                <w:szCs w:val="20"/>
              </w:rPr>
              <w:t>обслуживание</w:t>
            </w:r>
          </w:p>
        </w:tc>
        <w:tc>
          <w:tcPr>
            <w:tcW w:w="714" w:type="pct"/>
            <w:tcBorders>
              <w:top w:val="single" w:sz="4" w:space="0" w:color="auto"/>
              <w:left w:val="nil"/>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 xml:space="preserve">обучение </w:t>
            </w:r>
            <w:r w:rsidRPr="00475E67">
              <w:rPr>
                <w:rFonts w:ascii="Times New Roman" w:hAnsi="Times New Roman"/>
                <w:b/>
                <w:sz w:val="20"/>
                <w:szCs w:val="20"/>
              </w:rPr>
              <w:t>3</w:t>
            </w:r>
            <w:r w:rsidRPr="00475E67">
              <w:rPr>
                <w:rFonts w:ascii="Times New Roman" w:hAnsi="Times New Roman"/>
                <w:sz w:val="20"/>
                <w:szCs w:val="20"/>
              </w:rPr>
              <w:t>обслуживание</w:t>
            </w:r>
          </w:p>
        </w:tc>
      </w:tr>
      <w:tr w:rsidR="004616EA" w:rsidRPr="00475E67" w:rsidTr="00243834">
        <w:trPr>
          <w:cantSplit/>
          <w:jc w:val="center"/>
        </w:trPr>
        <w:tc>
          <w:tcPr>
            <w:tcW w:w="714" w:type="pct"/>
          </w:tcPr>
          <w:p w:rsidR="004616EA" w:rsidRPr="00475E67" w:rsidRDefault="004616EA" w:rsidP="00804E3C">
            <w:pPr>
              <w:spacing w:after="0" w:line="240" w:lineRule="auto"/>
              <w:rPr>
                <w:rFonts w:ascii="Times New Roman" w:hAnsi="Times New Roman"/>
                <w:sz w:val="20"/>
                <w:szCs w:val="20"/>
              </w:rPr>
            </w:pPr>
          </w:p>
        </w:tc>
        <w:tc>
          <w:tcPr>
            <w:tcW w:w="714" w:type="pct"/>
            <w:tcBorders>
              <w:bottom w:val="single" w:sz="4" w:space="0" w:color="auto"/>
            </w:tcBorders>
          </w:tcPr>
          <w:p w:rsidR="004616EA" w:rsidRPr="00475E67" w:rsidRDefault="004616EA" w:rsidP="00804E3C">
            <w:pPr>
              <w:spacing w:after="0" w:line="240" w:lineRule="auto"/>
              <w:rPr>
                <w:rFonts w:ascii="Times New Roman" w:hAnsi="Times New Roman"/>
                <w:sz w:val="20"/>
                <w:szCs w:val="20"/>
              </w:rPr>
            </w:pPr>
          </w:p>
        </w:tc>
        <w:tc>
          <w:tcPr>
            <w:tcW w:w="714" w:type="pct"/>
            <w:tcBorders>
              <w:top w:val="single" w:sz="4" w:space="0" w:color="auto"/>
              <w:left w:val="single" w:sz="4" w:space="0" w:color="auto"/>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6"/>
              <w:spacing w:before="0" w:line="240" w:lineRule="auto"/>
              <w:rPr>
                <w:rFonts w:ascii="Times New Roman" w:hAnsi="Times New Roman"/>
                <w:i w:val="0"/>
                <w:color w:val="auto"/>
                <w:lang w:eastAsia="en-US"/>
              </w:rPr>
            </w:pPr>
            <w:r w:rsidRPr="00857607">
              <w:rPr>
                <w:rFonts w:ascii="Times New Roman" w:hAnsi="Times New Roman"/>
                <w:b/>
                <w:i w:val="0"/>
                <w:color w:val="auto"/>
                <w:lang w:eastAsia="en-US"/>
              </w:rPr>
              <w:t>3</w:t>
            </w:r>
            <w:r w:rsidRPr="00857607">
              <w:rPr>
                <w:rFonts w:ascii="Times New Roman" w:hAnsi="Times New Roman"/>
                <w:i w:val="0"/>
                <w:color w:val="auto"/>
                <w:lang w:eastAsia="en-US"/>
              </w:rPr>
              <w:t>обслуживание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2</w:t>
            </w:r>
            <w:r w:rsidRPr="00475E67">
              <w:rPr>
                <w:rFonts w:ascii="Times New Roman" w:hAnsi="Times New Roman"/>
                <w:sz w:val="20"/>
                <w:szCs w:val="20"/>
              </w:rPr>
              <w:t>обеспечение</w:t>
            </w:r>
          </w:p>
        </w:tc>
        <w:tc>
          <w:tcPr>
            <w:tcW w:w="714" w:type="pct"/>
            <w:tcBorders>
              <w:top w:val="single" w:sz="4" w:space="0" w:color="auto"/>
              <w:left w:val="nil"/>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6"/>
              <w:spacing w:before="0" w:line="240" w:lineRule="auto"/>
              <w:rPr>
                <w:rFonts w:ascii="Times New Roman" w:hAnsi="Times New Roman"/>
                <w:i w:val="0"/>
                <w:color w:val="auto"/>
                <w:lang w:eastAsia="en-US"/>
              </w:rPr>
            </w:pPr>
            <w:r w:rsidRPr="00857607">
              <w:rPr>
                <w:rFonts w:ascii="Times New Roman" w:hAnsi="Times New Roman"/>
                <w:b/>
                <w:i w:val="0"/>
                <w:color w:val="auto"/>
                <w:lang w:eastAsia="en-US"/>
              </w:rPr>
              <w:t>4</w:t>
            </w:r>
            <w:r w:rsidRPr="00857607">
              <w:rPr>
                <w:rFonts w:ascii="Times New Roman" w:hAnsi="Times New Roman"/>
                <w:i w:val="0"/>
                <w:color w:val="auto"/>
                <w:lang w:eastAsia="en-US"/>
              </w:rPr>
              <w:t>потребление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2</w:t>
            </w:r>
            <w:r w:rsidRPr="00475E67">
              <w:rPr>
                <w:rFonts w:ascii="Times New Roman" w:hAnsi="Times New Roman"/>
                <w:sz w:val="20"/>
                <w:szCs w:val="20"/>
              </w:rPr>
              <w:t>обеспечение</w:t>
            </w:r>
          </w:p>
        </w:tc>
        <w:tc>
          <w:tcPr>
            <w:tcW w:w="714" w:type="pct"/>
            <w:tcBorders>
              <w:top w:val="single" w:sz="4" w:space="0" w:color="auto"/>
              <w:left w:val="single" w:sz="4" w:space="0" w:color="auto"/>
              <w:bottom w:val="single" w:sz="2"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6"/>
              <w:spacing w:before="0" w:line="240" w:lineRule="auto"/>
              <w:rPr>
                <w:rFonts w:ascii="Times New Roman" w:hAnsi="Times New Roman"/>
                <w:i w:val="0"/>
                <w:color w:val="auto"/>
                <w:lang w:eastAsia="en-US"/>
              </w:rPr>
            </w:pPr>
            <w:r w:rsidRPr="00857607">
              <w:rPr>
                <w:rFonts w:ascii="Times New Roman" w:hAnsi="Times New Roman"/>
                <w:i w:val="0"/>
                <w:color w:val="auto"/>
                <w:lang w:eastAsia="en-US"/>
              </w:rPr>
              <w:t>5исследования</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2</w:t>
            </w:r>
            <w:r w:rsidRPr="00475E67">
              <w:rPr>
                <w:rFonts w:ascii="Times New Roman" w:hAnsi="Times New Roman"/>
                <w:sz w:val="20"/>
                <w:szCs w:val="20"/>
              </w:rPr>
              <w:t>обеспечение</w:t>
            </w:r>
          </w:p>
        </w:tc>
        <w:tc>
          <w:tcPr>
            <w:tcW w:w="714" w:type="pct"/>
            <w:tcBorders>
              <w:top w:val="single" w:sz="4" w:space="0" w:color="auto"/>
              <w:left w:val="nil"/>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2</w:t>
            </w:r>
            <w:r w:rsidRPr="00475E67">
              <w:rPr>
                <w:rFonts w:ascii="Times New Roman" w:hAnsi="Times New Roman"/>
                <w:sz w:val="20"/>
                <w:szCs w:val="20"/>
              </w:rPr>
              <w:t>обеспечение</w:t>
            </w:r>
          </w:p>
        </w:tc>
        <w:tc>
          <w:tcPr>
            <w:tcW w:w="714" w:type="pct"/>
            <w:tcBorders>
              <w:top w:val="single" w:sz="4" w:space="0" w:color="auto"/>
              <w:left w:val="nil"/>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 xml:space="preserve">обучение </w:t>
            </w:r>
            <w:r w:rsidRPr="00475E67">
              <w:rPr>
                <w:rFonts w:ascii="Times New Roman" w:hAnsi="Times New Roman"/>
                <w:b/>
                <w:sz w:val="20"/>
                <w:szCs w:val="20"/>
              </w:rPr>
              <w:t>2</w:t>
            </w:r>
            <w:r w:rsidRPr="00475E67">
              <w:rPr>
                <w:rFonts w:ascii="Times New Roman" w:hAnsi="Times New Roman"/>
                <w:sz w:val="20"/>
                <w:szCs w:val="20"/>
              </w:rPr>
              <w:t>обеспечение</w:t>
            </w:r>
          </w:p>
        </w:tc>
      </w:tr>
      <w:tr w:rsidR="004616EA" w:rsidRPr="00475E67" w:rsidTr="0084791B">
        <w:trPr>
          <w:cantSplit/>
          <w:jc w:val="center"/>
        </w:trPr>
        <w:tc>
          <w:tcPr>
            <w:tcW w:w="714" w:type="pct"/>
          </w:tcPr>
          <w:p w:rsidR="004616EA" w:rsidRPr="00475E67" w:rsidRDefault="004616EA" w:rsidP="00804E3C">
            <w:pPr>
              <w:spacing w:after="0" w:line="240" w:lineRule="auto"/>
              <w:rPr>
                <w:rFonts w:ascii="Times New Roman" w:hAnsi="Times New Roman"/>
                <w:sz w:val="20"/>
                <w:szCs w:val="20"/>
              </w:rPr>
            </w:pPr>
          </w:p>
        </w:tc>
        <w:tc>
          <w:tcPr>
            <w:tcW w:w="714" w:type="pct"/>
            <w:tcBorders>
              <w:top w:val="single" w:sz="4" w:space="0" w:color="auto"/>
              <w:left w:val="single" w:sz="4" w:space="0" w:color="auto"/>
              <w:bottom w:val="single" w:sz="4" w:space="0" w:color="auto"/>
              <w:right w:val="single" w:sz="4" w:space="0" w:color="auto"/>
            </w:tcBorders>
            <w:shd w:val="clear" w:color="auto" w:fill="A6A6A6"/>
          </w:tcPr>
          <w:p w:rsidR="004616EA" w:rsidRPr="00475E67" w:rsidRDefault="00E70A58" w:rsidP="00804E3C">
            <w:pPr>
              <w:spacing w:after="0" w:line="240" w:lineRule="auto"/>
              <w:jc w:val="both"/>
              <w:rPr>
                <w:rFonts w:ascii="Times New Roman" w:hAnsi="Times New Roman"/>
                <w:b/>
                <w:sz w:val="20"/>
                <w:szCs w:val="20"/>
              </w:rPr>
            </w:pPr>
            <w:r>
              <w:rPr>
                <w:noProof/>
                <w:lang w:eastAsia="ru-RU"/>
              </w:rPr>
              <mc:AlternateContent>
                <mc:Choice Requires="wps">
                  <w:drawing>
                    <wp:anchor distT="4294967291" distB="4294967291" distL="114300" distR="114300" simplePos="0" relativeHeight="251664896" behindDoc="0" locked="0" layoutInCell="1" allowOverlap="1">
                      <wp:simplePos x="0" y="0"/>
                      <wp:positionH relativeFrom="column">
                        <wp:posOffset>506730</wp:posOffset>
                      </wp:positionH>
                      <wp:positionV relativeFrom="paragraph">
                        <wp:posOffset>68579</wp:posOffset>
                      </wp:positionV>
                      <wp:extent cx="276225" cy="0"/>
                      <wp:effectExtent l="57150" t="133350" r="0" b="133350"/>
                      <wp:wrapNone/>
                      <wp:docPr id="70" name="Прямая со стрелкой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34220C4C" id="Прямая со стрелкой 24" o:spid="_x0000_s1026" type="#_x0000_t32" style="position:absolute;margin-left:39.9pt;margin-top:5.4pt;width:21.75pt;height:0;z-index:25166489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" strokecolor="windowText" strokeweight="2.25pt">
                      <v:stroke endarrow="open"/>
                      <o:lock v:ext="edit" shapetype="f"/>
                    </v:shape>
                  </w:pict>
                </mc:Fallback>
              </mc:AlternateContent>
            </w:r>
            <w:r w:rsidR="004616EA" w:rsidRPr="00475E67">
              <w:rPr>
                <w:rFonts w:ascii="Times New Roman" w:hAnsi="Times New Roman"/>
                <w:b/>
                <w:sz w:val="20"/>
                <w:szCs w:val="20"/>
              </w:rPr>
              <w:t>8</w:t>
            </w:r>
            <w:r w:rsidR="004616EA"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2</w:t>
            </w:r>
            <w:r w:rsidRPr="00475E67">
              <w:rPr>
                <w:rFonts w:ascii="Times New Roman" w:hAnsi="Times New Roman"/>
                <w:sz w:val="20"/>
                <w:szCs w:val="20"/>
              </w:rPr>
              <w:t>обеспечение</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1</w:t>
            </w:r>
            <w:r w:rsidRPr="00475E67">
              <w:rPr>
                <w:rFonts w:ascii="Times New Roman" w:hAnsi="Times New Roman"/>
                <w:sz w:val="20"/>
                <w:szCs w:val="20"/>
              </w:rPr>
              <w:t>производство</w:t>
            </w:r>
          </w:p>
        </w:tc>
        <w:tc>
          <w:tcPr>
            <w:tcW w:w="714" w:type="pct"/>
            <w:tcBorders>
              <w:top w:val="single" w:sz="4" w:space="0" w:color="auto"/>
              <w:left w:val="nil"/>
              <w:bottom w:val="single" w:sz="4" w:space="0" w:color="auto"/>
            </w:tcBorders>
          </w:tcPr>
          <w:p w:rsidR="004616EA" w:rsidRPr="00475E67" w:rsidRDefault="00E70A58" w:rsidP="00804E3C">
            <w:pPr>
              <w:spacing w:after="0" w:line="240" w:lineRule="auto"/>
              <w:jc w:val="both"/>
              <w:rPr>
                <w:rFonts w:ascii="Times New Roman" w:hAnsi="Times New Roman"/>
                <w:sz w:val="20"/>
                <w:szCs w:val="20"/>
              </w:rPr>
            </w:pPr>
            <w:r>
              <w:rPr>
                <w:noProof/>
                <w:lang w:eastAsia="ru-RU"/>
              </w:rPr>
              <mc:AlternateContent>
                <mc:Choice Requires="wps">
                  <w:drawing>
                    <wp:anchor distT="4294967291" distB="4294967291" distL="114300" distR="114300" simplePos="0" relativeHeight="251663872" behindDoc="0" locked="0" layoutInCell="1" allowOverlap="1">
                      <wp:simplePos x="0" y="0"/>
                      <wp:positionH relativeFrom="column">
                        <wp:posOffset>523875</wp:posOffset>
                      </wp:positionH>
                      <wp:positionV relativeFrom="paragraph">
                        <wp:posOffset>68579</wp:posOffset>
                      </wp:positionV>
                      <wp:extent cx="276225" cy="0"/>
                      <wp:effectExtent l="57150" t="133350" r="0" b="133350"/>
                      <wp:wrapNone/>
                      <wp:docPr id="69" name="Прямая со стрелкой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0D3D9FB4" id="Прямая со стрелкой 23" o:spid="_x0000_s1026" type="#_x0000_t32" style="position:absolute;margin-left:41.25pt;margin-top:5.4pt;width:21.75pt;height:0;z-index:25166387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" strokecolor="windowText" strokeweight="2.25pt">
                      <v:stroke endarrow="open"/>
                      <o:lock v:ext="edit" shapetype="f"/>
                    </v:shape>
                  </w:pict>
                </mc:Fallback>
              </mc:AlternateContent>
            </w:r>
            <w:r>
              <w:rPr>
                <w:noProof/>
                <w:lang w:eastAsia="ru-RU"/>
              </w:rPr>
              <mc:AlternateContent>
                <mc:Choice Requires="wps">
                  <w:drawing>
                    <wp:anchor distT="4294967291" distB="4294967291" distL="114300" distR="114300" simplePos="0" relativeHeight="251661824" behindDoc="0" locked="0" layoutInCell="1" allowOverlap="1">
                      <wp:simplePos x="0" y="0"/>
                      <wp:positionH relativeFrom="column">
                        <wp:posOffset>5229225</wp:posOffset>
                      </wp:positionH>
                      <wp:positionV relativeFrom="paragraph">
                        <wp:posOffset>7541894</wp:posOffset>
                      </wp:positionV>
                      <wp:extent cx="247650" cy="0"/>
                      <wp:effectExtent l="0" t="76200" r="22225" b="95250"/>
                      <wp:wrapNone/>
                      <wp:docPr id="68" name="Прямая со стрелкой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76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E9558D9" id="Прямая со стрелкой 22" o:spid="_x0000_s1026" type="#_x0000_t32" style="position:absolute;margin-left:411.75pt;margin-top:593.85pt;width:19.5pt;height:0;z-index:25166182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">
                      <v:stroke endarrow="block"/>
                    </v:shape>
                  </w:pict>
                </mc:Fallback>
              </mc:AlternateContent>
            </w:r>
            <w:r w:rsidR="004616EA" w:rsidRPr="00475E67">
              <w:rPr>
                <w:rFonts w:ascii="Times New Roman" w:hAnsi="Times New Roman"/>
                <w:b/>
                <w:sz w:val="20"/>
                <w:szCs w:val="20"/>
              </w:rPr>
              <w:t>8</w:t>
            </w:r>
            <w:r w:rsidR="004616EA"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3</w:t>
            </w:r>
            <w:r w:rsidRPr="00475E67">
              <w:rPr>
                <w:rFonts w:ascii="Times New Roman" w:hAnsi="Times New Roman"/>
                <w:sz w:val="20"/>
                <w:szCs w:val="20"/>
              </w:rPr>
              <w:t>обслуживание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1</w:t>
            </w:r>
            <w:r w:rsidRPr="00475E67">
              <w:rPr>
                <w:rFonts w:ascii="Times New Roman" w:hAnsi="Times New Roman"/>
                <w:sz w:val="20"/>
                <w:szCs w:val="20"/>
              </w:rPr>
              <w:t>производство</w:t>
            </w:r>
          </w:p>
        </w:tc>
        <w:tc>
          <w:tcPr>
            <w:tcW w:w="714" w:type="pct"/>
            <w:tcBorders>
              <w:top w:val="single" w:sz="4" w:space="0" w:color="auto"/>
              <w:left w:val="single" w:sz="4" w:space="0" w:color="auto"/>
              <w:bottom w:val="single" w:sz="4" w:space="0" w:color="auto"/>
              <w:right w:val="single" w:sz="2"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4</w:t>
            </w:r>
            <w:r w:rsidRPr="00475E67">
              <w:rPr>
                <w:rFonts w:ascii="Times New Roman" w:hAnsi="Times New Roman"/>
                <w:sz w:val="20"/>
                <w:szCs w:val="20"/>
              </w:rPr>
              <w:t>потребление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1</w:t>
            </w:r>
            <w:r w:rsidRPr="00475E67">
              <w:rPr>
                <w:rFonts w:ascii="Times New Roman" w:hAnsi="Times New Roman"/>
                <w:sz w:val="20"/>
                <w:szCs w:val="20"/>
              </w:rPr>
              <w:t>производство</w:t>
            </w:r>
          </w:p>
        </w:tc>
        <w:tc>
          <w:tcPr>
            <w:tcW w:w="714" w:type="pct"/>
            <w:tcBorders>
              <w:top w:val="single" w:sz="2" w:space="0" w:color="auto"/>
              <w:left w:val="single" w:sz="2" w:space="0" w:color="auto"/>
              <w:bottom w:val="single" w:sz="2" w:space="0" w:color="auto"/>
              <w:right w:val="single" w:sz="2"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5</w:t>
            </w:r>
            <w:r w:rsidRPr="00475E67">
              <w:rPr>
                <w:rFonts w:ascii="Times New Roman" w:hAnsi="Times New Roman"/>
                <w:sz w:val="20"/>
                <w:szCs w:val="20"/>
              </w:rPr>
              <w:t>исследования</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1</w:t>
            </w:r>
            <w:r w:rsidRPr="00475E67">
              <w:rPr>
                <w:rFonts w:ascii="Times New Roman" w:hAnsi="Times New Roman"/>
                <w:sz w:val="20"/>
                <w:szCs w:val="20"/>
              </w:rPr>
              <w:t>производство</w:t>
            </w:r>
          </w:p>
        </w:tc>
        <w:tc>
          <w:tcPr>
            <w:tcW w:w="714" w:type="pct"/>
            <w:tcBorders>
              <w:top w:val="single" w:sz="4" w:space="0" w:color="auto"/>
              <w:left w:val="single" w:sz="2" w:space="0" w:color="auto"/>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1</w:t>
            </w:r>
            <w:r w:rsidRPr="00475E67">
              <w:rPr>
                <w:rFonts w:ascii="Times New Roman" w:hAnsi="Times New Roman"/>
                <w:sz w:val="20"/>
                <w:szCs w:val="20"/>
              </w:rPr>
              <w:t>производство</w:t>
            </w:r>
          </w:p>
        </w:tc>
        <w:tc>
          <w:tcPr>
            <w:tcW w:w="714" w:type="pct"/>
            <w:tcBorders>
              <w:top w:val="single" w:sz="4" w:space="0" w:color="auto"/>
              <w:left w:val="nil"/>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обучение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1</w:t>
            </w:r>
            <w:r w:rsidRPr="00475E67">
              <w:rPr>
                <w:rFonts w:ascii="Times New Roman" w:hAnsi="Times New Roman"/>
                <w:sz w:val="20"/>
                <w:szCs w:val="20"/>
              </w:rPr>
              <w:t>производство</w:t>
            </w:r>
          </w:p>
        </w:tc>
      </w:tr>
      <w:tr w:rsidR="004616EA" w:rsidRPr="00475E67" w:rsidTr="00243834">
        <w:trPr>
          <w:cantSplit/>
          <w:jc w:val="center"/>
        </w:trPr>
        <w:tc>
          <w:tcPr>
            <w:tcW w:w="714" w:type="pct"/>
            <w:tcBorders>
              <w:top w:val="single" w:sz="2" w:space="0" w:color="auto"/>
              <w:left w:val="single" w:sz="2" w:space="0" w:color="auto"/>
              <w:bottom w:val="single" w:sz="2" w:space="0" w:color="auto"/>
              <w:right w:val="single" w:sz="2"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6"/>
              <w:spacing w:before="0" w:line="240" w:lineRule="auto"/>
              <w:rPr>
                <w:rFonts w:ascii="Times New Roman" w:hAnsi="Times New Roman"/>
                <w:i w:val="0"/>
                <w:color w:val="auto"/>
                <w:lang w:eastAsia="en-US"/>
              </w:rPr>
            </w:pPr>
            <w:r w:rsidRPr="00857607">
              <w:rPr>
                <w:rFonts w:ascii="Times New Roman" w:hAnsi="Times New Roman"/>
                <w:b/>
                <w:i w:val="0"/>
                <w:color w:val="auto"/>
                <w:lang w:eastAsia="en-US"/>
              </w:rPr>
              <w:t>1</w:t>
            </w:r>
            <w:r w:rsidRPr="00857607">
              <w:rPr>
                <w:rFonts w:ascii="Times New Roman" w:hAnsi="Times New Roman"/>
                <w:i w:val="0"/>
                <w:color w:val="auto"/>
                <w:lang w:eastAsia="en-US"/>
              </w:rPr>
              <w:t>производство</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0</w:t>
            </w:r>
          </w:p>
        </w:tc>
        <w:tc>
          <w:tcPr>
            <w:tcW w:w="714" w:type="pct"/>
            <w:tcBorders>
              <w:top w:val="single" w:sz="4" w:space="0" w:color="auto"/>
              <w:left w:val="nil"/>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2</w:t>
            </w:r>
            <w:r w:rsidRPr="00475E67">
              <w:rPr>
                <w:rFonts w:ascii="Times New Roman" w:hAnsi="Times New Roman"/>
                <w:sz w:val="20"/>
                <w:szCs w:val="20"/>
              </w:rPr>
              <w:t>обеспечение</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0</w:t>
            </w:r>
          </w:p>
        </w:tc>
        <w:tc>
          <w:tcPr>
            <w:tcW w:w="714" w:type="pct"/>
            <w:tcBorders>
              <w:top w:val="single" w:sz="4" w:space="0" w:color="auto"/>
              <w:left w:val="nil"/>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3</w:t>
            </w:r>
            <w:r w:rsidRPr="00475E67">
              <w:rPr>
                <w:rFonts w:ascii="Times New Roman" w:hAnsi="Times New Roman"/>
                <w:sz w:val="20"/>
                <w:szCs w:val="20"/>
              </w:rPr>
              <w:t>обслуживание</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0</w:t>
            </w:r>
          </w:p>
        </w:tc>
        <w:tc>
          <w:tcPr>
            <w:tcW w:w="714" w:type="pct"/>
            <w:tcBorders>
              <w:left w:val="nil"/>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4</w:t>
            </w:r>
            <w:r w:rsidRPr="00475E67">
              <w:rPr>
                <w:rFonts w:ascii="Times New Roman" w:hAnsi="Times New Roman"/>
                <w:sz w:val="20"/>
                <w:szCs w:val="20"/>
              </w:rPr>
              <w:t>потребление</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0</w:t>
            </w:r>
          </w:p>
        </w:tc>
        <w:tc>
          <w:tcPr>
            <w:tcW w:w="714" w:type="pct"/>
            <w:tcBorders>
              <w:top w:val="single" w:sz="2" w:space="0" w:color="auto"/>
              <w:left w:val="nil"/>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5</w:t>
            </w:r>
            <w:r w:rsidRPr="00475E67">
              <w:rPr>
                <w:rFonts w:ascii="Times New Roman" w:hAnsi="Times New Roman"/>
                <w:sz w:val="20"/>
                <w:szCs w:val="20"/>
              </w:rPr>
              <w:t>исследования</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0</w:t>
            </w:r>
          </w:p>
        </w:tc>
        <w:tc>
          <w:tcPr>
            <w:tcW w:w="714" w:type="pct"/>
            <w:tcBorders>
              <w:top w:val="single" w:sz="4" w:space="0" w:color="auto"/>
              <w:left w:val="nil"/>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0</w:t>
            </w:r>
          </w:p>
        </w:tc>
        <w:tc>
          <w:tcPr>
            <w:tcW w:w="714" w:type="pct"/>
            <w:tcBorders>
              <w:top w:val="single" w:sz="4" w:space="0" w:color="auto"/>
              <w:left w:val="nil"/>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обучение</w:t>
            </w:r>
          </w:p>
          <w:p w:rsidR="004616EA" w:rsidRPr="00475E67" w:rsidRDefault="004616EA" w:rsidP="00F87EE0">
            <w:pPr>
              <w:keepNext/>
              <w:spacing w:after="0" w:line="240" w:lineRule="auto"/>
              <w:jc w:val="both"/>
              <w:rPr>
                <w:rFonts w:ascii="Times New Roman" w:hAnsi="Times New Roman"/>
                <w:b/>
                <w:sz w:val="20"/>
                <w:szCs w:val="20"/>
              </w:rPr>
            </w:pPr>
            <w:r w:rsidRPr="00475E67">
              <w:rPr>
                <w:rFonts w:ascii="Times New Roman" w:hAnsi="Times New Roman"/>
                <w:b/>
                <w:sz w:val="20"/>
                <w:szCs w:val="20"/>
              </w:rPr>
              <w:t>0</w:t>
            </w:r>
          </w:p>
        </w:tc>
      </w:tr>
    </w:tbl>
    <w:p w:rsidR="004616EA" w:rsidRPr="00475E67" w:rsidRDefault="004616EA" w:rsidP="00F87EE0">
      <w:pPr>
        <w:pStyle w:val="af1"/>
        <w:jc w:val="center"/>
        <w:rPr>
          <w:rFonts w:ascii="Times New Roman" w:hAnsi="Times New Roman"/>
          <w:b w:val="0"/>
          <w:color w:val="auto"/>
          <w:sz w:val="36"/>
        </w:rPr>
      </w:pPr>
      <w:bookmarkStart w:id="115" w:name="_Ref397078512"/>
      <w:bookmarkStart w:id="116" w:name="_Ref397078508"/>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41</w:t>
      </w:r>
      <w:r w:rsidRPr="00475E67">
        <w:rPr>
          <w:rFonts w:ascii="Times New Roman" w:hAnsi="Times New Roman"/>
          <w:b w:val="0"/>
          <w:color w:val="auto"/>
          <w:sz w:val="24"/>
        </w:rPr>
        <w:fldChar w:fldCharType="end"/>
      </w:r>
      <w:bookmarkEnd w:id="115"/>
      <w:r w:rsidRPr="00475E67">
        <w:rPr>
          <w:rFonts w:ascii="Times New Roman" w:hAnsi="Times New Roman"/>
          <w:b w:val="0"/>
          <w:color w:val="auto"/>
          <w:sz w:val="24"/>
        </w:rPr>
        <w:t xml:space="preserve"> - Диагностика типа строительного микро-кластера: выявление места в генетической типологии</w:t>
      </w:r>
      <w:bookmarkEnd w:id="116"/>
    </w:p>
    <w:p w:rsidR="004616EA" w:rsidRPr="00475E67" w:rsidRDefault="00E70A58" w:rsidP="00B80A3E">
      <w:pPr>
        <w:spacing w:after="0" w:line="240" w:lineRule="auto"/>
        <w:ind w:firstLine="708"/>
        <w:jc w:val="both"/>
        <w:rPr>
          <w:rFonts w:ascii="Times New Roman" w:hAnsi="Times New Roman"/>
          <w:sz w:val="24"/>
        </w:rPr>
      </w:pPr>
      <w:r>
        <w:rPr>
          <w:noProof/>
          <w:lang w:eastAsia="ru-RU"/>
        </w:rPr>
        <mc:AlternateContent>
          <mc:Choice Requires="wps">
            <w:drawing>
              <wp:anchor distT="4294967291" distB="4294967291" distL="114300" distR="114300" simplePos="0" relativeHeight="251662848" behindDoc="0" locked="0" layoutInCell="1" allowOverlap="1">
                <wp:simplePos x="0" y="0"/>
                <wp:positionH relativeFrom="column">
                  <wp:posOffset>5229225</wp:posOffset>
                </wp:positionH>
                <wp:positionV relativeFrom="paragraph">
                  <wp:posOffset>7541894</wp:posOffset>
                </wp:positionV>
                <wp:extent cx="247650" cy="0"/>
                <wp:effectExtent l="0" t="76200" r="22225" b="95250"/>
                <wp:wrapNone/>
                <wp:docPr id="64" name="Прямая со стрелкой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76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3616124" id="Прямая со стрелкой 21" o:spid="_x0000_s1026" type="#_x0000_t32" style="position:absolute;margin-left:411.75pt;margin-top:593.85pt;width:19.5pt;height:0;z-index:25166284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">
                <v:stroke endarrow="block"/>
              </v:shape>
            </w:pict>
          </mc:Fallback>
        </mc:AlternateContent>
      </w:r>
    </w:p>
    <w:p w:rsidR="004616EA" w:rsidRPr="008255E5" w:rsidRDefault="00E70A58" w:rsidP="008255E5">
      <w:pPr>
        <w:spacing w:after="0" w:line="240" w:lineRule="auto"/>
        <w:ind w:firstLine="709"/>
        <w:jc w:val="both"/>
        <w:rPr>
          <w:rFonts w:ascii="Times New Roman" w:hAnsi="Times New Roman"/>
          <w:sz w:val="26"/>
          <w:szCs w:val="26"/>
        </w:rPr>
      </w:pPr>
      <w:r>
        <w:rPr>
          <w:noProof/>
          <w:lang w:eastAsia="ru-RU"/>
        </w:rPr>
        <mc:AlternateContent>
          <mc:Choice Requires="wps">
            <w:drawing>
              <wp:anchor distT="4294967291" distB="4294967291" distL="114300" distR="114300" simplePos="0" relativeHeight="251660800" behindDoc="0" locked="0" layoutInCell="1" allowOverlap="1">
                <wp:simplePos x="0" y="0"/>
                <wp:positionH relativeFrom="column">
                  <wp:posOffset>4248150</wp:posOffset>
                </wp:positionH>
                <wp:positionV relativeFrom="paragraph">
                  <wp:posOffset>7541894</wp:posOffset>
                </wp:positionV>
                <wp:extent cx="247650" cy="0"/>
                <wp:effectExtent l="0" t="76200" r="22225" b="95250"/>
                <wp:wrapNone/>
                <wp:docPr id="4" name="Прямая со стрелкой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76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BF68DE" id="Прямая со стрелкой 20" o:spid="_x0000_s1026" type="#_x0000_t32" style="position:absolute;margin-left:334.5pt;margin-top:593.85pt;width:19.5pt;height:0;z-index:25166080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">
                <v:stroke endarrow="block"/>
              </v:shape>
            </w:pict>
          </mc:Fallback>
        </mc:AlternateContent>
      </w:r>
      <w:r>
        <w:rPr>
          <w:noProof/>
          <w:lang w:eastAsia="ru-RU"/>
        </w:rPr>
        <mc:AlternateContent>
          <mc:Choice Requires="wps">
            <w:drawing>
              <wp:anchor distT="4294967291" distB="4294967291" distL="114300" distR="114300" simplePos="0" relativeHeight="251659776" behindDoc="0" locked="0" layoutInCell="1" allowOverlap="1">
                <wp:simplePos x="0" y="0"/>
                <wp:positionH relativeFrom="column">
                  <wp:posOffset>4248150</wp:posOffset>
                </wp:positionH>
                <wp:positionV relativeFrom="paragraph">
                  <wp:posOffset>7541894</wp:posOffset>
                </wp:positionV>
                <wp:extent cx="247650" cy="0"/>
                <wp:effectExtent l="0" t="76200" r="22225" b="95250"/>
                <wp:wrapNone/>
                <wp:docPr id="3" name="Прямая со стрелкой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76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400BF4" id="Прямая со стрелкой 19" o:spid="_x0000_s1026" type="#_x0000_t32" style="position:absolute;margin-left:334.5pt;margin-top:593.85pt;width:19.5pt;height:0;z-index:25165977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">
                <v:stroke endarrow="block"/>
              </v:shape>
            </w:pict>
          </mc:Fallback>
        </mc:AlternateContent>
      </w:r>
      <w:r w:rsidR="004616EA" w:rsidRPr="008255E5">
        <w:rPr>
          <w:rFonts w:ascii="Times New Roman" w:hAnsi="Times New Roman"/>
          <w:sz w:val="26"/>
          <w:szCs w:val="26"/>
        </w:rPr>
        <w:t>Строительный микро-кластер города Когалыма относится к типу К821 «обеспечение – производство». Можно выделить 2 варианта траекторий развития: К831 и К832 (данные траектории движения выбираются исходя из того, что один компонент кластерообразующего ядра должен остаться неизменным, а другой изменяется). Предлагается из данных вариантов выбрать для дальнейшего развития вариант К831 («обслуживание – производство»), поскольку выявлен потенциал реализации этой траектории прогрессивного развития (компонент «производство» и в дальнейшем будет актуален, в связи с увеличением населения города будет расти спрос на строительство жилых домов, а компонент «обслуживание» можно развивать как одно из направлений диверсификации экономики города).</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Необходимо отметить, что также имеется определенное количество организаций в компонентах «Потребление» и «Обучение», которые расположены также на территории города Когалыма. Соответственно, строительный микро-кластер города Когалыма имеет значительный потенциал развития компонента «Потребление». Следовательно, он может развиваться далее в направлении К841.</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Следующим этапом формируется комплекс мер, обеспечивающих реализацию оптимальной траектории прогрессивного развития кластера (</w:t>
      </w:r>
      <w:r w:rsidR="001977F4">
        <w:fldChar w:fldCharType="begin"/>
      </w:r>
      <w:r w:rsidR="001977F4">
        <w:instrText xml:space="preserve"> REF _Ref397078647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42</w:t>
      </w:r>
      <w:r w:rsidR="001977F4">
        <w:fldChar w:fldCharType="end"/>
      </w:r>
      <w:r w:rsidRPr="008255E5">
        <w:rPr>
          <w:rFonts w:ascii="Times New Roman" w:hAnsi="Times New Roman"/>
          <w:sz w:val="26"/>
          <w:szCs w:val="26"/>
        </w:rPr>
        <w:t>).</w:t>
      </w:r>
    </w:p>
    <w:p w:rsidR="004616EA" w:rsidRPr="008255E5" w:rsidRDefault="004616EA" w:rsidP="008255E5">
      <w:pPr>
        <w:spacing w:after="0" w:line="240" w:lineRule="auto"/>
        <w:ind w:firstLine="709"/>
        <w:jc w:val="both"/>
        <w:rPr>
          <w:rFonts w:ascii="Times New Roman" w:hAnsi="Times New Roman"/>
          <w:sz w:val="26"/>
          <w:szCs w:val="26"/>
        </w:rPr>
      </w:pPr>
    </w:p>
    <w:p w:rsidR="004616EA" w:rsidRPr="00475E67" w:rsidRDefault="004616EA" w:rsidP="00DB5D26">
      <w:pPr>
        <w:pStyle w:val="af1"/>
        <w:jc w:val="center"/>
        <w:rPr>
          <w:rFonts w:ascii="Times New Roman" w:hAnsi="Times New Roman"/>
          <w:b w:val="0"/>
          <w:color w:val="auto"/>
          <w:sz w:val="24"/>
        </w:rPr>
      </w:pPr>
      <w:bookmarkStart w:id="117" w:name="_Ref397078647"/>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42</w:t>
      </w:r>
      <w:r w:rsidRPr="00475E67">
        <w:rPr>
          <w:rFonts w:ascii="Times New Roman" w:hAnsi="Times New Roman"/>
          <w:b w:val="0"/>
          <w:color w:val="auto"/>
          <w:sz w:val="24"/>
        </w:rPr>
        <w:fldChar w:fldCharType="end"/>
      </w:r>
      <w:bookmarkEnd w:id="117"/>
      <w:r w:rsidRPr="00475E67">
        <w:rPr>
          <w:rFonts w:ascii="Times New Roman" w:hAnsi="Times New Roman"/>
          <w:b w:val="0"/>
          <w:color w:val="auto"/>
          <w:sz w:val="24"/>
        </w:rPr>
        <w:t xml:space="preserve"> - Ресурсное обеспечение и системные связи в существующем кластерообразующем ядре строительного микро-кластера</w:t>
      </w:r>
    </w:p>
    <w:p w:rsidR="004616EA" w:rsidRPr="008255E5" w:rsidRDefault="00574C05" w:rsidP="008255E5">
      <w:pPr>
        <w:spacing w:after="0" w:line="240" w:lineRule="auto"/>
        <w:ind w:firstLine="709"/>
        <w:jc w:val="both"/>
        <w:rPr>
          <w:rFonts w:ascii="Times New Roman" w:hAnsi="Times New Roman"/>
          <w:sz w:val="26"/>
          <w:szCs w:val="26"/>
        </w:rPr>
      </w:pPr>
      <w:r>
        <w:rPr>
          <w:noProof/>
          <w:lang w:eastAsia="ru-RU"/>
        </w:rPr>
        <w:object w:dxaOrig="1440" w:dyaOrig="1440">
          <v:shape id="_x0000_s1043" type="#_x0000_t75" style="position:absolute;left:0;text-align:left;margin-left:101.7pt;margin-top:-27.3pt;width:449.45pt;height:312pt;z-index:251657728;mso-position-horizontal-relative:margin" o:allowincell="f">
            <v:imagedata r:id="rId67" o:title=""/>
            <w10:wrap type="topAndBottom" anchorx="margin"/>
            <w10:anchorlock/>
          </v:shape>
          <o:OLEObject Type="Embed" ProgID="Visio.Drawing.11" ShapeID="_x0000_s1043" DrawAspect="Content" ObjectID="_1509436650" r:id="rId68"/>
        </w:object>
      </w:r>
      <w:r w:rsidR="004616EA" w:rsidRPr="008255E5">
        <w:rPr>
          <w:rFonts w:ascii="Times New Roman" w:hAnsi="Times New Roman"/>
          <w:sz w:val="26"/>
          <w:szCs w:val="26"/>
        </w:rPr>
        <w:t xml:space="preserve">Эти два компонента стимулируют развитие друг друга, и такой режим существования микро-кластера является наиболее благоприятным. Однако переход к нему опосредован режимами, когда один из компонентов ограничивает развитие другого. Таким образом, в качестве целей управления развитием микро-кластеров целесообразно рассматривать последовательно: </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 xml:space="preserve">1) ускорение протекания режимов 2 или 3 (один из компонентов микро-кластера блокирует развитие другого); </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 xml:space="preserve">2) содействие переходу микро-кластера из режимов 2 или 3 в режим 4 (оба компонента стимулируют развитие друг друга). </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Указанные целевые направления могут быть реализованы путём управления разворачиванием межкомпонентного противоречия внутри ядра микро-кластера. Контекстные задачи субъекта управления можно свести к следующему комплексу мер.</w:t>
      </w:r>
    </w:p>
    <w:p w:rsidR="004616EA" w:rsidRPr="008255E5" w:rsidRDefault="004616EA" w:rsidP="008255E5">
      <w:pPr>
        <w:spacing w:after="0" w:line="240" w:lineRule="auto"/>
        <w:ind w:firstLine="709"/>
        <w:jc w:val="both"/>
        <w:rPr>
          <w:rFonts w:ascii="Times New Roman" w:hAnsi="Times New Roman"/>
          <w:b/>
          <w:sz w:val="26"/>
          <w:szCs w:val="26"/>
        </w:rPr>
      </w:pPr>
      <w:r w:rsidRPr="008255E5">
        <w:rPr>
          <w:rFonts w:ascii="Times New Roman" w:hAnsi="Times New Roman"/>
          <w:b/>
          <w:sz w:val="26"/>
          <w:szCs w:val="26"/>
        </w:rPr>
        <w:t>Меры, направленные на развитие существующего кластерообразующего ядра «Производство – Обеспечение»:</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1.</w:t>
      </w:r>
      <w:r w:rsidRPr="008255E5">
        <w:rPr>
          <w:rFonts w:ascii="Times New Roman" w:hAnsi="Times New Roman"/>
          <w:sz w:val="26"/>
          <w:szCs w:val="26"/>
        </w:rPr>
        <w:tab/>
        <w:t>Развитие компонента «Производство» путем поддержки строительства новых объектов, в том числе социальных объектов.</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2.</w:t>
      </w:r>
      <w:r w:rsidRPr="008255E5">
        <w:rPr>
          <w:rFonts w:ascii="Times New Roman" w:hAnsi="Times New Roman"/>
          <w:sz w:val="26"/>
          <w:szCs w:val="26"/>
        </w:rPr>
        <w:tab/>
        <w:t>Развитие компонента «Обеспечение» путем поддержки развития существующих и создания новых компаний по производству строительных материалов.</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3.</w:t>
      </w:r>
      <w:r w:rsidRPr="008255E5">
        <w:rPr>
          <w:rFonts w:ascii="Times New Roman" w:hAnsi="Times New Roman"/>
          <w:sz w:val="26"/>
          <w:szCs w:val="26"/>
        </w:rPr>
        <w:tab/>
        <w:t>Содействие участию малого и среднего бизнеса в строительной отрасли экономики города.</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4.</w:t>
      </w:r>
      <w:r w:rsidRPr="008255E5">
        <w:rPr>
          <w:rFonts w:ascii="Times New Roman" w:hAnsi="Times New Roman"/>
          <w:sz w:val="26"/>
          <w:szCs w:val="26"/>
        </w:rPr>
        <w:tab/>
        <w:t>Развитие инфраструктурных составляющих, в том числе строительство новых транспортных коридоров круглогодичного действия.</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5.</w:t>
      </w:r>
      <w:r w:rsidRPr="008255E5">
        <w:rPr>
          <w:rFonts w:ascii="Times New Roman" w:hAnsi="Times New Roman"/>
          <w:sz w:val="26"/>
          <w:szCs w:val="26"/>
        </w:rPr>
        <w:tab/>
        <w:t>Административное стимулирование внедрения на предприятиях по производству строительных материалов новых технологий и производства инновационной продукции.</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После укрепления позиций ядра «Производство – Обеспечение» микро-кластер начинает искать дополнительные возможности для развития. Соответственно, схему ресурсного обеспечения и реализации системных связей в образующемся ядре «Производство – Обслуживание» можно представить следующим образом (</w:t>
      </w:r>
      <w:r w:rsidR="001977F4">
        <w:fldChar w:fldCharType="begin"/>
      </w:r>
      <w:r w:rsidR="001977F4">
        <w:instrText xml:space="preserve"> REF _Ref397078877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43</w:t>
      </w:r>
      <w:r w:rsidR="001977F4">
        <w:fldChar w:fldCharType="end"/>
      </w:r>
      <w:r w:rsidRPr="008255E5">
        <w:rPr>
          <w:rFonts w:ascii="Times New Roman" w:hAnsi="Times New Roman"/>
          <w:sz w:val="26"/>
          <w:szCs w:val="26"/>
        </w:rPr>
        <w:t>).</w:t>
      </w:r>
    </w:p>
    <w:p w:rsidR="004616EA" w:rsidRPr="008255E5" w:rsidRDefault="004616EA" w:rsidP="008255E5">
      <w:pPr>
        <w:spacing w:after="0" w:line="240" w:lineRule="auto"/>
        <w:ind w:firstLine="709"/>
        <w:jc w:val="both"/>
        <w:rPr>
          <w:rFonts w:ascii="Times New Roman" w:hAnsi="Times New Roman"/>
          <w:b/>
          <w:sz w:val="26"/>
          <w:szCs w:val="26"/>
        </w:rPr>
      </w:pPr>
    </w:p>
    <w:p w:rsidR="004616EA" w:rsidRPr="008255E5" w:rsidRDefault="004616EA" w:rsidP="008255E5">
      <w:pPr>
        <w:spacing w:after="0" w:line="240" w:lineRule="auto"/>
        <w:ind w:firstLine="709"/>
        <w:jc w:val="both"/>
        <w:rPr>
          <w:rFonts w:ascii="Times New Roman" w:hAnsi="Times New Roman"/>
          <w:b/>
          <w:sz w:val="26"/>
          <w:szCs w:val="26"/>
        </w:rPr>
      </w:pPr>
    </w:p>
    <w:p w:rsidR="004616EA" w:rsidRPr="008255E5" w:rsidRDefault="004616EA" w:rsidP="008255E5">
      <w:pPr>
        <w:spacing w:after="0" w:line="240" w:lineRule="auto"/>
        <w:ind w:firstLine="709"/>
        <w:jc w:val="both"/>
        <w:rPr>
          <w:rFonts w:ascii="Times New Roman" w:hAnsi="Times New Roman"/>
          <w:b/>
          <w:sz w:val="26"/>
          <w:szCs w:val="26"/>
        </w:rPr>
      </w:pPr>
    </w:p>
    <w:p w:rsidR="004616EA" w:rsidRPr="008255E5" w:rsidRDefault="004616EA" w:rsidP="008255E5">
      <w:pPr>
        <w:spacing w:after="0" w:line="240" w:lineRule="auto"/>
        <w:ind w:firstLine="709"/>
        <w:jc w:val="both"/>
        <w:rPr>
          <w:rFonts w:ascii="Times New Roman" w:hAnsi="Times New Roman"/>
          <w:b/>
          <w:sz w:val="26"/>
          <w:szCs w:val="26"/>
        </w:rPr>
      </w:pPr>
    </w:p>
    <w:p w:rsidR="004616EA" w:rsidRPr="008255E5" w:rsidRDefault="004616EA" w:rsidP="008255E5">
      <w:pPr>
        <w:spacing w:after="0" w:line="240" w:lineRule="auto"/>
        <w:ind w:firstLine="709"/>
        <w:jc w:val="both"/>
        <w:rPr>
          <w:rFonts w:ascii="Times New Roman" w:hAnsi="Times New Roman"/>
          <w:b/>
          <w:sz w:val="26"/>
          <w:szCs w:val="26"/>
        </w:rPr>
      </w:pPr>
    </w:p>
    <w:p w:rsidR="004616EA" w:rsidRPr="008255E5" w:rsidRDefault="004616EA" w:rsidP="008255E5">
      <w:pPr>
        <w:spacing w:after="0" w:line="240" w:lineRule="auto"/>
        <w:ind w:firstLine="709"/>
        <w:jc w:val="both"/>
        <w:rPr>
          <w:rFonts w:ascii="Times New Roman" w:hAnsi="Times New Roman"/>
          <w:b/>
          <w:sz w:val="26"/>
          <w:szCs w:val="26"/>
        </w:rPr>
      </w:pPr>
    </w:p>
    <w:p w:rsidR="004616EA" w:rsidRPr="00475E67" w:rsidRDefault="004616EA" w:rsidP="008255E5">
      <w:pPr>
        <w:spacing w:after="0" w:line="240" w:lineRule="auto"/>
        <w:ind w:firstLine="708"/>
        <w:jc w:val="both"/>
        <w:rPr>
          <w:rFonts w:ascii="Times New Roman" w:hAnsi="Times New Roman"/>
          <w:b/>
          <w:sz w:val="24"/>
        </w:rPr>
      </w:pPr>
    </w:p>
    <w:p w:rsidR="004616EA" w:rsidRPr="00475E67" w:rsidRDefault="004616EA" w:rsidP="008255E5">
      <w:pPr>
        <w:spacing w:after="0" w:line="240" w:lineRule="auto"/>
        <w:ind w:firstLine="708"/>
        <w:jc w:val="both"/>
        <w:rPr>
          <w:rFonts w:ascii="Times New Roman" w:hAnsi="Times New Roman"/>
          <w:b/>
          <w:sz w:val="24"/>
        </w:rPr>
      </w:pPr>
    </w:p>
    <w:p w:rsidR="004616EA" w:rsidRPr="00475E67" w:rsidRDefault="004616EA" w:rsidP="008255E5">
      <w:pPr>
        <w:spacing w:after="0" w:line="240" w:lineRule="auto"/>
        <w:ind w:firstLine="708"/>
        <w:jc w:val="both"/>
        <w:rPr>
          <w:rFonts w:ascii="Times New Roman" w:hAnsi="Times New Roman"/>
          <w:b/>
          <w:sz w:val="24"/>
        </w:rPr>
      </w:pPr>
    </w:p>
    <w:p w:rsidR="004616EA" w:rsidRPr="00475E67" w:rsidRDefault="004616EA" w:rsidP="008255E5">
      <w:pPr>
        <w:spacing w:after="0" w:line="240" w:lineRule="auto"/>
        <w:ind w:firstLine="708"/>
        <w:jc w:val="both"/>
        <w:rPr>
          <w:rFonts w:ascii="Times New Roman" w:hAnsi="Times New Roman"/>
          <w:b/>
          <w:sz w:val="24"/>
        </w:rPr>
      </w:pPr>
    </w:p>
    <w:p w:rsidR="004616EA" w:rsidRPr="00475E67" w:rsidRDefault="004616EA" w:rsidP="008255E5">
      <w:pPr>
        <w:spacing w:after="0" w:line="240" w:lineRule="auto"/>
        <w:ind w:firstLine="708"/>
        <w:jc w:val="both"/>
        <w:rPr>
          <w:rFonts w:ascii="Times New Roman" w:hAnsi="Times New Roman"/>
          <w:b/>
          <w:sz w:val="24"/>
        </w:rPr>
      </w:pPr>
    </w:p>
    <w:p w:rsidR="004616EA" w:rsidRPr="00475E67" w:rsidRDefault="004616EA" w:rsidP="008255E5">
      <w:pPr>
        <w:spacing w:after="0" w:line="240" w:lineRule="auto"/>
        <w:ind w:firstLine="708"/>
        <w:jc w:val="both"/>
        <w:rPr>
          <w:rFonts w:ascii="Times New Roman" w:hAnsi="Times New Roman"/>
          <w:b/>
          <w:sz w:val="24"/>
        </w:rPr>
      </w:pPr>
    </w:p>
    <w:p w:rsidR="004616EA" w:rsidRDefault="004616EA" w:rsidP="008255E5">
      <w:pPr>
        <w:spacing w:after="0" w:line="240" w:lineRule="auto"/>
        <w:ind w:firstLine="708"/>
        <w:jc w:val="both"/>
        <w:rPr>
          <w:rFonts w:ascii="Times New Roman" w:hAnsi="Times New Roman"/>
          <w:b/>
          <w:sz w:val="24"/>
        </w:rPr>
      </w:pPr>
    </w:p>
    <w:p w:rsidR="004616EA" w:rsidRDefault="004616EA" w:rsidP="008255E5">
      <w:pPr>
        <w:spacing w:after="0" w:line="240" w:lineRule="auto"/>
        <w:ind w:firstLine="708"/>
        <w:jc w:val="both"/>
        <w:rPr>
          <w:rFonts w:ascii="Times New Roman" w:hAnsi="Times New Roman"/>
          <w:b/>
          <w:sz w:val="24"/>
        </w:rPr>
      </w:pPr>
    </w:p>
    <w:p w:rsidR="004616EA" w:rsidRDefault="004616EA" w:rsidP="008255E5">
      <w:pPr>
        <w:spacing w:after="0" w:line="240" w:lineRule="auto"/>
        <w:ind w:firstLine="708"/>
        <w:jc w:val="both"/>
        <w:rPr>
          <w:rFonts w:ascii="Times New Roman" w:hAnsi="Times New Roman"/>
          <w:b/>
          <w:sz w:val="24"/>
        </w:rPr>
      </w:pPr>
    </w:p>
    <w:p w:rsidR="004616EA" w:rsidRDefault="004616EA" w:rsidP="008255E5">
      <w:pPr>
        <w:spacing w:after="0" w:line="240" w:lineRule="auto"/>
        <w:ind w:firstLine="708"/>
        <w:jc w:val="both"/>
        <w:rPr>
          <w:rFonts w:ascii="Times New Roman" w:hAnsi="Times New Roman"/>
          <w:b/>
          <w:sz w:val="24"/>
        </w:rPr>
      </w:pPr>
    </w:p>
    <w:p w:rsidR="004616EA" w:rsidRDefault="004616EA" w:rsidP="008255E5">
      <w:pPr>
        <w:spacing w:after="0" w:line="240" w:lineRule="auto"/>
        <w:ind w:firstLine="708"/>
        <w:jc w:val="both"/>
        <w:rPr>
          <w:rFonts w:ascii="Times New Roman" w:hAnsi="Times New Roman"/>
          <w:b/>
          <w:sz w:val="24"/>
        </w:rPr>
      </w:pPr>
    </w:p>
    <w:p w:rsidR="004616EA" w:rsidRDefault="004616EA" w:rsidP="008255E5">
      <w:pPr>
        <w:spacing w:after="0" w:line="240" w:lineRule="auto"/>
        <w:ind w:firstLine="708"/>
        <w:jc w:val="both"/>
        <w:rPr>
          <w:rFonts w:ascii="Times New Roman" w:hAnsi="Times New Roman"/>
          <w:b/>
          <w:sz w:val="24"/>
        </w:rPr>
      </w:pPr>
    </w:p>
    <w:p w:rsidR="004616EA" w:rsidRDefault="004616EA" w:rsidP="008255E5">
      <w:pPr>
        <w:spacing w:after="0" w:line="240" w:lineRule="auto"/>
        <w:ind w:firstLine="708"/>
        <w:jc w:val="both"/>
        <w:rPr>
          <w:rFonts w:ascii="Times New Roman" w:hAnsi="Times New Roman"/>
          <w:b/>
          <w:sz w:val="24"/>
        </w:rPr>
      </w:pPr>
    </w:p>
    <w:p w:rsidR="004616EA" w:rsidRDefault="004616EA" w:rsidP="008255E5">
      <w:pPr>
        <w:spacing w:after="0" w:line="240" w:lineRule="auto"/>
        <w:ind w:firstLine="708"/>
        <w:jc w:val="both"/>
        <w:rPr>
          <w:rFonts w:ascii="Times New Roman" w:hAnsi="Times New Roman"/>
          <w:b/>
          <w:sz w:val="24"/>
        </w:rPr>
      </w:pPr>
    </w:p>
    <w:p w:rsidR="004616EA" w:rsidRDefault="004616EA" w:rsidP="008255E5">
      <w:pPr>
        <w:spacing w:after="0" w:line="240" w:lineRule="auto"/>
        <w:ind w:firstLine="708"/>
        <w:jc w:val="both"/>
        <w:rPr>
          <w:rFonts w:ascii="Times New Roman" w:hAnsi="Times New Roman"/>
          <w:b/>
          <w:sz w:val="24"/>
        </w:rPr>
      </w:pPr>
    </w:p>
    <w:p w:rsidR="004616EA" w:rsidRPr="00475E67" w:rsidRDefault="00574C05" w:rsidP="008255E5">
      <w:pPr>
        <w:spacing w:after="0" w:line="240" w:lineRule="auto"/>
        <w:ind w:firstLine="708"/>
        <w:jc w:val="both"/>
        <w:rPr>
          <w:rFonts w:ascii="Times New Roman" w:hAnsi="Times New Roman"/>
          <w:b/>
          <w:sz w:val="24"/>
        </w:rPr>
      </w:pPr>
      <w:r>
        <w:rPr>
          <w:noProof/>
          <w:lang w:eastAsia="ru-RU"/>
        </w:rPr>
        <w:object w:dxaOrig="1440" w:dyaOrig="1440">
          <v:shape id="_x0000_s1044" type="#_x0000_t75" style="position:absolute;left:0;text-align:left;margin-left:44pt;margin-top:-283.4pt;width:352pt;height:295.75pt;z-index:-251649536;mso-position-horizontal-relative:margin" wrapcoords="8751 713 8751 1590 6540 2467 6494 4221 2395 4495 2119 4550 2119 5702 2395 5976 2211 5976 2119 6085 2119 9429 2257 9484 4421 9484 2165 9704 2165 10087 4421 10361 4375 11239 -46 11842 -46 11951 6033 12116 3684 12390 3684 12719 6033 12993 2487 13103 2441 13322 3178 13870 2119 14692 2165 15186 4191 15624 6033 15624 2487 15953 2487 16392 -46 16611 -46 16776 6402 17379 6402 20723 12343 20723 12343 18256 15152 18256 20403 17708 20449 11896 19297 11677 15705 11239 15797 10471 15106 10361 15751 10142 15659 8004 15290 7730 15613 7730 15751 7401 15659 6085 15567 5976 15751 5592 15797 4331 15429 4276 14415 4221 15751 3947 15797 1809 15014 1754 8981 1590 8981 713 8751 713">
            <v:imagedata r:id="rId69" o:title=""/>
            <w10:wrap type="tight" anchorx="margin"/>
            <w10:anchorlock/>
          </v:shape>
          <o:OLEObject Type="Embed" ProgID="Visio.Drawing.11" ShapeID="_x0000_s1044" DrawAspect="Content" ObjectID="_1509436651" r:id="rId70"/>
        </w:object>
      </w:r>
    </w:p>
    <w:p w:rsidR="004616EA" w:rsidRPr="00475E67" w:rsidRDefault="004616EA" w:rsidP="008255E5">
      <w:pPr>
        <w:pStyle w:val="af1"/>
        <w:spacing w:after="0"/>
        <w:jc w:val="center"/>
        <w:rPr>
          <w:rFonts w:ascii="Times New Roman" w:hAnsi="Times New Roman"/>
          <w:b w:val="0"/>
          <w:color w:val="auto"/>
          <w:sz w:val="24"/>
          <w:szCs w:val="24"/>
        </w:rPr>
      </w:pPr>
      <w:bookmarkStart w:id="118" w:name="_Ref397078877"/>
      <w:r w:rsidRPr="00475E67">
        <w:rPr>
          <w:rFonts w:ascii="Times New Roman" w:hAnsi="Times New Roman"/>
          <w:b w:val="0"/>
          <w:color w:val="auto"/>
          <w:sz w:val="24"/>
          <w:szCs w:val="24"/>
        </w:rPr>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sidR="001977F4">
        <w:rPr>
          <w:rFonts w:ascii="Times New Roman" w:hAnsi="Times New Roman"/>
          <w:b w:val="0"/>
          <w:noProof/>
          <w:color w:val="auto"/>
          <w:sz w:val="24"/>
          <w:szCs w:val="24"/>
        </w:rPr>
        <w:t>43</w:t>
      </w:r>
      <w:r w:rsidRPr="00475E67">
        <w:rPr>
          <w:rFonts w:ascii="Times New Roman" w:hAnsi="Times New Roman"/>
          <w:b w:val="0"/>
          <w:color w:val="auto"/>
          <w:sz w:val="24"/>
          <w:szCs w:val="24"/>
        </w:rPr>
        <w:fldChar w:fldCharType="end"/>
      </w:r>
      <w:bookmarkEnd w:id="118"/>
      <w:r w:rsidRPr="00475E67">
        <w:rPr>
          <w:rFonts w:ascii="Times New Roman" w:hAnsi="Times New Roman"/>
          <w:b w:val="0"/>
          <w:color w:val="auto"/>
          <w:sz w:val="24"/>
          <w:szCs w:val="24"/>
        </w:rPr>
        <w:t xml:space="preserve"> - Ресурсное обеспечение и системные связи в перспективном кластерообразующем ядре строительного микро-кластера</w:t>
      </w:r>
    </w:p>
    <w:p w:rsidR="004616EA" w:rsidRPr="008255E5" w:rsidRDefault="004616EA" w:rsidP="008255E5">
      <w:pPr>
        <w:spacing w:after="0" w:line="240" w:lineRule="auto"/>
        <w:ind w:firstLine="709"/>
        <w:jc w:val="both"/>
        <w:rPr>
          <w:rFonts w:ascii="Times New Roman" w:hAnsi="Times New Roman"/>
          <w:b/>
          <w:sz w:val="26"/>
          <w:szCs w:val="26"/>
        </w:rPr>
      </w:pPr>
      <w:r w:rsidRPr="008255E5">
        <w:rPr>
          <w:rFonts w:ascii="Times New Roman" w:hAnsi="Times New Roman"/>
          <w:b/>
          <w:sz w:val="26"/>
          <w:szCs w:val="26"/>
        </w:rPr>
        <w:t>Меры, направленные на развитие перспективного кластерообразующего ядра «Производство – Обслуживание»:</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1.</w:t>
      </w:r>
      <w:r w:rsidRPr="008255E5">
        <w:rPr>
          <w:rFonts w:ascii="Times New Roman" w:hAnsi="Times New Roman"/>
          <w:sz w:val="26"/>
          <w:szCs w:val="26"/>
        </w:rPr>
        <w:tab/>
        <w:t>Развитие компонента «Обслуживание» путем поддержки развития организаций по ремонту и сервисному обслуживанию строительной техники, привлечения малого и среднего бизнеса в отрасль.</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2.</w:t>
      </w:r>
      <w:r w:rsidRPr="008255E5">
        <w:rPr>
          <w:rFonts w:ascii="Times New Roman" w:hAnsi="Times New Roman"/>
          <w:sz w:val="26"/>
          <w:szCs w:val="26"/>
        </w:rPr>
        <w:tab/>
        <w:t>Сотрудничество с соседними регионами с целью увеличения объемов производства строительных материалов, расширения перечня выпускаемой продукции.</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3.</w:t>
      </w:r>
      <w:r w:rsidRPr="008255E5">
        <w:rPr>
          <w:rFonts w:ascii="Times New Roman" w:hAnsi="Times New Roman"/>
          <w:sz w:val="26"/>
          <w:szCs w:val="26"/>
        </w:rPr>
        <w:tab/>
        <w:t>Подготовка необходимых для развития строительной отрасли специалистов на базе имеющихся образовательных учреждений.</w:t>
      </w:r>
    </w:p>
    <w:bookmarkEnd w:id="96"/>
    <w:p w:rsidR="004616EA" w:rsidRPr="008255E5" w:rsidRDefault="004616EA" w:rsidP="008255E5">
      <w:pPr>
        <w:pStyle w:val="a7"/>
        <w:tabs>
          <w:tab w:val="left" w:pos="426"/>
        </w:tabs>
        <w:spacing w:after="0" w:line="240" w:lineRule="auto"/>
        <w:ind w:left="0" w:firstLine="709"/>
        <w:contextualSpacing w:val="0"/>
        <w:jc w:val="both"/>
        <w:rPr>
          <w:rStyle w:val="a4"/>
          <w:color w:val="auto"/>
          <w:sz w:val="26"/>
          <w:szCs w:val="26"/>
          <w:u w:val="none"/>
        </w:rPr>
      </w:pPr>
    </w:p>
    <w:p w:rsidR="004616EA" w:rsidRPr="008255E5" w:rsidRDefault="004616EA" w:rsidP="008255E5">
      <w:pPr>
        <w:pStyle w:val="3"/>
        <w:spacing w:line="240" w:lineRule="auto"/>
        <w:ind w:firstLine="709"/>
        <w:rPr>
          <w:sz w:val="26"/>
        </w:rPr>
      </w:pPr>
      <w:bookmarkStart w:id="119" w:name="_Toc387239003"/>
      <w:bookmarkStart w:id="120" w:name="_Toc405805508"/>
      <w:r w:rsidRPr="008255E5">
        <w:rPr>
          <w:sz w:val="26"/>
        </w:rPr>
        <w:t>3.2 Место города в региональной системе расселения</w:t>
      </w:r>
      <w:bookmarkEnd w:id="119"/>
      <w:bookmarkEnd w:id="120"/>
    </w:p>
    <w:p w:rsidR="004616EA" w:rsidRPr="008255E5" w:rsidRDefault="004616EA" w:rsidP="008255E5">
      <w:pPr>
        <w:pStyle w:val="afb"/>
        <w:rPr>
          <w:sz w:val="26"/>
          <w:szCs w:val="26"/>
        </w:rPr>
      </w:pPr>
      <w:r w:rsidRPr="008255E5">
        <w:rPr>
          <w:sz w:val="26"/>
          <w:szCs w:val="26"/>
        </w:rPr>
        <w:t xml:space="preserve">Городской округ город Когалым расположен в северо-восточной части Ханты-Мансийского автономного округа - Югра между реками Ингу-Ягун и Кирилл-Высъягун, граничит с Сургутским районом. </w:t>
      </w:r>
      <w:r w:rsidRPr="008255E5">
        <w:rPr>
          <w:sz w:val="26"/>
          <w:szCs w:val="26"/>
          <w:lang w:eastAsia="en-US"/>
        </w:rPr>
        <w:t>Территория городского округа занимает площадь порядка 20,</w:t>
      </w:r>
      <w:r w:rsidRPr="008255E5">
        <w:rPr>
          <w:sz w:val="26"/>
          <w:szCs w:val="26"/>
        </w:rPr>
        <w:t>2</w:t>
      </w:r>
      <w:r w:rsidRPr="008255E5">
        <w:rPr>
          <w:sz w:val="26"/>
          <w:szCs w:val="26"/>
          <w:lang w:eastAsia="en-US"/>
        </w:rPr>
        <w:t xml:space="preserve"> тыс. га. Город Когалым находится на расстоянии около </w:t>
      </w:r>
      <w:r w:rsidRPr="008255E5">
        <w:rPr>
          <w:sz w:val="26"/>
          <w:szCs w:val="26"/>
        </w:rPr>
        <w:t>960</w:t>
      </w:r>
      <w:r w:rsidRPr="008255E5">
        <w:rPr>
          <w:sz w:val="26"/>
          <w:szCs w:val="26"/>
          <w:lang w:eastAsia="en-US"/>
        </w:rPr>
        <w:t xml:space="preserve"> км от г. Тюмени</w:t>
      </w:r>
      <w:r w:rsidRPr="008255E5">
        <w:rPr>
          <w:sz w:val="26"/>
          <w:szCs w:val="26"/>
        </w:rPr>
        <w:t xml:space="preserve"> (853 км по железной дороге)</w:t>
      </w:r>
      <w:r w:rsidRPr="008255E5">
        <w:rPr>
          <w:sz w:val="26"/>
          <w:szCs w:val="26"/>
          <w:lang w:eastAsia="en-US"/>
        </w:rPr>
        <w:t xml:space="preserve">, </w:t>
      </w:r>
      <w:r w:rsidRPr="008255E5">
        <w:rPr>
          <w:sz w:val="26"/>
          <w:szCs w:val="26"/>
        </w:rPr>
        <w:t>470</w:t>
      </w:r>
      <w:r w:rsidRPr="008255E5">
        <w:rPr>
          <w:sz w:val="26"/>
          <w:szCs w:val="26"/>
          <w:lang w:eastAsia="en-US"/>
        </w:rPr>
        <w:t xml:space="preserve"> км от г. Ханты-Мансийска, </w:t>
      </w:r>
      <w:r w:rsidRPr="008255E5">
        <w:rPr>
          <w:sz w:val="26"/>
          <w:szCs w:val="26"/>
        </w:rPr>
        <w:t>180</w:t>
      </w:r>
      <w:r w:rsidRPr="008255E5">
        <w:rPr>
          <w:sz w:val="26"/>
          <w:szCs w:val="26"/>
          <w:lang w:eastAsia="en-US"/>
        </w:rPr>
        <w:t xml:space="preserve"> км от г. Сургута (</w:t>
      </w:r>
      <w:r w:rsidRPr="008255E5">
        <w:rPr>
          <w:sz w:val="26"/>
          <w:szCs w:val="26"/>
        </w:rPr>
        <w:t>148</w:t>
      </w:r>
      <w:r w:rsidRPr="008255E5">
        <w:rPr>
          <w:sz w:val="26"/>
          <w:szCs w:val="26"/>
          <w:lang w:eastAsia="en-US"/>
        </w:rPr>
        <w:t xml:space="preserve"> км по железной дороге), </w:t>
      </w:r>
      <w:r w:rsidRPr="008255E5">
        <w:rPr>
          <w:sz w:val="26"/>
          <w:szCs w:val="26"/>
        </w:rPr>
        <w:t xml:space="preserve">340 </w:t>
      </w:r>
      <w:r w:rsidRPr="008255E5">
        <w:rPr>
          <w:sz w:val="26"/>
          <w:szCs w:val="26"/>
          <w:lang w:eastAsia="en-US"/>
        </w:rPr>
        <w:t>км от г. Нижневартовска</w:t>
      </w:r>
      <w:r w:rsidRPr="008255E5">
        <w:rPr>
          <w:sz w:val="26"/>
          <w:szCs w:val="26"/>
        </w:rPr>
        <w:t xml:space="preserve"> (250 км по железной дороге)</w:t>
      </w:r>
      <w:r w:rsidRPr="008255E5">
        <w:rPr>
          <w:sz w:val="26"/>
          <w:szCs w:val="26"/>
          <w:lang w:eastAsia="en-US"/>
        </w:rPr>
        <w:t>.</w:t>
      </w:r>
      <w:r w:rsidRPr="008255E5">
        <w:rPr>
          <w:sz w:val="26"/>
          <w:szCs w:val="26"/>
        </w:rPr>
        <w:t xml:space="preserve"> </w:t>
      </w:r>
    </w:p>
    <w:p w:rsidR="004616EA" w:rsidRPr="008255E5" w:rsidRDefault="004616EA" w:rsidP="008255E5">
      <w:pPr>
        <w:pStyle w:val="ab"/>
        <w:spacing w:before="0" w:after="0"/>
        <w:ind w:firstLine="709"/>
        <w:rPr>
          <w:sz w:val="26"/>
          <w:szCs w:val="26"/>
        </w:rPr>
      </w:pPr>
      <w:r w:rsidRPr="008255E5">
        <w:rPr>
          <w:sz w:val="26"/>
          <w:szCs w:val="26"/>
        </w:rPr>
        <w:t>Городской округ город Когалым в соответствии с Законом Ханты-Мансийского автономного окр</w:t>
      </w:r>
      <w:r>
        <w:rPr>
          <w:sz w:val="26"/>
          <w:szCs w:val="26"/>
        </w:rPr>
        <w:t>уга – Югры от 7 июля 2004 года №</w:t>
      </w:r>
      <w:r w:rsidRPr="008255E5">
        <w:rPr>
          <w:sz w:val="26"/>
          <w:szCs w:val="26"/>
        </w:rPr>
        <w:t>43-оз «Об административно-территориальном устройстве Ханты-Мансийского автономного округа – Югры и порядке его изменения» является административно-территориальной единицей Ханты-Мансийского автономного округа – Югры. В состав городского округа входят два населенных пункта: город Когалым, являющийся административным центром муниципального образования, и поселок Ортьягун, административно подчиненный администрации города Когалыма.</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Городской округ занимает шестое место по показателю численности населения среди муниципальных образований автономного округа. Плотность населения в муниципальном образовании составляет порядка 303 чел./кв. км.</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Исторически формированию системы расселения и появлению городского округа послужило открытие нефтяных месторождений в </w:t>
      </w:r>
      <w:hyperlink r:id="rId71" w:tooltip="Западная Сибирь" w:history="1">
        <w:r w:rsidRPr="008255E5">
          <w:rPr>
            <w:rFonts w:ascii="Times New Roman" w:hAnsi="Times New Roman"/>
            <w:sz w:val="26"/>
            <w:szCs w:val="26"/>
          </w:rPr>
          <w:t>Западной Сибири</w:t>
        </w:r>
      </w:hyperlink>
      <w:r w:rsidRPr="008255E5">
        <w:rPr>
          <w:rFonts w:ascii="Times New Roman" w:hAnsi="Times New Roman"/>
          <w:sz w:val="26"/>
          <w:szCs w:val="26"/>
        </w:rPr>
        <w:t xml:space="preserve">, а также строительство железной дороги. </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В системе расселения автономного округа городской округ город Когалым расположен на основной меридиональной оси «Север – Юг»: Тюмень – Сургут – Ноябрьск – Новый Уренгой. Эта главная межрегиональная планировочная ось всего Западно-Сибирского нефтегазового комплекса. Она включает железную дорогу, автодорогу и параллельно идущие инженерные коммуникации регионального значения (</w:t>
      </w:r>
      <w:r w:rsidR="001977F4">
        <w:fldChar w:fldCharType="begin"/>
      </w:r>
      <w:r w:rsidR="001977F4">
        <w:instrText xml:space="preserve"> REF _Ref397078928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44</w:t>
      </w:r>
      <w:r w:rsidR="001977F4">
        <w:fldChar w:fldCharType="end"/>
      </w:r>
      <w:r w:rsidRPr="008255E5">
        <w:rPr>
          <w:rFonts w:ascii="Times New Roman" w:hAnsi="Times New Roman"/>
          <w:sz w:val="26"/>
          <w:szCs w:val="26"/>
        </w:rPr>
        <w:t>).</w:t>
      </w:r>
    </w:p>
    <w:p w:rsidR="004616EA" w:rsidRPr="008255E5" w:rsidRDefault="004616EA" w:rsidP="008255E5">
      <w:pPr>
        <w:spacing w:after="0" w:line="240" w:lineRule="auto"/>
        <w:ind w:firstLine="709"/>
        <w:jc w:val="both"/>
        <w:rPr>
          <w:rFonts w:ascii="Times New Roman" w:hAnsi="Times New Roman"/>
          <w:sz w:val="26"/>
          <w:szCs w:val="26"/>
        </w:rPr>
      </w:pPr>
    </w:p>
    <w:p w:rsidR="004616EA" w:rsidRPr="00475E67" w:rsidRDefault="00E70A58" w:rsidP="00A92922">
      <w:pPr>
        <w:keepNext/>
        <w:spacing w:after="0"/>
        <w:jc w:val="center"/>
      </w:pPr>
      <w:r>
        <w:rPr>
          <w:noProof/>
          <w:lang w:eastAsia="ru-RU"/>
        </w:rPr>
        <w:drawing>
          <wp:inline distT="0" distB="0" distL="0" distR="0">
            <wp:extent cx="5379720" cy="59817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2">
                      <a:extLst>
                        <a:ext uri="{28A0092B-C50C-407E-A947-70E740481C1C}">
                          <a14:useLocalDpi xmlns:a14="http://schemas.microsoft.com/office/drawing/2010/main" val="0"/>
                        </a:ext>
                      </a:extLst>
                    </a:blip>
                    <a:srcRect l="5023" t="3542" r="22292" b="38611"/>
                    <a:stretch>
                      <a:fillRect/>
                    </a:stretch>
                  </pic:blipFill>
                  <pic:spPr bwMode="auto">
                    <a:xfrm>
                      <a:off x="0" y="0"/>
                      <a:ext cx="5379720" cy="5981700"/>
                    </a:xfrm>
                    <a:prstGeom prst="rect">
                      <a:avLst/>
                    </a:prstGeom>
                    <a:noFill/>
                    <a:ln>
                      <a:noFill/>
                    </a:ln>
                  </pic:spPr>
                </pic:pic>
              </a:graphicData>
            </a:graphic>
          </wp:inline>
        </w:drawing>
      </w:r>
    </w:p>
    <w:p w:rsidR="004616EA" w:rsidRPr="00475E67" w:rsidRDefault="004616EA" w:rsidP="00A92922">
      <w:pPr>
        <w:pStyle w:val="af1"/>
        <w:jc w:val="center"/>
        <w:rPr>
          <w:rFonts w:ascii="Times New Roman" w:hAnsi="Times New Roman"/>
          <w:b w:val="0"/>
          <w:color w:val="auto"/>
          <w:sz w:val="24"/>
        </w:rPr>
      </w:pPr>
      <w:bookmarkStart w:id="121" w:name="_Ref397078928"/>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44</w:t>
      </w:r>
      <w:r w:rsidRPr="00475E67">
        <w:rPr>
          <w:rFonts w:ascii="Times New Roman" w:hAnsi="Times New Roman"/>
          <w:b w:val="0"/>
          <w:color w:val="auto"/>
          <w:sz w:val="24"/>
        </w:rPr>
        <w:fldChar w:fldCharType="end"/>
      </w:r>
      <w:bookmarkEnd w:id="121"/>
      <w:r w:rsidRPr="00475E67">
        <w:rPr>
          <w:rFonts w:ascii="Times New Roman" w:hAnsi="Times New Roman"/>
          <w:b w:val="0"/>
          <w:color w:val="auto"/>
          <w:sz w:val="24"/>
        </w:rPr>
        <w:t xml:space="preserve"> - Место городского округа город Когалым в региональной системе расселения </w:t>
      </w:r>
      <w:r w:rsidRPr="00E30F0B">
        <w:rPr>
          <w:rFonts w:ascii="Times New Roman" w:hAnsi="Times New Roman"/>
          <w:b w:val="0"/>
          <w:color w:val="auto"/>
          <w:sz w:val="24"/>
        </w:rPr>
        <w:t>Ханты-Мансийского автономного округа</w:t>
      </w:r>
      <w:r w:rsidRPr="00475E67">
        <w:rPr>
          <w:rFonts w:ascii="Times New Roman" w:hAnsi="Times New Roman"/>
          <w:b w:val="0"/>
          <w:color w:val="auto"/>
          <w:sz w:val="24"/>
        </w:rPr>
        <w:t xml:space="preserve"> - Югры</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Анализ системы расселения позволяет выделить несколько ключевых сильных и слабых сторон развития городского округа город Когалым, а также ряд потенциальных возможностей и угроз.</w:t>
      </w:r>
    </w:p>
    <w:p w:rsidR="004616EA" w:rsidRPr="008255E5" w:rsidRDefault="004616EA" w:rsidP="008255E5">
      <w:pPr>
        <w:spacing w:after="0" w:line="240" w:lineRule="auto"/>
        <w:ind w:firstLine="709"/>
        <w:jc w:val="both"/>
        <w:rPr>
          <w:rFonts w:ascii="Times New Roman" w:hAnsi="Times New Roman"/>
          <w:b/>
          <w:sz w:val="26"/>
          <w:szCs w:val="26"/>
        </w:rPr>
      </w:pPr>
      <w:r w:rsidRPr="008255E5">
        <w:rPr>
          <w:rFonts w:ascii="Times New Roman" w:hAnsi="Times New Roman"/>
          <w:b/>
          <w:sz w:val="26"/>
          <w:szCs w:val="26"/>
        </w:rPr>
        <w:t>Сильные стороны</w:t>
      </w:r>
    </w:p>
    <w:p w:rsidR="004616EA" w:rsidRPr="008255E5" w:rsidRDefault="004616EA" w:rsidP="008255E5">
      <w:pPr>
        <w:pStyle w:val="a7"/>
        <w:numPr>
          <w:ilvl w:val="0"/>
          <w:numId w:val="64"/>
        </w:numPr>
        <w:tabs>
          <w:tab w:val="left"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в региональной системе расселения городской округ город Когалым – один из организационно-хозяйственных центров Ханты-Мансийского автономного округа – Югры, возникших на планировочных осях и являющихся сосредоточением функций местного значения;</w:t>
      </w:r>
    </w:p>
    <w:p w:rsidR="004616EA" w:rsidRPr="008255E5" w:rsidRDefault="004616EA" w:rsidP="008255E5">
      <w:pPr>
        <w:pStyle w:val="a7"/>
        <w:numPr>
          <w:ilvl w:val="0"/>
          <w:numId w:val="64"/>
        </w:numPr>
        <w:tabs>
          <w:tab w:val="left"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 xml:space="preserve"> ввиду географического расположения г. Когалыма, хозяйственного освоения территории и специфики становления промышленного сектора, городской округ город Когалым является одним из важнейших </w:t>
      </w:r>
      <w:hyperlink r:id="rId73" w:tooltip="Промышленность" w:history="1">
        <w:r w:rsidRPr="008255E5">
          <w:rPr>
            <w:rFonts w:ascii="Times New Roman" w:hAnsi="Times New Roman"/>
            <w:sz w:val="26"/>
            <w:szCs w:val="26"/>
          </w:rPr>
          <w:t>промышленных</w:t>
        </w:r>
      </w:hyperlink>
      <w:r w:rsidRPr="008255E5">
        <w:rPr>
          <w:rFonts w:ascii="Times New Roman" w:hAnsi="Times New Roman"/>
          <w:sz w:val="26"/>
          <w:szCs w:val="26"/>
        </w:rPr>
        <w:t xml:space="preserve"> центров Среднего Приобья, связанных с добычей нефтяных и газовых </w:t>
      </w:r>
      <w:hyperlink r:id="rId74" w:tooltip="Ресурсы" w:history="1">
        <w:r w:rsidRPr="008255E5">
          <w:rPr>
            <w:rFonts w:ascii="Times New Roman" w:hAnsi="Times New Roman"/>
            <w:sz w:val="26"/>
            <w:szCs w:val="26"/>
          </w:rPr>
          <w:t>ресурсов</w:t>
        </w:r>
      </w:hyperlink>
      <w:r w:rsidRPr="008255E5">
        <w:rPr>
          <w:rFonts w:ascii="Times New Roman" w:hAnsi="Times New Roman"/>
          <w:sz w:val="26"/>
          <w:szCs w:val="26"/>
        </w:rPr>
        <w:t>;</w:t>
      </w:r>
    </w:p>
    <w:p w:rsidR="004616EA" w:rsidRPr="008255E5" w:rsidRDefault="004616EA" w:rsidP="008255E5">
      <w:pPr>
        <w:pStyle w:val="a7"/>
        <w:numPr>
          <w:ilvl w:val="0"/>
          <w:numId w:val="64"/>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наличие железнодорожной магистрали Тюмень – Новый Уренгой позволяет организовать муниципальному образованию связь как с рядом муниципальных образований автономного округа, так и с соседними регионами – Тюменской областью и Ямало-Ненецким автономным округом, что создает предпосылки для активного развития торговых и хозяйственных отношений с соседними территориями. Через станцию Когалым проходит большой поток пассажирских и грузовых перевозок;</w:t>
      </w:r>
    </w:p>
    <w:p w:rsidR="004616EA" w:rsidRPr="008255E5" w:rsidRDefault="004616EA" w:rsidP="008255E5">
      <w:pPr>
        <w:numPr>
          <w:ilvl w:val="0"/>
          <w:numId w:val="64"/>
        </w:numPr>
        <w:tabs>
          <w:tab w:val="left" w:pos="993"/>
          <w:tab w:val="left" w:pos="1134"/>
        </w:tabs>
        <w:spacing w:after="0" w:line="240" w:lineRule="auto"/>
        <w:ind w:left="0" w:firstLine="709"/>
        <w:jc w:val="both"/>
        <w:rPr>
          <w:rFonts w:ascii="Times New Roman" w:hAnsi="Times New Roman"/>
          <w:sz w:val="26"/>
          <w:szCs w:val="26"/>
        </w:rPr>
      </w:pPr>
      <w:r w:rsidRPr="008255E5">
        <w:rPr>
          <w:rFonts w:ascii="Times New Roman" w:hAnsi="Times New Roman"/>
          <w:sz w:val="26"/>
          <w:szCs w:val="26"/>
        </w:rPr>
        <w:t>наличие коридора магистральных автодорог регионального значения в направлении Тюмень – Сургут – Когалым с ответвлением на Нижневартовск также обеспечивают постоянное транспортное сообщение с г. Сургутом и г. Нижневартовском;</w:t>
      </w:r>
    </w:p>
    <w:p w:rsidR="004616EA" w:rsidRPr="008255E5" w:rsidRDefault="004616EA" w:rsidP="008255E5">
      <w:pPr>
        <w:pStyle w:val="a7"/>
        <w:numPr>
          <w:ilvl w:val="0"/>
          <w:numId w:val="64"/>
        </w:numPr>
        <w:tabs>
          <w:tab w:val="left"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наличие в 6,5 км южнее г. Когалыма гражданского аэропорта, а также близость международного аэропорта «узлового» регионального значения в г. Сургуте. Вся деятельность аэропорта г. Когалыма связана с его спецификой: обслуживание пассажиров, работающих вахтово-экспедиционным методом по освоению нефтяных месторождений; перевозка народнохозяйственных грузов для нефтяников, жителей Крайнего Севера и Дальнего Востока, обслуживание коренного населения региона, деловая авиация.</w:t>
      </w:r>
      <w:r w:rsidRPr="008255E5">
        <w:rPr>
          <w:sz w:val="26"/>
          <w:szCs w:val="26"/>
        </w:rPr>
        <w:t xml:space="preserve"> </w:t>
      </w:r>
      <w:r w:rsidRPr="008255E5">
        <w:rPr>
          <w:rFonts w:ascii="Times New Roman" w:hAnsi="Times New Roman"/>
          <w:sz w:val="26"/>
          <w:szCs w:val="26"/>
        </w:rPr>
        <w:t>Аэропорт располагает грузовым терминалом общей площадью более 1000 квадратных метров;</w:t>
      </w:r>
    </w:p>
    <w:p w:rsidR="004616EA" w:rsidRPr="008255E5" w:rsidRDefault="004616EA" w:rsidP="008255E5">
      <w:pPr>
        <w:pStyle w:val="a7"/>
        <w:numPr>
          <w:ilvl w:val="0"/>
          <w:numId w:val="64"/>
        </w:numPr>
        <w:tabs>
          <w:tab w:val="left" w:pos="993"/>
          <w:tab w:val="left"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 xml:space="preserve">потребности населения города в профессиональном образовании, в высокотехнологичной медицинской помощи и в досуге удовлетворяются за счет организаций, расположенных в г. Сургуте и г. Нижневартовске, как более крупных центрах. Городские округа город Сургут и город Нижневартовск - </w:t>
      </w:r>
      <w:r w:rsidRPr="008255E5">
        <w:rPr>
          <w:rFonts w:ascii="Times New Roman" w:hAnsi="Times New Roman"/>
          <w:snapToGrid w:val="0"/>
          <w:sz w:val="26"/>
          <w:szCs w:val="26"/>
        </w:rPr>
        <w:t>это емкие потенциальные рынки сбыта товаров и услуг.</w:t>
      </w:r>
    </w:p>
    <w:p w:rsidR="004616EA" w:rsidRPr="008255E5" w:rsidRDefault="004616EA" w:rsidP="008255E5">
      <w:pPr>
        <w:spacing w:after="0" w:line="240" w:lineRule="auto"/>
        <w:ind w:firstLine="709"/>
        <w:jc w:val="both"/>
        <w:rPr>
          <w:rFonts w:ascii="Times New Roman" w:hAnsi="Times New Roman"/>
          <w:b/>
          <w:sz w:val="26"/>
          <w:szCs w:val="26"/>
        </w:rPr>
      </w:pPr>
      <w:r w:rsidRPr="008255E5">
        <w:rPr>
          <w:rFonts w:ascii="Times New Roman" w:hAnsi="Times New Roman"/>
          <w:b/>
          <w:sz w:val="26"/>
          <w:szCs w:val="26"/>
        </w:rPr>
        <w:t>Слабые стороны</w:t>
      </w:r>
    </w:p>
    <w:p w:rsidR="004616EA" w:rsidRPr="008255E5" w:rsidRDefault="004616EA" w:rsidP="008255E5">
      <w:pPr>
        <w:pStyle w:val="a7"/>
        <w:numPr>
          <w:ilvl w:val="0"/>
          <w:numId w:val="64"/>
        </w:numPr>
        <w:tabs>
          <w:tab w:val="left"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соседство с г. Сургутом, г. Нижневартовском диктует необходимость мониторинга и учета его интересов и стратегических приоритетов при планировании развития городского округа город Когалым;</w:t>
      </w:r>
    </w:p>
    <w:p w:rsidR="004616EA" w:rsidRPr="008255E5" w:rsidRDefault="004616EA" w:rsidP="008255E5">
      <w:pPr>
        <w:pStyle w:val="a7"/>
        <w:numPr>
          <w:ilvl w:val="0"/>
          <w:numId w:val="64"/>
        </w:numPr>
        <w:tabs>
          <w:tab w:val="left"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городской округ город Когалым попадает в зону влияния городского округа города Сургута. Город Сургут относится к числу основных центров нефтегазового комплекса и является производственным, потребительским, образовательным центром Югры.</w:t>
      </w:r>
    </w:p>
    <w:p w:rsidR="004616EA" w:rsidRPr="008255E5" w:rsidRDefault="004616EA" w:rsidP="008255E5">
      <w:pPr>
        <w:spacing w:after="0" w:line="240" w:lineRule="auto"/>
        <w:ind w:firstLine="709"/>
        <w:jc w:val="both"/>
        <w:rPr>
          <w:rFonts w:ascii="Times New Roman" w:hAnsi="Times New Roman"/>
          <w:b/>
          <w:sz w:val="26"/>
          <w:szCs w:val="26"/>
        </w:rPr>
      </w:pPr>
      <w:r w:rsidRPr="008255E5">
        <w:rPr>
          <w:rFonts w:ascii="Times New Roman" w:hAnsi="Times New Roman"/>
          <w:b/>
          <w:sz w:val="26"/>
          <w:szCs w:val="26"/>
        </w:rPr>
        <w:t>Возможности</w:t>
      </w:r>
    </w:p>
    <w:p w:rsidR="004616EA" w:rsidRPr="008255E5" w:rsidRDefault="004616EA" w:rsidP="008255E5">
      <w:pPr>
        <w:numPr>
          <w:ilvl w:val="0"/>
          <w:numId w:val="36"/>
        </w:numPr>
        <w:tabs>
          <w:tab w:val="left" w:pos="993"/>
        </w:tabs>
        <w:spacing w:after="0" w:line="240" w:lineRule="auto"/>
        <w:ind w:left="0" w:firstLine="709"/>
        <w:jc w:val="both"/>
        <w:rPr>
          <w:rFonts w:ascii="Times New Roman" w:hAnsi="Times New Roman"/>
          <w:snapToGrid w:val="0"/>
          <w:sz w:val="26"/>
          <w:szCs w:val="26"/>
        </w:rPr>
      </w:pPr>
      <w:r w:rsidRPr="008255E5">
        <w:rPr>
          <w:rFonts w:ascii="Times New Roman" w:hAnsi="Times New Roman"/>
          <w:sz w:val="26"/>
          <w:szCs w:val="26"/>
        </w:rPr>
        <w:t>дальнейшее развитие основной меридиональной оси «Север – Юг» будет способствовать более тесной, надежной и устойчивой связи между г. Когалымом и отдельными населенными пунктами,</w:t>
      </w:r>
      <w:r w:rsidRPr="008255E5">
        <w:rPr>
          <w:rFonts w:ascii="Times New Roman" w:hAnsi="Times New Roman"/>
          <w:snapToGrid w:val="0"/>
          <w:sz w:val="26"/>
          <w:szCs w:val="26"/>
        </w:rPr>
        <w:t xml:space="preserve"> что послужит повышению уровня социально-экономического развития города Когалыма, инвестиционной привлекательности, укреплению его связей с соседними муниципальными образованиями;</w:t>
      </w:r>
    </w:p>
    <w:p w:rsidR="004616EA" w:rsidRPr="008255E5" w:rsidRDefault="004616EA" w:rsidP="008255E5">
      <w:pPr>
        <w:numPr>
          <w:ilvl w:val="0"/>
          <w:numId w:val="36"/>
        </w:numPr>
        <w:tabs>
          <w:tab w:val="left" w:pos="993"/>
        </w:tabs>
        <w:spacing w:after="0" w:line="240" w:lineRule="auto"/>
        <w:ind w:left="0" w:firstLine="709"/>
        <w:jc w:val="both"/>
        <w:rPr>
          <w:rFonts w:ascii="Times New Roman" w:hAnsi="Times New Roman"/>
          <w:snapToGrid w:val="0"/>
          <w:sz w:val="26"/>
          <w:szCs w:val="26"/>
        </w:rPr>
      </w:pPr>
      <w:r w:rsidRPr="008255E5">
        <w:rPr>
          <w:rFonts w:ascii="Times New Roman" w:hAnsi="Times New Roman"/>
          <w:sz w:val="26"/>
          <w:szCs w:val="26"/>
        </w:rPr>
        <w:t>территориальная близость города Сургута, города Нижневартовска позволит нивелировать социально-экономические последствия негативных тенденций развития городского округа города Когалыма, и прежде всего, безработицу.</w:t>
      </w:r>
    </w:p>
    <w:p w:rsidR="004616EA" w:rsidRPr="008255E5" w:rsidRDefault="004616EA" w:rsidP="008255E5">
      <w:pPr>
        <w:spacing w:after="0" w:line="240" w:lineRule="auto"/>
        <w:ind w:firstLine="709"/>
        <w:jc w:val="both"/>
        <w:rPr>
          <w:rFonts w:ascii="Times New Roman" w:hAnsi="Times New Roman"/>
          <w:b/>
          <w:sz w:val="26"/>
          <w:szCs w:val="26"/>
        </w:rPr>
      </w:pPr>
      <w:r w:rsidRPr="008255E5">
        <w:rPr>
          <w:rFonts w:ascii="Times New Roman" w:hAnsi="Times New Roman"/>
          <w:b/>
          <w:sz w:val="26"/>
          <w:szCs w:val="26"/>
        </w:rPr>
        <w:t>Угрозы</w:t>
      </w:r>
    </w:p>
    <w:p w:rsidR="004616EA" w:rsidRPr="008255E5" w:rsidRDefault="004616EA" w:rsidP="008255E5">
      <w:pPr>
        <w:numPr>
          <w:ilvl w:val="0"/>
          <w:numId w:val="64"/>
        </w:numPr>
        <w:tabs>
          <w:tab w:val="left" w:pos="993"/>
          <w:tab w:val="left" w:pos="1134"/>
        </w:tabs>
        <w:spacing w:after="0" w:line="240" w:lineRule="auto"/>
        <w:ind w:left="0" w:firstLine="709"/>
        <w:jc w:val="both"/>
        <w:rPr>
          <w:rFonts w:ascii="Times New Roman" w:hAnsi="Times New Roman"/>
          <w:sz w:val="26"/>
          <w:szCs w:val="26"/>
        </w:rPr>
      </w:pPr>
      <w:r w:rsidRPr="008255E5">
        <w:rPr>
          <w:rFonts w:ascii="Times New Roman" w:hAnsi="Times New Roman"/>
          <w:snapToGrid w:val="0"/>
          <w:sz w:val="26"/>
          <w:szCs w:val="26"/>
        </w:rPr>
        <w:t xml:space="preserve"> дальнейшее «</w:t>
      </w:r>
      <w:r w:rsidRPr="008255E5">
        <w:rPr>
          <w:rFonts w:ascii="Times New Roman" w:hAnsi="Times New Roman"/>
          <w:sz w:val="26"/>
          <w:szCs w:val="26"/>
        </w:rPr>
        <w:t>оттягивание» инвестиционных ресурсов, потребительского спроса и транспортных потоков в более крупные города Сургут и Нижневартовск, которые имеет наибольшую инвестиционную привлекательность по сравнению с г. Когалымом;</w:t>
      </w:r>
    </w:p>
    <w:p w:rsidR="004616EA" w:rsidRPr="008255E5" w:rsidRDefault="004616EA" w:rsidP="008255E5">
      <w:pPr>
        <w:numPr>
          <w:ilvl w:val="0"/>
          <w:numId w:val="64"/>
        </w:numPr>
        <w:tabs>
          <w:tab w:val="left" w:pos="993"/>
          <w:tab w:val="left" w:pos="1134"/>
        </w:tabs>
        <w:spacing w:after="0" w:line="240" w:lineRule="auto"/>
        <w:ind w:left="0" w:firstLine="709"/>
        <w:jc w:val="both"/>
        <w:rPr>
          <w:rFonts w:ascii="Times New Roman" w:hAnsi="Times New Roman"/>
          <w:sz w:val="26"/>
          <w:szCs w:val="26"/>
        </w:rPr>
      </w:pPr>
      <w:r w:rsidRPr="008255E5">
        <w:rPr>
          <w:rFonts w:ascii="Times New Roman" w:hAnsi="Times New Roman"/>
          <w:sz w:val="26"/>
          <w:szCs w:val="26"/>
        </w:rPr>
        <w:t>отток квалифицированных кадров, особенно молодежи приведут к снижению демографического, интеллектуального, творческого и культурного потенциалов;</w:t>
      </w:r>
    </w:p>
    <w:p w:rsidR="004616EA" w:rsidRPr="008255E5" w:rsidRDefault="004616EA" w:rsidP="008255E5">
      <w:pPr>
        <w:numPr>
          <w:ilvl w:val="0"/>
          <w:numId w:val="64"/>
        </w:numPr>
        <w:tabs>
          <w:tab w:val="left" w:pos="993"/>
          <w:tab w:val="left" w:pos="1134"/>
        </w:tabs>
        <w:spacing w:after="0" w:line="240" w:lineRule="auto"/>
        <w:ind w:left="0" w:firstLine="709"/>
        <w:jc w:val="both"/>
        <w:rPr>
          <w:rFonts w:ascii="Times New Roman" w:hAnsi="Times New Roman"/>
          <w:sz w:val="26"/>
          <w:szCs w:val="26"/>
        </w:rPr>
      </w:pPr>
      <w:r w:rsidRPr="008255E5">
        <w:rPr>
          <w:rFonts w:ascii="Times New Roman" w:hAnsi="Times New Roman"/>
          <w:sz w:val="26"/>
          <w:szCs w:val="26"/>
        </w:rPr>
        <w:t>отсутствие перспектив для формирования городской агломерации с центром в г. Когалыме.</w:t>
      </w:r>
    </w:p>
    <w:p w:rsidR="004616EA" w:rsidRPr="008255E5" w:rsidRDefault="004616EA" w:rsidP="008255E5">
      <w:pPr>
        <w:pStyle w:val="3"/>
        <w:spacing w:line="240" w:lineRule="auto"/>
        <w:ind w:firstLine="709"/>
        <w:rPr>
          <w:sz w:val="26"/>
        </w:rPr>
      </w:pPr>
      <w:bookmarkStart w:id="122" w:name="_Toc387239005"/>
      <w:bookmarkStart w:id="123" w:name="_Toc405805509"/>
      <w:r w:rsidRPr="008255E5">
        <w:rPr>
          <w:sz w:val="26"/>
        </w:rPr>
        <w:t>3.3 Доступ к инвестиционным ресурсам</w:t>
      </w:r>
      <w:bookmarkEnd w:id="122"/>
      <w:bookmarkEnd w:id="123"/>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Достижение устойчивого развития города Когалыма невозможно без значительного привлечения инвестиций в экономику города, создания благоприятного инвестиционного климата и роста инвестиционной активности. Формирование благоприятного инвестиционного климата является обязательным условием устойчивого развития Ханты-Мансийского автономного округа – Югры, определенным Стратегией социально-экономического развития Ханты-Мансийского автономного округа – Югры до 2020 года и на период до 2030 года.</w:t>
      </w:r>
    </w:p>
    <w:p w:rsidR="004616EA" w:rsidRPr="008255E5" w:rsidRDefault="004616EA" w:rsidP="008255E5">
      <w:pPr>
        <w:pStyle w:val="af5"/>
        <w:spacing w:before="0" w:beforeAutospacing="0" w:after="0" w:afterAutospacing="0"/>
        <w:ind w:firstLine="709"/>
        <w:jc w:val="both"/>
        <w:rPr>
          <w:sz w:val="26"/>
          <w:szCs w:val="26"/>
        </w:rPr>
      </w:pPr>
      <w:r w:rsidRPr="008255E5">
        <w:rPr>
          <w:sz w:val="26"/>
          <w:szCs w:val="26"/>
        </w:rPr>
        <w:t>Основными задачами инвестиционной политики городского округа город Когалым являются:</w:t>
      </w:r>
    </w:p>
    <w:p w:rsidR="004616EA" w:rsidRPr="008255E5" w:rsidRDefault="004616EA" w:rsidP="008255E5">
      <w:pPr>
        <w:numPr>
          <w:ilvl w:val="0"/>
          <w:numId w:val="77"/>
        </w:numPr>
        <w:tabs>
          <w:tab w:val="clear" w:pos="720"/>
          <w:tab w:val="num" w:pos="567"/>
          <w:tab w:val="center" w:pos="1134"/>
        </w:tabs>
        <w:spacing w:after="0" w:line="240" w:lineRule="auto"/>
        <w:ind w:left="0" w:firstLine="709"/>
        <w:jc w:val="both"/>
        <w:rPr>
          <w:rFonts w:ascii="Times New Roman" w:hAnsi="Times New Roman"/>
          <w:sz w:val="26"/>
          <w:szCs w:val="26"/>
        </w:rPr>
      </w:pPr>
      <w:r w:rsidRPr="008255E5">
        <w:rPr>
          <w:rFonts w:ascii="Times New Roman" w:hAnsi="Times New Roman"/>
          <w:sz w:val="26"/>
          <w:szCs w:val="26"/>
        </w:rPr>
        <w:t>Мобилизация инвестиционных ресурсов городского округа и обеспечение их эффективного использования путем формирования муниципальных программ для реализации приоритетных и социально значимых направлений развития городского округа.</w:t>
      </w:r>
    </w:p>
    <w:p w:rsidR="004616EA" w:rsidRPr="008255E5" w:rsidRDefault="004616EA" w:rsidP="008255E5">
      <w:pPr>
        <w:numPr>
          <w:ilvl w:val="0"/>
          <w:numId w:val="77"/>
        </w:numPr>
        <w:tabs>
          <w:tab w:val="clear" w:pos="720"/>
          <w:tab w:val="num" w:pos="567"/>
          <w:tab w:val="center" w:pos="1134"/>
        </w:tabs>
        <w:spacing w:after="0" w:line="240" w:lineRule="auto"/>
        <w:ind w:left="0" w:firstLine="709"/>
        <w:jc w:val="both"/>
        <w:rPr>
          <w:rFonts w:ascii="Times New Roman" w:hAnsi="Times New Roman"/>
          <w:sz w:val="26"/>
          <w:szCs w:val="26"/>
        </w:rPr>
      </w:pPr>
      <w:r w:rsidRPr="008255E5">
        <w:rPr>
          <w:rFonts w:ascii="Times New Roman" w:hAnsi="Times New Roman"/>
          <w:sz w:val="26"/>
          <w:szCs w:val="26"/>
        </w:rPr>
        <w:t>Развитие инвестиционного потенциала городского округа.</w:t>
      </w:r>
    </w:p>
    <w:p w:rsidR="004616EA" w:rsidRPr="008255E5" w:rsidRDefault="004616EA" w:rsidP="008255E5">
      <w:pPr>
        <w:numPr>
          <w:ilvl w:val="0"/>
          <w:numId w:val="77"/>
        </w:numPr>
        <w:tabs>
          <w:tab w:val="clear" w:pos="720"/>
          <w:tab w:val="num" w:pos="567"/>
          <w:tab w:val="center" w:pos="1134"/>
        </w:tabs>
        <w:spacing w:after="0" w:line="240" w:lineRule="auto"/>
        <w:ind w:left="0" w:firstLine="709"/>
        <w:jc w:val="both"/>
        <w:rPr>
          <w:rFonts w:ascii="Times New Roman" w:hAnsi="Times New Roman"/>
          <w:sz w:val="26"/>
          <w:szCs w:val="26"/>
        </w:rPr>
      </w:pPr>
      <w:r w:rsidRPr="008255E5">
        <w:rPr>
          <w:rFonts w:ascii="Times New Roman" w:hAnsi="Times New Roman"/>
          <w:sz w:val="26"/>
          <w:szCs w:val="26"/>
        </w:rPr>
        <w:t>Создание и развитие законодательного, организационного, инфраструктурного и информационного обеспечения инвестиционной деятельности городского округа.</w:t>
      </w:r>
    </w:p>
    <w:p w:rsidR="004616EA" w:rsidRPr="008255E5" w:rsidRDefault="004616EA" w:rsidP="008255E5">
      <w:pPr>
        <w:pStyle w:val="210"/>
        <w:spacing w:line="240" w:lineRule="auto"/>
        <w:jc w:val="both"/>
        <w:rPr>
          <w:i w:val="0"/>
          <w:color w:val="auto"/>
          <w:sz w:val="26"/>
          <w:szCs w:val="26"/>
        </w:rPr>
      </w:pPr>
      <w:r w:rsidRPr="008255E5">
        <w:rPr>
          <w:i w:val="0"/>
          <w:color w:val="auto"/>
          <w:sz w:val="26"/>
          <w:szCs w:val="26"/>
        </w:rPr>
        <w:t xml:space="preserve">Для успешной реализации поставленных задач необходимо выделить ключевые сильные и слабые стороны доступа к инвестиционным ресурсам городского округа город Когалым, а также указать на потенциальные возможности и угрозы. </w:t>
      </w:r>
    </w:p>
    <w:p w:rsidR="004616EA" w:rsidRPr="008255E5" w:rsidRDefault="004616EA" w:rsidP="008255E5">
      <w:pPr>
        <w:pStyle w:val="a7"/>
        <w:spacing w:after="0" w:line="240" w:lineRule="auto"/>
        <w:ind w:left="0" w:firstLine="709"/>
        <w:contextualSpacing w:val="0"/>
        <w:jc w:val="both"/>
        <w:rPr>
          <w:rFonts w:ascii="Times New Roman" w:hAnsi="Times New Roman"/>
          <w:b/>
          <w:sz w:val="26"/>
          <w:szCs w:val="26"/>
        </w:rPr>
      </w:pPr>
      <w:r w:rsidRPr="008255E5">
        <w:rPr>
          <w:rFonts w:ascii="Times New Roman" w:hAnsi="Times New Roman"/>
          <w:b/>
          <w:sz w:val="26"/>
          <w:szCs w:val="26"/>
        </w:rPr>
        <w:t>Сильные стороны</w:t>
      </w:r>
    </w:p>
    <w:p w:rsidR="004616EA" w:rsidRPr="008255E5" w:rsidRDefault="004616EA" w:rsidP="008255E5">
      <w:pPr>
        <w:pStyle w:val="af5"/>
        <w:numPr>
          <w:ilvl w:val="0"/>
          <w:numId w:val="78"/>
        </w:numPr>
        <w:tabs>
          <w:tab w:val="center" w:pos="1134"/>
        </w:tabs>
        <w:spacing w:before="0" w:beforeAutospacing="0" w:after="0" w:afterAutospacing="0"/>
        <w:ind w:left="0" w:firstLine="709"/>
        <w:jc w:val="both"/>
        <w:rPr>
          <w:sz w:val="26"/>
          <w:szCs w:val="26"/>
        </w:rPr>
      </w:pPr>
      <w:r w:rsidRPr="008255E5">
        <w:rPr>
          <w:sz w:val="26"/>
          <w:szCs w:val="26"/>
        </w:rPr>
        <w:t>высокий уровень жизни населения;</w:t>
      </w:r>
    </w:p>
    <w:p w:rsidR="004616EA" w:rsidRPr="008255E5" w:rsidRDefault="004616EA" w:rsidP="008255E5">
      <w:pPr>
        <w:pStyle w:val="af5"/>
        <w:numPr>
          <w:ilvl w:val="0"/>
          <w:numId w:val="78"/>
        </w:numPr>
        <w:tabs>
          <w:tab w:val="left" w:pos="0"/>
          <w:tab w:val="center" w:pos="1134"/>
        </w:tabs>
        <w:spacing w:before="0" w:beforeAutospacing="0" w:after="0" w:afterAutospacing="0"/>
        <w:ind w:left="0" w:firstLine="709"/>
        <w:jc w:val="both"/>
        <w:rPr>
          <w:sz w:val="26"/>
          <w:szCs w:val="26"/>
        </w:rPr>
      </w:pPr>
      <w:r w:rsidRPr="008255E5">
        <w:rPr>
          <w:sz w:val="26"/>
          <w:szCs w:val="26"/>
        </w:rPr>
        <w:t>непосредственная близость к месторождению полезных ископаемых, сырью (нефть, газ);</w:t>
      </w:r>
    </w:p>
    <w:p w:rsidR="004616EA" w:rsidRPr="008255E5" w:rsidRDefault="004616EA" w:rsidP="008255E5">
      <w:pPr>
        <w:pStyle w:val="af5"/>
        <w:numPr>
          <w:ilvl w:val="0"/>
          <w:numId w:val="78"/>
        </w:numPr>
        <w:tabs>
          <w:tab w:val="center" w:pos="1134"/>
        </w:tabs>
        <w:spacing w:before="0" w:beforeAutospacing="0" w:after="0" w:afterAutospacing="0"/>
        <w:ind w:left="0" w:firstLine="709"/>
        <w:jc w:val="both"/>
        <w:rPr>
          <w:sz w:val="26"/>
          <w:szCs w:val="26"/>
        </w:rPr>
      </w:pPr>
      <w:r w:rsidRPr="008255E5">
        <w:rPr>
          <w:sz w:val="26"/>
          <w:szCs w:val="26"/>
        </w:rPr>
        <w:t>выгодное географическое положение, развитая транспортная инфраструктура;</w:t>
      </w:r>
    </w:p>
    <w:p w:rsidR="004616EA" w:rsidRPr="008255E5" w:rsidRDefault="004616EA" w:rsidP="008255E5">
      <w:pPr>
        <w:pStyle w:val="af5"/>
        <w:numPr>
          <w:ilvl w:val="0"/>
          <w:numId w:val="78"/>
        </w:numPr>
        <w:tabs>
          <w:tab w:val="center" w:pos="1134"/>
        </w:tabs>
        <w:spacing w:before="0" w:beforeAutospacing="0" w:after="0" w:afterAutospacing="0"/>
        <w:ind w:left="0" w:firstLine="709"/>
        <w:jc w:val="both"/>
        <w:rPr>
          <w:sz w:val="26"/>
          <w:szCs w:val="26"/>
        </w:rPr>
      </w:pPr>
      <w:r w:rsidRPr="008255E5">
        <w:rPr>
          <w:sz w:val="26"/>
          <w:szCs w:val="26"/>
        </w:rPr>
        <w:t>высокий уровень финансовой самостоятельности предприятий городского округа;</w:t>
      </w:r>
    </w:p>
    <w:p w:rsidR="004616EA" w:rsidRPr="008255E5" w:rsidRDefault="004616EA" w:rsidP="008255E5">
      <w:pPr>
        <w:pStyle w:val="af5"/>
        <w:numPr>
          <w:ilvl w:val="0"/>
          <w:numId w:val="78"/>
        </w:numPr>
        <w:tabs>
          <w:tab w:val="center" w:pos="1134"/>
        </w:tabs>
        <w:spacing w:before="0" w:beforeAutospacing="0" w:after="0" w:afterAutospacing="0"/>
        <w:ind w:left="0" w:firstLine="709"/>
        <w:jc w:val="both"/>
        <w:rPr>
          <w:sz w:val="26"/>
          <w:szCs w:val="26"/>
        </w:rPr>
      </w:pPr>
      <w:r w:rsidRPr="008255E5">
        <w:rPr>
          <w:sz w:val="26"/>
          <w:szCs w:val="26"/>
        </w:rPr>
        <w:t>наличие инвестиционного паспорта развития территории городского округа;</w:t>
      </w:r>
    </w:p>
    <w:p w:rsidR="004616EA" w:rsidRPr="008255E5" w:rsidRDefault="004616EA" w:rsidP="008255E5">
      <w:pPr>
        <w:pStyle w:val="af5"/>
        <w:numPr>
          <w:ilvl w:val="0"/>
          <w:numId w:val="78"/>
        </w:numPr>
        <w:tabs>
          <w:tab w:val="center" w:pos="1134"/>
        </w:tabs>
        <w:spacing w:before="0" w:beforeAutospacing="0" w:after="0" w:afterAutospacing="0"/>
        <w:ind w:left="0" w:firstLine="709"/>
        <w:jc w:val="both"/>
        <w:rPr>
          <w:sz w:val="26"/>
          <w:szCs w:val="26"/>
        </w:rPr>
      </w:pPr>
      <w:r w:rsidRPr="008255E5">
        <w:rPr>
          <w:sz w:val="26"/>
          <w:szCs w:val="26"/>
        </w:rPr>
        <w:t>высокий уровень развития социальной инфраструктуры.</w:t>
      </w:r>
    </w:p>
    <w:p w:rsidR="004616EA" w:rsidRPr="008255E5" w:rsidRDefault="004616EA" w:rsidP="008255E5">
      <w:pPr>
        <w:pStyle w:val="a7"/>
        <w:spacing w:after="0" w:line="240" w:lineRule="auto"/>
        <w:ind w:left="0" w:firstLine="709"/>
        <w:contextualSpacing w:val="0"/>
        <w:jc w:val="both"/>
        <w:rPr>
          <w:rFonts w:ascii="Times New Roman" w:hAnsi="Times New Roman"/>
          <w:b/>
          <w:sz w:val="26"/>
          <w:szCs w:val="26"/>
        </w:rPr>
      </w:pPr>
      <w:r w:rsidRPr="008255E5">
        <w:rPr>
          <w:rFonts w:ascii="Times New Roman" w:hAnsi="Times New Roman"/>
          <w:b/>
          <w:sz w:val="26"/>
          <w:szCs w:val="26"/>
        </w:rPr>
        <w:t>Слабые стороны</w:t>
      </w:r>
    </w:p>
    <w:p w:rsidR="004616EA" w:rsidRPr="008255E5" w:rsidRDefault="004616EA" w:rsidP="008255E5">
      <w:pPr>
        <w:pStyle w:val="a7"/>
        <w:numPr>
          <w:ilvl w:val="0"/>
          <w:numId w:val="76"/>
        </w:numPr>
        <w:tabs>
          <w:tab w:val="left" w:pos="0"/>
        </w:tabs>
        <w:spacing w:after="0" w:line="240" w:lineRule="auto"/>
        <w:ind w:left="0" w:firstLine="709"/>
        <w:contextualSpacing w:val="0"/>
        <w:jc w:val="both"/>
        <w:rPr>
          <w:rFonts w:ascii="Times New Roman" w:eastAsia="Batang" w:hAnsi="Times New Roman"/>
          <w:sz w:val="26"/>
          <w:szCs w:val="26"/>
        </w:rPr>
      </w:pPr>
      <w:r w:rsidRPr="008255E5">
        <w:rPr>
          <w:rFonts w:ascii="Times New Roman" w:eastAsia="Batang" w:hAnsi="Times New Roman"/>
          <w:sz w:val="26"/>
          <w:szCs w:val="26"/>
        </w:rPr>
        <w:t>суровые климатические условия, предопределяющие высокие издержки производства;</w:t>
      </w:r>
    </w:p>
    <w:p w:rsidR="004616EA" w:rsidRPr="008255E5" w:rsidRDefault="004616EA" w:rsidP="008255E5">
      <w:pPr>
        <w:pStyle w:val="a7"/>
        <w:numPr>
          <w:ilvl w:val="0"/>
          <w:numId w:val="76"/>
        </w:numPr>
        <w:tabs>
          <w:tab w:val="left" w:pos="0"/>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недостаточно разветвленная сеть финансовых институтов;</w:t>
      </w:r>
    </w:p>
    <w:p w:rsidR="004616EA" w:rsidRPr="008255E5" w:rsidRDefault="004616EA" w:rsidP="008255E5">
      <w:pPr>
        <w:pStyle w:val="a7"/>
        <w:numPr>
          <w:ilvl w:val="0"/>
          <w:numId w:val="76"/>
        </w:numPr>
        <w:tabs>
          <w:tab w:val="left" w:pos="0"/>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неразвитость инженерной инфраструктуры;</w:t>
      </w:r>
    </w:p>
    <w:p w:rsidR="004616EA" w:rsidRPr="008255E5" w:rsidRDefault="004616EA" w:rsidP="008255E5">
      <w:pPr>
        <w:pStyle w:val="a7"/>
        <w:numPr>
          <w:ilvl w:val="0"/>
          <w:numId w:val="76"/>
        </w:numPr>
        <w:tabs>
          <w:tab w:val="left" w:pos="0"/>
          <w:tab w:val="left" w:pos="709"/>
          <w:tab w:val="left" w:pos="1418"/>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низкий уровень развития малого и среднего предпринимательства;</w:t>
      </w:r>
    </w:p>
    <w:p w:rsidR="004616EA" w:rsidRPr="008255E5" w:rsidRDefault="004616EA" w:rsidP="008255E5">
      <w:pPr>
        <w:pStyle w:val="a7"/>
        <w:numPr>
          <w:ilvl w:val="0"/>
          <w:numId w:val="76"/>
        </w:numPr>
        <w:tabs>
          <w:tab w:val="left" w:pos="0"/>
          <w:tab w:val="left" w:pos="709"/>
          <w:tab w:val="left" w:pos="1418"/>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недостаточный уровень инвестиций в основные фонды несырьевых секторов экономики;</w:t>
      </w:r>
    </w:p>
    <w:p w:rsidR="004616EA" w:rsidRPr="008255E5" w:rsidRDefault="004616EA" w:rsidP="008255E5">
      <w:pPr>
        <w:widowControl w:val="0"/>
        <w:numPr>
          <w:ilvl w:val="0"/>
          <w:numId w:val="76"/>
        </w:numPr>
        <w:tabs>
          <w:tab w:val="left" w:pos="0"/>
        </w:tabs>
        <w:spacing w:after="0" w:line="240" w:lineRule="auto"/>
        <w:ind w:left="0" w:firstLine="709"/>
        <w:jc w:val="both"/>
        <w:rPr>
          <w:rFonts w:ascii="Times New Roman" w:hAnsi="Times New Roman"/>
          <w:sz w:val="26"/>
          <w:szCs w:val="26"/>
        </w:rPr>
      </w:pPr>
      <w:r w:rsidRPr="008255E5">
        <w:rPr>
          <w:rFonts w:ascii="Times New Roman" w:hAnsi="Times New Roman"/>
          <w:sz w:val="26"/>
          <w:szCs w:val="26"/>
        </w:rPr>
        <w:t>физический и моральный износ основного оборудования на предприятиях;</w:t>
      </w:r>
    </w:p>
    <w:p w:rsidR="004616EA" w:rsidRPr="008255E5" w:rsidRDefault="004616EA" w:rsidP="008255E5">
      <w:pPr>
        <w:widowControl w:val="0"/>
        <w:numPr>
          <w:ilvl w:val="0"/>
          <w:numId w:val="76"/>
        </w:numPr>
        <w:tabs>
          <w:tab w:val="left" w:pos="0"/>
        </w:tabs>
        <w:spacing w:after="0" w:line="240" w:lineRule="auto"/>
        <w:ind w:left="0" w:firstLine="709"/>
        <w:jc w:val="both"/>
        <w:rPr>
          <w:rFonts w:ascii="Times New Roman" w:hAnsi="Times New Roman"/>
          <w:sz w:val="26"/>
          <w:szCs w:val="26"/>
        </w:rPr>
      </w:pPr>
      <w:r w:rsidRPr="008255E5">
        <w:rPr>
          <w:rFonts w:ascii="Times New Roman" w:hAnsi="Times New Roman"/>
          <w:sz w:val="26"/>
          <w:szCs w:val="26"/>
        </w:rPr>
        <w:t>низкая доля обрабатывающих производств в структуре промышленного производства;</w:t>
      </w:r>
    </w:p>
    <w:p w:rsidR="004616EA" w:rsidRPr="008255E5" w:rsidRDefault="004616EA" w:rsidP="008255E5">
      <w:pPr>
        <w:pStyle w:val="a7"/>
        <w:numPr>
          <w:ilvl w:val="0"/>
          <w:numId w:val="76"/>
        </w:numPr>
        <w:tabs>
          <w:tab w:val="left" w:pos="0"/>
          <w:tab w:val="left" w:pos="709"/>
          <w:tab w:val="left" w:pos="1418"/>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высокий уровень техногенного воздействия на окружающую среду.</w:t>
      </w:r>
    </w:p>
    <w:p w:rsidR="004616EA" w:rsidRPr="008255E5" w:rsidRDefault="004616EA" w:rsidP="008255E5">
      <w:pPr>
        <w:pStyle w:val="210"/>
        <w:spacing w:line="240" w:lineRule="auto"/>
        <w:jc w:val="both"/>
        <w:rPr>
          <w:b/>
          <w:i w:val="0"/>
          <w:color w:val="auto"/>
          <w:sz w:val="26"/>
          <w:szCs w:val="26"/>
        </w:rPr>
      </w:pPr>
      <w:r w:rsidRPr="008255E5">
        <w:rPr>
          <w:b/>
          <w:i w:val="0"/>
          <w:color w:val="auto"/>
          <w:sz w:val="26"/>
          <w:szCs w:val="26"/>
        </w:rPr>
        <w:t xml:space="preserve">Возможности </w:t>
      </w:r>
    </w:p>
    <w:p w:rsidR="004616EA" w:rsidRPr="008255E5" w:rsidRDefault="004616EA" w:rsidP="008255E5">
      <w:pPr>
        <w:pStyle w:val="210"/>
        <w:numPr>
          <w:ilvl w:val="0"/>
          <w:numId w:val="79"/>
        </w:numPr>
        <w:tabs>
          <w:tab w:val="left" w:pos="1134"/>
          <w:tab w:val="left" w:pos="9356"/>
        </w:tabs>
        <w:spacing w:line="240" w:lineRule="auto"/>
        <w:ind w:left="0" w:firstLine="709"/>
        <w:jc w:val="both"/>
        <w:rPr>
          <w:i w:val="0"/>
          <w:color w:val="auto"/>
          <w:sz w:val="26"/>
          <w:szCs w:val="26"/>
        </w:rPr>
      </w:pPr>
      <w:r w:rsidRPr="008255E5">
        <w:rPr>
          <w:i w:val="0"/>
          <w:color w:val="auto"/>
          <w:sz w:val="26"/>
          <w:szCs w:val="26"/>
        </w:rPr>
        <w:t>реализация региональных механизмов поддержки инвестиционных проектов;</w:t>
      </w:r>
    </w:p>
    <w:p w:rsidR="004616EA" w:rsidRPr="008255E5" w:rsidRDefault="004616EA" w:rsidP="008255E5">
      <w:pPr>
        <w:pStyle w:val="210"/>
        <w:numPr>
          <w:ilvl w:val="0"/>
          <w:numId w:val="79"/>
        </w:numPr>
        <w:tabs>
          <w:tab w:val="left" w:pos="1134"/>
          <w:tab w:val="left" w:pos="9356"/>
        </w:tabs>
        <w:spacing w:line="240" w:lineRule="auto"/>
        <w:ind w:left="0" w:firstLine="709"/>
        <w:jc w:val="both"/>
        <w:rPr>
          <w:i w:val="0"/>
          <w:color w:val="auto"/>
          <w:sz w:val="26"/>
          <w:szCs w:val="26"/>
        </w:rPr>
      </w:pPr>
      <w:r w:rsidRPr="008255E5">
        <w:rPr>
          <w:i w:val="0"/>
          <w:color w:val="auto"/>
          <w:sz w:val="26"/>
          <w:szCs w:val="26"/>
        </w:rPr>
        <w:t>развитие банковского сектора, обеспечение доступности кредитных ресурсов;</w:t>
      </w:r>
    </w:p>
    <w:p w:rsidR="004616EA" w:rsidRPr="008255E5" w:rsidRDefault="004616EA" w:rsidP="008255E5">
      <w:pPr>
        <w:pStyle w:val="210"/>
        <w:numPr>
          <w:ilvl w:val="0"/>
          <w:numId w:val="79"/>
        </w:numPr>
        <w:tabs>
          <w:tab w:val="left" w:pos="1134"/>
          <w:tab w:val="left" w:pos="9356"/>
        </w:tabs>
        <w:spacing w:line="240" w:lineRule="auto"/>
        <w:ind w:left="0" w:firstLine="709"/>
        <w:jc w:val="both"/>
        <w:rPr>
          <w:i w:val="0"/>
          <w:color w:val="auto"/>
          <w:sz w:val="26"/>
          <w:szCs w:val="26"/>
        </w:rPr>
      </w:pPr>
      <w:r w:rsidRPr="008255E5">
        <w:rPr>
          <w:i w:val="0"/>
          <w:color w:val="auto"/>
          <w:sz w:val="26"/>
          <w:szCs w:val="26"/>
        </w:rPr>
        <w:t>развитие институтов государственно-частного партнерства;</w:t>
      </w:r>
    </w:p>
    <w:p w:rsidR="004616EA" w:rsidRPr="008255E5" w:rsidRDefault="004616EA" w:rsidP="008255E5">
      <w:pPr>
        <w:pStyle w:val="210"/>
        <w:numPr>
          <w:ilvl w:val="0"/>
          <w:numId w:val="79"/>
        </w:numPr>
        <w:tabs>
          <w:tab w:val="left" w:pos="1134"/>
          <w:tab w:val="left" w:pos="9356"/>
        </w:tabs>
        <w:spacing w:line="240" w:lineRule="auto"/>
        <w:ind w:left="0" w:firstLine="709"/>
        <w:jc w:val="both"/>
        <w:rPr>
          <w:i w:val="0"/>
          <w:color w:val="auto"/>
          <w:sz w:val="26"/>
          <w:szCs w:val="26"/>
        </w:rPr>
      </w:pPr>
      <w:r w:rsidRPr="008255E5">
        <w:rPr>
          <w:i w:val="0"/>
          <w:color w:val="auto"/>
          <w:sz w:val="26"/>
          <w:szCs w:val="26"/>
        </w:rPr>
        <w:t>развитие жилищного строительства;</w:t>
      </w:r>
    </w:p>
    <w:p w:rsidR="004616EA" w:rsidRPr="008255E5" w:rsidRDefault="004616EA" w:rsidP="008255E5">
      <w:pPr>
        <w:pStyle w:val="210"/>
        <w:numPr>
          <w:ilvl w:val="0"/>
          <w:numId w:val="79"/>
        </w:numPr>
        <w:tabs>
          <w:tab w:val="left" w:pos="1134"/>
        </w:tabs>
        <w:spacing w:line="240" w:lineRule="auto"/>
        <w:ind w:left="0" w:firstLine="709"/>
        <w:jc w:val="both"/>
        <w:rPr>
          <w:i w:val="0"/>
          <w:color w:val="auto"/>
          <w:sz w:val="26"/>
          <w:szCs w:val="26"/>
        </w:rPr>
      </w:pPr>
      <w:r w:rsidRPr="008255E5">
        <w:rPr>
          <w:i w:val="0"/>
          <w:color w:val="auto"/>
          <w:sz w:val="26"/>
          <w:szCs w:val="26"/>
        </w:rPr>
        <w:t>создание инвестиционных площадок для развития различных видов деятельности на территории городского округа;</w:t>
      </w:r>
    </w:p>
    <w:p w:rsidR="004616EA" w:rsidRPr="008255E5" w:rsidRDefault="004616EA" w:rsidP="008255E5">
      <w:pPr>
        <w:pStyle w:val="210"/>
        <w:numPr>
          <w:ilvl w:val="0"/>
          <w:numId w:val="79"/>
        </w:numPr>
        <w:tabs>
          <w:tab w:val="left" w:pos="1134"/>
          <w:tab w:val="left" w:pos="9356"/>
        </w:tabs>
        <w:spacing w:line="240" w:lineRule="auto"/>
        <w:ind w:left="0" w:firstLine="709"/>
        <w:jc w:val="both"/>
        <w:rPr>
          <w:i w:val="0"/>
          <w:color w:val="auto"/>
          <w:sz w:val="26"/>
          <w:szCs w:val="26"/>
        </w:rPr>
      </w:pPr>
      <w:r w:rsidRPr="008255E5">
        <w:rPr>
          <w:i w:val="0"/>
          <w:color w:val="auto"/>
          <w:sz w:val="26"/>
          <w:szCs w:val="26"/>
        </w:rPr>
        <w:t xml:space="preserve">развитие малого и среднего предпринимательства; </w:t>
      </w:r>
    </w:p>
    <w:p w:rsidR="004616EA" w:rsidRPr="008255E5" w:rsidRDefault="004616EA" w:rsidP="008255E5">
      <w:pPr>
        <w:pStyle w:val="210"/>
        <w:numPr>
          <w:ilvl w:val="0"/>
          <w:numId w:val="79"/>
        </w:numPr>
        <w:tabs>
          <w:tab w:val="left" w:pos="1134"/>
          <w:tab w:val="left" w:pos="9356"/>
        </w:tabs>
        <w:spacing w:line="240" w:lineRule="auto"/>
        <w:ind w:left="0" w:firstLine="709"/>
        <w:jc w:val="both"/>
        <w:rPr>
          <w:i w:val="0"/>
          <w:color w:val="auto"/>
          <w:sz w:val="26"/>
          <w:szCs w:val="26"/>
        </w:rPr>
      </w:pPr>
      <w:r w:rsidRPr="008255E5">
        <w:rPr>
          <w:i w:val="0"/>
          <w:color w:val="auto"/>
          <w:sz w:val="26"/>
          <w:szCs w:val="26"/>
        </w:rPr>
        <w:t>развитие производств осуществляющих глубокую переработку нефти и газа (в том числе утилизация попутного газа на нефтяных месторождениях);</w:t>
      </w:r>
    </w:p>
    <w:p w:rsidR="004616EA" w:rsidRPr="008255E5" w:rsidRDefault="004616EA" w:rsidP="008255E5">
      <w:pPr>
        <w:pStyle w:val="210"/>
        <w:numPr>
          <w:ilvl w:val="0"/>
          <w:numId w:val="79"/>
        </w:numPr>
        <w:tabs>
          <w:tab w:val="left" w:pos="1134"/>
        </w:tabs>
        <w:spacing w:line="240" w:lineRule="auto"/>
        <w:ind w:left="0" w:firstLine="709"/>
        <w:jc w:val="both"/>
        <w:rPr>
          <w:i w:val="0"/>
          <w:color w:val="auto"/>
          <w:sz w:val="26"/>
          <w:szCs w:val="26"/>
        </w:rPr>
      </w:pPr>
      <w:r w:rsidRPr="008255E5">
        <w:rPr>
          <w:i w:val="0"/>
          <w:color w:val="auto"/>
          <w:sz w:val="26"/>
          <w:szCs w:val="26"/>
        </w:rPr>
        <w:t>создание новых и модернизация существующих базовых объектов инженерной инфраструктуры, с учетом дальнейших перспектив развития городского округа.</w:t>
      </w:r>
    </w:p>
    <w:p w:rsidR="004616EA" w:rsidRPr="008255E5" w:rsidRDefault="004616EA" w:rsidP="008255E5">
      <w:pPr>
        <w:pStyle w:val="a7"/>
        <w:spacing w:after="0" w:line="240" w:lineRule="auto"/>
        <w:ind w:left="0" w:firstLine="709"/>
        <w:contextualSpacing w:val="0"/>
        <w:jc w:val="both"/>
        <w:rPr>
          <w:rFonts w:ascii="Times New Roman" w:hAnsi="Times New Roman"/>
          <w:b/>
          <w:sz w:val="26"/>
          <w:szCs w:val="26"/>
        </w:rPr>
      </w:pPr>
      <w:r w:rsidRPr="008255E5">
        <w:rPr>
          <w:rFonts w:ascii="Times New Roman" w:hAnsi="Times New Roman"/>
          <w:b/>
          <w:sz w:val="26"/>
          <w:szCs w:val="26"/>
        </w:rPr>
        <w:t>Угрозы</w:t>
      </w:r>
    </w:p>
    <w:p w:rsidR="004616EA" w:rsidRPr="008255E5" w:rsidRDefault="004616EA" w:rsidP="008255E5">
      <w:pPr>
        <w:pStyle w:val="a7"/>
        <w:numPr>
          <w:ilvl w:val="0"/>
          <w:numId w:val="75"/>
        </w:numPr>
        <w:tabs>
          <w:tab w:val="left"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низкая инвестиционная привлекательность несырьевых секторов экономики;</w:t>
      </w:r>
    </w:p>
    <w:p w:rsidR="004616EA" w:rsidRPr="008255E5" w:rsidRDefault="004616EA" w:rsidP="008255E5">
      <w:pPr>
        <w:pStyle w:val="a7"/>
        <w:numPr>
          <w:ilvl w:val="0"/>
          <w:numId w:val="75"/>
        </w:numPr>
        <w:tabs>
          <w:tab w:val="left"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ухудшение экологического состояния, загрязнение отходами производства территории городского округа;</w:t>
      </w:r>
    </w:p>
    <w:p w:rsidR="004616EA" w:rsidRPr="008255E5" w:rsidRDefault="004616EA" w:rsidP="008255E5">
      <w:pPr>
        <w:pStyle w:val="a7"/>
        <w:numPr>
          <w:ilvl w:val="0"/>
          <w:numId w:val="75"/>
        </w:numPr>
        <w:tabs>
          <w:tab w:val="left"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значительная степень воздействия колебаний конъюнктуры мирового рынка на состояние нефтегазового сектора;</w:t>
      </w:r>
    </w:p>
    <w:p w:rsidR="004616EA" w:rsidRPr="008255E5" w:rsidRDefault="004616EA" w:rsidP="008255E5">
      <w:pPr>
        <w:pStyle w:val="a7"/>
        <w:numPr>
          <w:ilvl w:val="0"/>
          <w:numId w:val="75"/>
        </w:numPr>
        <w:tabs>
          <w:tab w:val="left"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уменьшение покупательной способности населения;</w:t>
      </w:r>
    </w:p>
    <w:p w:rsidR="004616EA" w:rsidRPr="008255E5" w:rsidRDefault="004616EA" w:rsidP="008255E5">
      <w:pPr>
        <w:pStyle w:val="a7"/>
        <w:numPr>
          <w:ilvl w:val="0"/>
          <w:numId w:val="75"/>
        </w:numPr>
        <w:tabs>
          <w:tab w:val="left"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последствия мирового финансового кризиса, высокие процентные ставки по кредитам и, как следствие, недоступность финансовых ресурсов для представителей малого и среднего бизнеса;</w:t>
      </w:r>
    </w:p>
    <w:p w:rsidR="004616EA" w:rsidRPr="008255E5" w:rsidRDefault="004616EA" w:rsidP="008255E5">
      <w:pPr>
        <w:pStyle w:val="a7"/>
        <w:numPr>
          <w:ilvl w:val="0"/>
          <w:numId w:val="75"/>
        </w:numPr>
        <w:tabs>
          <w:tab w:val="left"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снижение объемов инвестиций в экономику городского округа.</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Привлечение инвестиций в экономику городского округа и их освоение является важным условием поступательного развития городского округа. Администрацией города Когалыма проводится комплекс мероприятий, направленных на создание благоприятных условий для инвестиционной деятельности. Ведется работа по обеспечению доступа инвесторов к имущественным ресурсам и инженерной инфраструктуре.</w:t>
      </w:r>
    </w:p>
    <w:p w:rsidR="004616EA" w:rsidRPr="008255E5" w:rsidRDefault="004616EA" w:rsidP="008255E5">
      <w:pPr>
        <w:shd w:val="clear" w:color="auto" w:fill="FFFFFF"/>
        <w:tabs>
          <w:tab w:val="left" w:pos="1190"/>
        </w:tabs>
        <w:spacing w:after="0" w:line="240" w:lineRule="auto"/>
        <w:ind w:firstLine="709"/>
        <w:jc w:val="both"/>
        <w:rPr>
          <w:rFonts w:ascii="Times New Roman" w:hAnsi="Times New Roman"/>
          <w:sz w:val="26"/>
          <w:szCs w:val="26"/>
        </w:rPr>
      </w:pPr>
      <w:r w:rsidRPr="008255E5">
        <w:rPr>
          <w:rFonts w:ascii="Times New Roman" w:hAnsi="Times New Roman"/>
          <w:sz w:val="26"/>
          <w:szCs w:val="26"/>
        </w:rPr>
        <w:t>Структура инвестиций по видам экономической деятельности в 2013 году представлена ниже (</w:t>
      </w:r>
      <w:r w:rsidR="001977F4">
        <w:fldChar w:fldCharType="begin"/>
      </w:r>
      <w:r w:rsidR="001977F4">
        <w:instrText xml:space="preserve"> REF _Ref397079140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45</w:t>
      </w:r>
      <w:r w:rsidR="001977F4">
        <w:fldChar w:fldCharType="end"/>
      </w:r>
      <w:r w:rsidRPr="008255E5">
        <w:rPr>
          <w:rFonts w:ascii="Times New Roman" w:hAnsi="Times New Roman"/>
          <w:sz w:val="26"/>
          <w:szCs w:val="26"/>
        </w:rPr>
        <w:t>).</w:t>
      </w:r>
    </w:p>
    <w:p w:rsidR="004616EA" w:rsidRPr="00475E67" w:rsidRDefault="00E70A58" w:rsidP="003F6E88">
      <w:pPr>
        <w:keepNext/>
        <w:shd w:val="clear" w:color="auto" w:fill="FFFFFF"/>
        <w:tabs>
          <w:tab w:val="left" w:pos="1190"/>
        </w:tabs>
        <w:spacing w:after="0" w:line="240" w:lineRule="auto"/>
        <w:jc w:val="both"/>
      </w:pPr>
      <w:r w:rsidRPr="00857607">
        <w:rPr>
          <w:rFonts w:ascii="Times New Roman" w:hAnsi="Times New Roman"/>
          <w:noProof/>
          <w:sz w:val="24"/>
          <w:szCs w:val="24"/>
          <w:lang w:eastAsia="ru-RU"/>
        </w:rPr>
        <w:drawing>
          <wp:inline distT="0" distB="0" distL="0" distR="0">
            <wp:extent cx="6103620" cy="2750820"/>
            <wp:effectExtent l="0" t="0" r="0" b="0"/>
            <wp:docPr id="43" name="Диаграмма 6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4616EA" w:rsidRPr="00475E67" w:rsidRDefault="004616EA" w:rsidP="003F6E88">
      <w:pPr>
        <w:pStyle w:val="af1"/>
        <w:jc w:val="center"/>
        <w:rPr>
          <w:rFonts w:ascii="Times New Roman" w:hAnsi="Times New Roman"/>
          <w:b w:val="0"/>
          <w:color w:val="auto"/>
          <w:sz w:val="36"/>
          <w:szCs w:val="24"/>
        </w:rPr>
      </w:pPr>
      <w:bookmarkStart w:id="124" w:name="_Ref397079140"/>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45</w:t>
      </w:r>
      <w:r w:rsidRPr="00475E67">
        <w:rPr>
          <w:rFonts w:ascii="Times New Roman" w:hAnsi="Times New Roman"/>
          <w:b w:val="0"/>
          <w:color w:val="auto"/>
          <w:sz w:val="24"/>
        </w:rPr>
        <w:fldChar w:fldCharType="end"/>
      </w:r>
      <w:bookmarkEnd w:id="124"/>
      <w:r w:rsidRPr="00475E67">
        <w:rPr>
          <w:rFonts w:ascii="Times New Roman" w:hAnsi="Times New Roman"/>
          <w:b w:val="0"/>
          <w:color w:val="auto"/>
          <w:sz w:val="24"/>
        </w:rPr>
        <w:t xml:space="preserve"> - Структура инвестиций по видам экономической деятельности в 2013 году</w:t>
      </w:r>
    </w:p>
    <w:p w:rsidR="004616EA" w:rsidRPr="008255E5" w:rsidRDefault="004616EA" w:rsidP="008255E5">
      <w:pPr>
        <w:widowControl w:val="0"/>
        <w:spacing w:after="0" w:line="240" w:lineRule="auto"/>
        <w:ind w:firstLine="709"/>
        <w:jc w:val="both"/>
        <w:rPr>
          <w:rFonts w:ascii="Times New Roman" w:hAnsi="Times New Roman"/>
          <w:bCs/>
          <w:iCs/>
          <w:sz w:val="26"/>
          <w:szCs w:val="26"/>
          <w:lang w:eastAsia="ar-SA"/>
        </w:rPr>
      </w:pPr>
      <w:r w:rsidRPr="008255E5">
        <w:rPr>
          <w:rFonts w:ascii="Times New Roman" w:hAnsi="Times New Roman"/>
          <w:bCs/>
          <w:iCs/>
          <w:sz w:val="26"/>
          <w:szCs w:val="26"/>
          <w:lang w:eastAsia="ar-SA"/>
        </w:rPr>
        <w:t>Основной приток инвестиций в экономику городского округа обеспечивают следующие сферы экономики: добыча полезных ископаемых (59,9%), финансовая деятельность (17,4%), операции с недвижимым имуществом, аренда и предоставление услуг (5,8%).</w:t>
      </w:r>
    </w:p>
    <w:p w:rsidR="004616EA" w:rsidRPr="008255E5" w:rsidRDefault="004616EA" w:rsidP="008255E5">
      <w:pPr>
        <w:autoSpaceDE w:val="0"/>
        <w:autoSpaceDN w:val="0"/>
        <w:adjustRightInd w:val="0"/>
        <w:spacing w:after="0" w:line="240" w:lineRule="auto"/>
        <w:ind w:firstLine="709"/>
        <w:jc w:val="both"/>
        <w:rPr>
          <w:rFonts w:ascii="Times New Roman" w:hAnsi="Times New Roman"/>
          <w:sz w:val="26"/>
          <w:szCs w:val="26"/>
        </w:rPr>
      </w:pPr>
      <w:r w:rsidRPr="008255E5">
        <w:rPr>
          <w:rFonts w:ascii="Times New Roman" w:hAnsi="Times New Roman"/>
          <w:sz w:val="26"/>
          <w:szCs w:val="26"/>
        </w:rPr>
        <w:t>Рост инвестиций является одним из основных факторов роста экономики, развития предприятий, обновления технической и технологической базы, создания новых рабочих мест. По оценке объём инвестиций в основной капитал в 2014 году составит 14191,2 млн рублей, или 90,7% в сопоставимых ценах к уровню 2013 года.</w:t>
      </w:r>
    </w:p>
    <w:p w:rsidR="004616EA" w:rsidRPr="008255E5" w:rsidRDefault="004616EA" w:rsidP="008255E5">
      <w:pPr>
        <w:spacing w:after="0" w:line="240" w:lineRule="auto"/>
        <w:ind w:firstLine="709"/>
        <w:jc w:val="both"/>
        <w:rPr>
          <w:rFonts w:ascii="Times New Roman" w:hAnsi="Times New Roman"/>
          <w:bCs/>
          <w:iCs/>
          <w:sz w:val="26"/>
          <w:szCs w:val="26"/>
          <w:lang w:eastAsia="ar-SA"/>
        </w:rPr>
      </w:pPr>
      <w:r w:rsidRPr="008255E5">
        <w:rPr>
          <w:rFonts w:ascii="Times New Roman" w:hAnsi="Times New Roman"/>
          <w:bCs/>
          <w:iCs/>
          <w:sz w:val="26"/>
          <w:szCs w:val="26"/>
          <w:lang w:eastAsia="ar-SA"/>
        </w:rPr>
        <w:t>Динамика инвестиций в основной капитал за счет всех источников финансирования в сопоставимых ценах за последние два года, прогнозы изменения объемов капитальных финансовых вложений до 2017 года представлены ниже (</w:t>
      </w:r>
      <w:r w:rsidR="001977F4">
        <w:fldChar w:fldCharType="begin"/>
      </w:r>
      <w:r w:rsidR="001977F4">
        <w:instrText xml:space="preserve"> REF _Ref397079217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46</w:t>
      </w:r>
      <w:r w:rsidR="001977F4">
        <w:fldChar w:fldCharType="end"/>
      </w:r>
      <w:r w:rsidRPr="008255E5">
        <w:rPr>
          <w:rFonts w:ascii="Times New Roman" w:hAnsi="Times New Roman"/>
          <w:bCs/>
          <w:iCs/>
          <w:sz w:val="26"/>
          <w:szCs w:val="26"/>
          <w:lang w:eastAsia="ar-SA"/>
        </w:rPr>
        <w:t xml:space="preserve">). </w:t>
      </w:r>
    </w:p>
    <w:p w:rsidR="004616EA" w:rsidRPr="00475E67" w:rsidRDefault="00E70A58" w:rsidP="00FE2BD9">
      <w:pPr>
        <w:keepNext/>
        <w:widowControl w:val="0"/>
        <w:spacing w:line="240" w:lineRule="auto"/>
        <w:ind w:left="851"/>
        <w:jc w:val="both"/>
      </w:pPr>
      <w:r w:rsidRPr="00857607">
        <w:rPr>
          <w:rFonts w:ascii="Times New Roman" w:hAnsi="Times New Roman"/>
          <w:noProof/>
          <w:sz w:val="20"/>
          <w:szCs w:val="20"/>
          <w:lang w:eastAsia="ru-RU"/>
        </w:rPr>
        <w:drawing>
          <wp:inline distT="0" distB="0" distL="0" distR="0">
            <wp:extent cx="5212080" cy="2743200"/>
            <wp:effectExtent l="0" t="0" r="0" b="0"/>
            <wp:docPr id="44" name="Объект 4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4616EA" w:rsidRPr="00475E67" w:rsidRDefault="004616EA" w:rsidP="00FE2BD9">
      <w:pPr>
        <w:pStyle w:val="af1"/>
        <w:jc w:val="center"/>
        <w:rPr>
          <w:rFonts w:ascii="Times New Roman" w:hAnsi="Times New Roman"/>
          <w:b w:val="0"/>
          <w:bCs/>
          <w:iCs/>
          <w:color w:val="auto"/>
          <w:sz w:val="36"/>
          <w:szCs w:val="24"/>
          <w:lang w:eastAsia="ar-SA"/>
        </w:rPr>
      </w:pPr>
      <w:bookmarkStart w:id="125" w:name="_Ref397079217"/>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46</w:t>
      </w:r>
      <w:r w:rsidRPr="00475E67">
        <w:rPr>
          <w:rFonts w:ascii="Times New Roman" w:hAnsi="Times New Roman"/>
          <w:b w:val="0"/>
          <w:color w:val="auto"/>
          <w:sz w:val="24"/>
        </w:rPr>
        <w:fldChar w:fldCharType="end"/>
      </w:r>
      <w:bookmarkEnd w:id="125"/>
      <w:r w:rsidRPr="00475E67">
        <w:rPr>
          <w:rFonts w:ascii="Times New Roman" w:hAnsi="Times New Roman"/>
          <w:b w:val="0"/>
          <w:color w:val="auto"/>
          <w:sz w:val="24"/>
        </w:rPr>
        <w:t xml:space="preserve"> - Объемы инвестиций в основной капитал</w:t>
      </w:r>
    </w:p>
    <w:p w:rsidR="004616EA" w:rsidRPr="008255E5" w:rsidRDefault="004616EA" w:rsidP="008255E5">
      <w:pPr>
        <w:widowControl w:val="0"/>
        <w:spacing w:after="0" w:line="240" w:lineRule="auto"/>
        <w:ind w:firstLine="709"/>
        <w:jc w:val="both"/>
        <w:rPr>
          <w:rFonts w:ascii="Times New Roman" w:hAnsi="Times New Roman"/>
          <w:bCs/>
          <w:iCs/>
          <w:sz w:val="26"/>
          <w:szCs w:val="26"/>
          <w:lang w:eastAsia="ar-SA"/>
        </w:rPr>
      </w:pPr>
      <w:r w:rsidRPr="008255E5">
        <w:rPr>
          <w:rFonts w:ascii="Times New Roman" w:hAnsi="Times New Roman"/>
          <w:bCs/>
          <w:iCs/>
          <w:sz w:val="26"/>
          <w:szCs w:val="26"/>
          <w:lang w:eastAsia="ar-SA"/>
        </w:rPr>
        <w:t>В перспективе прогнозируется увеличение объемов инвестиций в основной капитал и достижение в 2017 году показателя в размере 17092,9 млн руб. в год. В ближайшие несколько лет существенного увеличения объемов инвестиций в основной капитал не предполагается.</w:t>
      </w:r>
    </w:p>
    <w:p w:rsidR="004616EA" w:rsidRPr="008255E5" w:rsidRDefault="004616EA" w:rsidP="008255E5">
      <w:pPr>
        <w:autoSpaceDE w:val="0"/>
        <w:autoSpaceDN w:val="0"/>
        <w:adjustRightInd w:val="0"/>
        <w:spacing w:after="0" w:line="240" w:lineRule="auto"/>
        <w:ind w:firstLine="709"/>
        <w:jc w:val="both"/>
        <w:rPr>
          <w:rFonts w:ascii="Times New Roman" w:hAnsi="Times New Roman"/>
          <w:sz w:val="26"/>
          <w:szCs w:val="26"/>
        </w:rPr>
      </w:pPr>
      <w:r w:rsidRPr="008255E5">
        <w:rPr>
          <w:rFonts w:ascii="Times New Roman" w:hAnsi="Times New Roman"/>
          <w:sz w:val="26"/>
          <w:szCs w:val="26"/>
        </w:rPr>
        <w:t>Основным источником инвестиций в основной капитал являются собственные средства предприятий, которые составили в 2013 году около 59% в общем объёме капитальных финансовых вложений. В дальнейшем предполагается увеличение удельного веса инвестиций до 70% за счёт собственных средств.</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Бюджетные средства в общем объеме привлеченных средств в 2013 году составили 13,8%, основные направления инвестирования - развитие инфраструктуры в образовании, культуре, молодёжной политике, физической культуре и спорте, модернизация и реконструкция жилищно-коммунального хозяйства и т.д.</w:t>
      </w:r>
    </w:p>
    <w:p w:rsidR="004616EA" w:rsidRPr="008255E5" w:rsidRDefault="004616EA" w:rsidP="008255E5">
      <w:pPr>
        <w:autoSpaceDE w:val="0"/>
        <w:autoSpaceDN w:val="0"/>
        <w:adjustRightInd w:val="0"/>
        <w:spacing w:after="0" w:line="240" w:lineRule="auto"/>
        <w:ind w:firstLine="709"/>
        <w:jc w:val="both"/>
        <w:rPr>
          <w:rFonts w:ascii="Times New Roman" w:hAnsi="Times New Roman"/>
          <w:sz w:val="26"/>
          <w:szCs w:val="26"/>
        </w:rPr>
      </w:pPr>
      <w:r w:rsidRPr="008255E5">
        <w:rPr>
          <w:rFonts w:ascii="Times New Roman" w:hAnsi="Times New Roman"/>
          <w:sz w:val="26"/>
          <w:szCs w:val="26"/>
        </w:rPr>
        <w:t xml:space="preserve"> Структура инвестиций в основной капитал по источникам финансирования в 2013 году представлена на </w:t>
      </w:r>
      <w:r w:rsidR="001977F4">
        <w:fldChar w:fldCharType="begin"/>
      </w:r>
      <w:r w:rsidR="001977F4">
        <w:instrText xml:space="preserve"> REF _Ref397079289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47</w:t>
      </w:r>
      <w:r w:rsidR="001977F4">
        <w:fldChar w:fldCharType="end"/>
      </w:r>
      <w:r w:rsidRPr="008255E5">
        <w:rPr>
          <w:rFonts w:ascii="Times New Roman" w:hAnsi="Times New Roman"/>
          <w:sz w:val="26"/>
          <w:szCs w:val="26"/>
        </w:rPr>
        <w:t>.</w:t>
      </w:r>
    </w:p>
    <w:p w:rsidR="004616EA" w:rsidRPr="00475E67" w:rsidRDefault="00E70A58" w:rsidP="00D421EC">
      <w:pPr>
        <w:keepNext/>
        <w:autoSpaceDE w:val="0"/>
        <w:autoSpaceDN w:val="0"/>
        <w:adjustRightInd w:val="0"/>
        <w:spacing w:line="240" w:lineRule="auto"/>
        <w:ind w:firstLine="567"/>
        <w:jc w:val="both"/>
      </w:pPr>
      <w:r>
        <w:rPr>
          <w:noProof/>
          <w:lang w:eastAsia="ru-RU"/>
        </w:rPr>
        <w:drawing>
          <wp:inline distT="0" distB="0" distL="0" distR="0">
            <wp:extent cx="5317490" cy="3459480"/>
            <wp:effectExtent l="0" t="0" r="0" b="7620"/>
            <wp:docPr id="45"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4616EA" w:rsidRPr="00475E67" w:rsidRDefault="004616EA" w:rsidP="00D421EC">
      <w:pPr>
        <w:pStyle w:val="af1"/>
        <w:jc w:val="center"/>
        <w:rPr>
          <w:rFonts w:ascii="Times New Roman" w:hAnsi="Times New Roman"/>
          <w:b w:val="0"/>
          <w:color w:val="auto"/>
          <w:sz w:val="24"/>
          <w:szCs w:val="24"/>
        </w:rPr>
      </w:pPr>
      <w:bookmarkStart w:id="126" w:name="_Ref397079289"/>
      <w:r w:rsidRPr="00475E67">
        <w:rPr>
          <w:rFonts w:ascii="Times New Roman" w:hAnsi="Times New Roman"/>
          <w:b w:val="0"/>
          <w:color w:val="auto"/>
          <w:sz w:val="24"/>
          <w:szCs w:val="24"/>
        </w:rPr>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sidR="001977F4">
        <w:rPr>
          <w:rFonts w:ascii="Times New Roman" w:hAnsi="Times New Roman"/>
          <w:b w:val="0"/>
          <w:noProof/>
          <w:color w:val="auto"/>
          <w:sz w:val="24"/>
          <w:szCs w:val="24"/>
        </w:rPr>
        <w:t>47</w:t>
      </w:r>
      <w:r w:rsidRPr="00475E67">
        <w:rPr>
          <w:rFonts w:ascii="Times New Roman" w:hAnsi="Times New Roman"/>
          <w:b w:val="0"/>
          <w:color w:val="auto"/>
          <w:sz w:val="24"/>
          <w:szCs w:val="24"/>
        </w:rPr>
        <w:fldChar w:fldCharType="end"/>
      </w:r>
      <w:bookmarkEnd w:id="126"/>
      <w:r w:rsidRPr="00475E67">
        <w:rPr>
          <w:rFonts w:ascii="Times New Roman" w:hAnsi="Times New Roman"/>
          <w:b w:val="0"/>
          <w:color w:val="auto"/>
          <w:sz w:val="24"/>
          <w:szCs w:val="24"/>
        </w:rPr>
        <w:t xml:space="preserve"> - Структура инвестиций в основной капитал за 2013 год в городе Когалыме, млн руб.</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Анализ структуры инвестиций по источникам финансирования позволяет сделать следующие выводы (</w:t>
      </w:r>
      <w:r w:rsidR="001977F4">
        <w:fldChar w:fldCharType="begin"/>
      </w:r>
      <w:r w:rsidR="001977F4">
        <w:instrText xml:space="preserve"> REF _Ref397079347 \h  \* MERGEFORMAT </w:instrText>
      </w:r>
      <w:r w:rsidR="001977F4">
        <w:fldChar w:fldCharType="separate"/>
      </w:r>
      <w:r w:rsidR="001977F4" w:rsidRPr="008255E5">
        <w:rPr>
          <w:rFonts w:ascii="Times New Roman" w:hAnsi="Times New Roman"/>
          <w:sz w:val="26"/>
          <w:szCs w:val="26"/>
        </w:rPr>
        <w:t xml:space="preserve">Таблица </w:t>
      </w:r>
      <w:r w:rsidR="001977F4" w:rsidRPr="001977F4">
        <w:rPr>
          <w:rFonts w:ascii="Times New Roman" w:hAnsi="Times New Roman"/>
          <w:sz w:val="26"/>
          <w:szCs w:val="26"/>
        </w:rPr>
        <w:t>8</w:t>
      </w:r>
      <w:r w:rsidR="001977F4">
        <w:fldChar w:fldCharType="end"/>
      </w:r>
      <w:r w:rsidRPr="008255E5">
        <w:rPr>
          <w:rFonts w:ascii="Times New Roman" w:hAnsi="Times New Roman"/>
          <w:sz w:val="26"/>
          <w:szCs w:val="26"/>
        </w:rPr>
        <w:t>):</w:t>
      </w:r>
    </w:p>
    <w:p w:rsidR="004616EA" w:rsidRPr="008255E5" w:rsidRDefault="004616EA" w:rsidP="008255E5">
      <w:pPr>
        <w:pStyle w:val="a7"/>
        <w:numPr>
          <w:ilvl w:val="0"/>
          <w:numId w:val="81"/>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в ближайшие годы прогнозируется увеличение доли собственных средств предприятий в структуре инвестиций в основной капитал (с 49,79% до 57,03%);</w:t>
      </w:r>
    </w:p>
    <w:p w:rsidR="004616EA" w:rsidRPr="008255E5" w:rsidRDefault="004616EA" w:rsidP="008255E5">
      <w:pPr>
        <w:pStyle w:val="a7"/>
        <w:numPr>
          <w:ilvl w:val="0"/>
          <w:numId w:val="81"/>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к 2017 значительно сократятся бюджетные инвестиции в основной капитал;</w:t>
      </w:r>
    </w:p>
    <w:p w:rsidR="004616EA" w:rsidRPr="008255E5" w:rsidRDefault="004616EA" w:rsidP="008255E5">
      <w:pPr>
        <w:pStyle w:val="a7"/>
        <w:numPr>
          <w:ilvl w:val="0"/>
          <w:numId w:val="81"/>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в последующие годы снизится доля капитальных финансовых вложений из муниципального бюджета (с 43,33% до 14,24%) и увеличится доля окружного бюджета в общем объеме бюджетных инвестиций (с 51,69% до 85,75%), с 2015 года инвестиции в основной капитал из федерального бюджета не предусматриваются.</w:t>
      </w:r>
    </w:p>
    <w:p w:rsidR="004616EA" w:rsidRPr="008255E5" w:rsidRDefault="004616EA" w:rsidP="008255E5">
      <w:pPr>
        <w:pStyle w:val="af1"/>
        <w:keepNext/>
        <w:spacing w:after="0"/>
        <w:ind w:firstLine="709"/>
        <w:jc w:val="both"/>
        <w:rPr>
          <w:rFonts w:ascii="Times New Roman" w:hAnsi="Times New Roman"/>
          <w:b w:val="0"/>
          <w:color w:val="auto"/>
          <w:sz w:val="26"/>
          <w:szCs w:val="26"/>
        </w:rPr>
      </w:pPr>
      <w:bookmarkStart w:id="127" w:name="_Ref397079347"/>
      <w:r w:rsidRPr="008255E5">
        <w:rPr>
          <w:rFonts w:ascii="Times New Roman" w:hAnsi="Times New Roman"/>
          <w:b w:val="0"/>
          <w:color w:val="auto"/>
          <w:sz w:val="26"/>
          <w:szCs w:val="26"/>
        </w:rPr>
        <w:t xml:space="preserve">Таблица </w:t>
      </w:r>
      <w:r w:rsidRPr="008255E5">
        <w:rPr>
          <w:rFonts w:ascii="Times New Roman" w:hAnsi="Times New Roman"/>
          <w:b w:val="0"/>
          <w:color w:val="auto"/>
          <w:sz w:val="26"/>
          <w:szCs w:val="26"/>
        </w:rPr>
        <w:fldChar w:fldCharType="begin"/>
      </w:r>
      <w:r w:rsidRPr="008255E5">
        <w:rPr>
          <w:rFonts w:ascii="Times New Roman" w:hAnsi="Times New Roman"/>
          <w:b w:val="0"/>
          <w:color w:val="auto"/>
          <w:sz w:val="26"/>
          <w:szCs w:val="26"/>
        </w:rPr>
        <w:instrText xml:space="preserve"> SEQ Таблица \* ARABIC </w:instrText>
      </w:r>
      <w:r w:rsidRPr="008255E5">
        <w:rPr>
          <w:rFonts w:ascii="Times New Roman" w:hAnsi="Times New Roman"/>
          <w:b w:val="0"/>
          <w:color w:val="auto"/>
          <w:sz w:val="26"/>
          <w:szCs w:val="26"/>
        </w:rPr>
        <w:fldChar w:fldCharType="separate"/>
      </w:r>
      <w:r w:rsidR="001977F4">
        <w:rPr>
          <w:rFonts w:ascii="Times New Roman" w:hAnsi="Times New Roman"/>
          <w:b w:val="0"/>
          <w:noProof/>
          <w:color w:val="auto"/>
          <w:sz w:val="26"/>
          <w:szCs w:val="26"/>
        </w:rPr>
        <w:t>8</w:t>
      </w:r>
      <w:r w:rsidRPr="008255E5">
        <w:rPr>
          <w:rFonts w:ascii="Times New Roman" w:hAnsi="Times New Roman"/>
          <w:b w:val="0"/>
          <w:color w:val="auto"/>
          <w:sz w:val="26"/>
          <w:szCs w:val="26"/>
        </w:rPr>
        <w:fldChar w:fldCharType="end"/>
      </w:r>
      <w:bookmarkEnd w:id="127"/>
      <w:r w:rsidRPr="008255E5">
        <w:rPr>
          <w:rFonts w:ascii="Times New Roman" w:hAnsi="Times New Roman"/>
          <w:b w:val="0"/>
          <w:color w:val="auto"/>
          <w:sz w:val="26"/>
          <w:szCs w:val="26"/>
        </w:rPr>
        <w:t xml:space="preserve"> - Структура инвестиций в основной капитал по источникам финансирования в городе Когалыме за 2012-2017 годы</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19"/>
        <w:gridCol w:w="992"/>
        <w:gridCol w:w="1134"/>
        <w:gridCol w:w="992"/>
        <w:gridCol w:w="1134"/>
        <w:gridCol w:w="993"/>
        <w:gridCol w:w="992"/>
      </w:tblGrid>
      <w:tr w:rsidR="004616EA" w:rsidRPr="00475E67" w:rsidTr="0084791B">
        <w:tc>
          <w:tcPr>
            <w:tcW w:w="3119" w:type="dxa"/>
          </w:tcPr>
          <w:p w:rsidR="004616EA" w:rsidRPr="00475E67" w:rsidRDefault="004616EA" w:rsidP="0084791B">
            <w:pPr>
              <w:spacing w:after="0" w:line="240" w:lineRule="auto"/>
              <w:jc w:val="center"/>
              <w:rPr>
                <w:rFonts w:ascii="Times New Roman" w:hAnsi="Times New Roman"/>
                <w:sz w:val="20"/>
                <w:szCs w:val="20"/>
              </w:rPr>
            </w:pPr>
            <w:r w:rsidRPr="00475E67">
              <w:rPr>
                <w:rFonts w:ascii="Times New Roman" w:hAnsi="Times New Roman"/>
                <w:sz w:val="20"/>
                <w:szCs w:val="20"/>
              </w:rPr>
              <w:t>Источник финансирования</w:t>
            </w:r>
          </w:p>
        </w:tc>
        <w:tc>
          <w:tcPr>
            <w:tcW w:w="992" w:type="dxa"/>
          </w:tcPr>
          <w:p w:rsidR="004616EA" w:rsidRPr="00475E67" w:rsidRDefault="004616EA" w:rsidP="0084791B">
            <w:pPr>
              <w:spacing w:after="0" w:line="240" w:lineRule="auto"/>
              <w:jc w:val="center"/>
              <w:rPr>
                <w:rFonts w:ascii="Times New Roman" w:hAnsi="Times New Roman"/>
                <w:sz w:val="19"/>
                <w:szCs w:val="19"/>
              </w:rPr>
            </w:pPr>
            <w:r w:rsidRPr="00475E67">
              <w:rPr>
                <w:rFonts w:ascii="Times New Roman" w:hAnsi="Times New Roman"/>
                <w:sz w:val="19"/>
                <w:szCs w:val="19"/>
              </w:rPr>
              <w:t>2012</w:t>
            </w:r>
          </w:p>
        </w:tc>
        <w:tc>
          <w:tcPr>
            <w:tcW w:w="1134" w:type="dxa"/>
          </w:tcPr>
          <w:p w:rsidR="004616EA" w:rsidRPr="00475E67" w:rsidRDefault="004616EA" w:rsidP="0084791B">
            <w:pPr>
              <w:spacing w:after="0" w:line="240" w:lineRule="auto"/>
              <w:jc w:val="center"/>
              <w:rPr>
                <w:rFonts w:ascii="Times New Roman" w:hAnsi="Times New Roman"/>
                <w:sz w:val="19"/>
                <w:szCs w:val="19"/>
              </w:rPr>
            </w:pPr>
            <w:r w:rsidRPr="00475E67">
              <w:rPr>
                <w:rFonts w:ascii="Times New Roman" w:hAnsi="Times New Roman"/>
                <w:sz w:val="19"/>
                <w:szCs w:val="19"/>
              </w:rPr>
              <w:t>2013</w:t>
            </w:r>
          </w:p>
        </w:tc>
        <w:tc>
          <w:tcPr>
            <w:tcW w:w="992" w:type="dxa"/>
          </w:tcPr>
          <w:p w:rsidR="004616EA" w:rsidRPr="00475E67" w:rsidRDefault="004616EA" w:rsidP="0084791B">
            <w:pPr>
              <w:spacing w:after="0" w:line="240" w:lineRule="auto"/>
              <w:jc w:val="center"/>
              <w:rPr>
                <w:rFonts w:ascii="Times New Roman" w:hAnsi="Times New Roman"/>
                <w:sz w:val="19"/>
                <w:szCs w:val="19"/>
              </w:rPr>
            </w:pPr>
            <w:r w:rsidRPr="00475E67">
              <w:rPr>
                <w:rFonts w:ascii="Times New Roman" w:hAnsi="Times New Roman"/>
                <w:sz w:val="19"/>
                <w:szCs w:val="19"/>
              </w:rPr>
              <w:t>2014 (оценка)</w:t>
            </w:r>
          </w:p>
        </w:tc>
        <w:tc>
          <w:tcPr>
            <w:tcW w:w="1134" w:type="dxa"/>
          </w:tcPr>
          <w:p w:rsidR="004616EA" w:rsidRPr="00475E67" w:rsidRDefault="004616EA" w:rsidP="0084791B">
            <w:pPr>
              <w:spacing w:after="0" w:line="240" w:lineRule="auto"/>
              <w:jc w:val="center"/>
              <w:rPr>
                <w:rFonts w:ascii="Times New Roman" w:hAnsi="Times New Roman"/>
                <w:sz w:val="19"/>
                <w:szCs w:val="19"/>
              </w:rPr>
            </w:pPr>
            <w:r w:rsidRPr="00475E67">
              <w:rPr>
                <w:rFonts w:ascii="Times New Roman" w:hAnsi="Times New Roman"/>
                <w:sz w:val="19"/>
                <w:szCs w:val="19"/>
              </w:rPr>
              <w:t>2015 (прогноз)</w:t>
            </w:r>
          </w:p>
        </w:tc>
        <w:tc>
          <w:tcPr>
            <w:tcW w:w="993" w:type="dxa"/>
          </w:tcPr>
          <w:p w:rsidR="004616EA" w:rsidRPr="00475E67" w:rsidRDefault="004616EA" w:rsidP="0084791B">
            <w:pPr>
              <w:spacing w:after="0" w:line="240" w:lineRule="auto"/>
              <w:jc w:val="center"/>
              <w:rPr>
                <w:rFonts w:ascii="Times New Roman" w:hAnsi="Times New Roman"/>
                <w:sz w:val="19"/>
                <w:szCs w:val="19"/>
              </w:rPr>
            </w:pPr>
            <w:r w:rsidRPr="00475E67">
              <w:rPr>
                <w:rFonts w:ascii="Times New Roman" w:hAnsi="Times New Roman"/>
                <w:sz w:val="19"/>
                <w:szCs w:val="19"/>
              </w:rPr>
              <w:t>2016</w:t>
            </w:r>
          </w:p>
          <w:p w:rsidR="004616EA" w:rsidRPr="00475E67" w:rsidRDefault="004616EA" w:rsidP="0084791B">
            <w:pPr>
              <w:spacing w:after="0" w:line="240" w:lineRule="auto"/>
              <w:jc w:val="center"/>
              <w:rPr>
                <w:rFonts w:ascii="Times New Roman" w:hAnsi="Times New Roman"/>
                <w:sz w:val="19"/>
                <w:szCs w:val="19"/>
              </w:rPr>
            </w:pPr>
            <w:r w:rsidRPr="00475E67">
              <w:rPr>
                <w:rFonts w:ascii="Times New Roman" w:hAnsi="Times New Roman"/>
                <w:sz w:val="19"/>
                <w:szCs w:val="19"/>
              </w:rPr>
              <w:t>(прогноз)</w:t>
            </w:r>
          </w:p>
        </w:tc>
        <w:tc>
          <w:tcPr>
            <w:tcW w:w="992" w:type="dxa"/>
          </w:tcPr>
          <w:p w:rsidR="004616EA" w:rsidRPr="00475E67" w:rsidRDefault="004616EA" w:rsidP="0084791B">
            <w:pPr>
              <w:spacing w:after="0" w:line="240" w:lineRule="auto"/>
              <w:jc w:val="center"/>
              <w:rPr>
                <w:rFonts w:ascii="Times New Roman" w:hAnsi="Times New Roman"/>
                <w:sz w:val="19"/>
                <w:szCs w:val="19"/>
              </w:rPr>
            </w:pPr>
            <w:r w:rsidRPr="00475E67">
              <w:rPr>
                <w:rFonts w:ascii="Times New Roman" w:hAnsi="Times New Roman"/>
                <w:sz w:val="19"/>
                <w:szCs w:val="19"/>
              </w:rPr>
              <w:t>2017</w:t>
            </w:r>
          </w:p>
          <w:p w:rsidR="004616EA" w:rsidRPr="00475E67" w:rsidRDefault="004616EA" w:rsidP="0084791B">
            <w:pPr>
              <w:spacing w:after="0" w:line="240" w:lineRule="auto"/>
              <w:jc w:val="center"/>
              <w:rPr>
                <w:rFonts w:ascii="Times New Roman" w:hAnsi="Times New Roman"/>
                <w:sz w:val="19"/>
                <w:szCs w:val="19"/>
              </w:rPr>
            </w:pPr>
            <w:r w:rsidRPr="00475E67">
              <w:rPr>
                <w:rFonts w:ascii="Times New Roman" w:hAnsi="Times New Roman"/>
                <w:sz w:val="19"/>
                <w:szCs w:val="19"/>
              </w:rPr>
              <w:t>(прогноз)</w:t>
            </w:r>
          </w:p>
        </w:tc>
      </w:tr>
      <w:tr w:rsidR="004616EA" w:rsidRPr="00475E67" w:rsidTr="0084791B">
        <w:tc>
          <w:tcPr>
            <w:tcW w:w="3119" w:type="dxa"/>
          </w:tcPr>
          <w:p w:rsidR="004616EA" w:rsidRPr="00475E67" w:rsidRDefault="004616EA" w:rsidP="0084791B">
            <w:pPr>
              <w:spacing w:after="0" w:line="240" w:lineRule="auto"/>
              <w:jc w:val="center"/>
              <w:rPr>
                <w:rFonts w:ascii="Times New Roman" w:hAnsi="Times New Roman"/>
                <w:sz w:val="20"/>
                <w:szCs w:val="20"/>
              </w:rPr>
            </w:pPr>
            <w:r w:rsidRPr="00475E67">
              <w:rPr>
                <w:rFonts w:ascii="Times New Roman" w:hAnsi="Times New Roman"/>
                <w:sz w:val="20"/>
                <w:szCs w:val="20"/>
              </w:rPr>
              <w:t>Всего, млн руб.*, в т.ч.</w:t>
            </w:r>
          </w:p>
        </w:tc>
        <w:tc>
          <w:tcPr>
            <w:tcW w:w="992" w:type="dxa"/>
            <w:vAlign w:val="center"/>
          </w:tcPr>
          <w:p w:rsidR="004616EA" w:rsidRPr="00475E67" w:rsidRDefault="004616EA" w:rsidP="0084791B">
            <w:pPr>
              <w:spacing w:after="0" w:line="240" w:lineRule="auto"/>
              <w:jc w:val="center"/>
              <w:rPr>
                <w:rFonts w:ascii="Times New Roman" w:hAnsi="Times New Roman"/>
                <w:sz w:val="19"/>
                <w:szCs w:val="19"/>
              </w:rPr>
            </w:pPr>
            <w:r w:rsidRPr="00475E67">
              <w:rPr>
                <w:rFonts w:ascii="Times New Roman" w:hAnsi="Times New Roman"/>
                <w:sz w:val="19"/>
                <w:szCs w:val="19"/>
              </w:rPr>
              <w:t>17 859,7</w:t>
            </w:r>
          </w:p>
        </w:tc>
        <w:tc>
          <w:tcPr>
            <w:tcW w:w="1134" w:type="dxa"/>
            <w:vAlign w:val="center"/>
          </w:tcPr>
          <w:p w:rsidR="004616EA" w:rsidRPr="00475E67" w:rsidRDefault="004616EA" w:rsidP="0022684A">
            <w:pPr>
              <w:spacing w:after="0" w:line="240" w:lineRule="auto"/>
              <w:jc w:val="center"/>
              <w:rPr>
                <w:rFonts w:ascii="Times New Roman" w:hAnsi="Times New Roman"/>
                <w:sz w:val="19"/>
                <w:szCs w:val="19"/>
              </w:rPr>
            </w:pPr>
            <w:r>
              <w:rPr>
                <w:rFonts w:ascii="Times New Roman" w:hAnsi="Times New Roman"/>
                <w:sz w:val="19"/>
                <w:szCs w:val="19"/>
              </w:rPr>
              <w:t>15 086</w:t>
            </w:r>
            <w:r w:rsidRPr="00475E67">
              <w:rPr>
                <w:rFonts w:ascii="Times New Roman" w:hAnsi="Times New Roman"/>
                <w:sz w:val="19"/>
                <w:szCs w:val="19"/>
              </w:rPr>
              <w:t>,</w:t>
            </w:r>
            <w:r>
              <w:rPr>
                <w:rFonts w:ascii="Times New Roman" w:hAnsi="Times New Roman"/>
                <w:sz w:val="19"/>
                <w:szCs w:val="19"/>
              </w:rPr>
              <w:t>62</w:t>
            </w:r>
          </w:p>
        </w:tc>
        <w:tc>
          <w:tcPr>
            <w:tcW w:w="992" w:type="dxa"/>
            <w:vAlign w:val="center"/>
          </w:tcPr>
          <w:p w:rsidR="004616EA" w:rsidRPr="00475E67" w:rsidRDefault="004616EA" w:rsidP="0022684A">
            <w:pPr>
              <w:spacing w:after="0" w:line="240" w:lineRule="auto"/>
              <w:jc w:val="center"/>
              <w:rPr>
                <w:rFonts w:ascii="Times New Roman" w:hAnsi="Times New Roman"/>
                <w:sz w:val="19"/>
                <w:szCs w:val="19"/>
              </w:rPr>
            </w:pPr>
            <w:r w:rsidRPr="00475E67">
              <w:rPr>
                <w:rFonts w:ascii="Times New Roman" w:hAnsi="Times New Roman"/>
                <w:sz w:val="19"/>
                <w:szCs w:val="19"/>
              </w:rPr>
              <w:t>1</w:t>
            </w:r>
            <w:r>
              <w:rPr>
                <w:rFonts w:ascii="Times New Roman" w:hAnsi="Times New Roman"/>
                <w:sz w:val="19"/>
                <w:szCs w:val="19"/>
              </w:rPr>
              <w:t>4</w:t>
            </w:r>
            <w:r w:rsidRPr="00475E67">
              <w:rPr>
                <w:rFonts w:ascii="Times New Roman" w:hAnsi="Times New Roman"/>
                <w:sz w:val="19"/>
                <w:szCs w:val="19"/>
              </w:rPr>
              <w:t> </w:t>
            </w:r>
            <w:r>
              <w:rPr>
                <w:rFonts w:ascii="Times New Roman" w:hAnsi="Times New Roman"/>
                <w:sz w:val="19"/>
                <w:szCs w:val="19"/>
              </w:rPr>
              <w:t>191</w:t>
            </w:r>
            <w:r w:rsidRPr="00475E67">
              <w:rPr>
                <w:rFonts w:ascii="Times New Roman" w:hAnsi="Times New Roman"/>
                <w:sz w:val="19"/>
                <w:szCs w:val="19"/>
              </w:rPr>
              <w:t>,</w:t>
            </w:r>
            <w:r>
              <w:rPr>
                <w:rFonts w:ascii="Times New Roman" w:hAnsi="Times New Roman"/>
                <w:sz w:val="19"/>
                <w:szCs w:val="19"/>
              </w:rPr>
              <w:t>2</w:t>
            </w:r>
            <w:r w:rsidRPr="00475E67">
              <w:rPr>
                <w:rFonts w:ascii="Times New Roman" w:hAnsi="Times New Roman"/>
                <w:sz w:val="19"/>
                <w:szCs w:val="19"/>
              </w:rPr>
              <w:t>0</w:t>
            </w:r>
          </w:p>
        </w:tc>
        <w:tc>
          <w:tcPr>
            <w:tcW w:w="1134" w:type="dxa"/>
            <w:vAlign w:val="center"/>
          </w:tcPr>
          <w:p w:rsidR="004616EA" w:rsidRPr="00475E67" w:rsidRDefault="004616EA" w:rsidP="0022684A">
            <w:pPr>
              <w:spacing w:after="0" w:line="240" w:lineRule="auto"/>
              <w:jc w:val="center"/>
              <w:rPr>
                <w:rFonts w:ascii="Times New Roman" w:hAnsi="Times New Roman"/>
                <w:sz w:val="19"/>
                <w:szCs w:val="19"/>
              </w:rPr>
            </w:pPr>
            <w:r w:rsidRPr="00475E67">
              <w:rPr>
                <w:rFonts w:ascii="Times New Roman" w:hAnsi="Times New Roman"/>
                <w:sz w:val="19"/>
                <w:szCs w:val="19"/>
              </w:rPr>
              <w:t>1</w:t>
            </w:r>
            <w:r>
              <w:rPr>
                <w:rFonts w:ascii="Times New Roman" w:hAnsi="Times New Roman"/>
                <w:sz w:val="19"/>
                <w:szCs w:val="19"/>
              </w:rPr>
              <w:t>4</w:t>
            </w:r>
            <w:r w:rsidRPr="00475E67">
              <w:rPr>
                <w:rFonts w:ascii="Times New Roman" w:hAnsi="Times New Roman"/>
                <w:sz w:val="19"/>
                <w:szCs w:val="19"/>
              </w:rPr>
              <w:t> </w:t>
            </w:r>
            <w:r>
              <w:rPr>
                <w:rFonts w:ascii="Times New Roman" w:hAnsi="Times New Roman"/>
                <w:sz w:val="19"/>
                <w:szCs w:val="19"/>
              </w:rPr>
              <w:t>990</w:t>
            </w:r>
            <w:r w:rsidRPr="00475E67">
              <w:rPr>
                <w:rFonts w:ascii="Times New Roman" w:hAnsi="Times New Roman"/>
                <w:sz w:val="19"/>
                <w:szCs w:val="19"/>
              </w:rPr>
              <w:t>,</w:t>
            </w:r>
            <w:r>
              <w:rPr>
                <w:rFonts w:ascii="Times New Roman" w:hAnsi="Times New Roman"/>
                <w:sz w:val="19"/>
                <w:szCs w:val="19"/>
              </w:rPr>
              <w:t>6</w:t>
            </w:r>
          </w:p>
        </w:tc>
        <w:tc>
          <w:tcPr>
            <w:tcW w:w="993" w:type="dxa"/>
            <w:vAlign w:val="center"/>
          </w:tcPr>
          <w:p w:rsidR="004616EA" w:rsidRPr="00475E67" w:rsidRDefault="004616EA" w:rsidP="0022684A">
            <w:pPr>
              <w:spacing w:after="0" w:line="240" w:lineRule="auto"/>
              <w:jc w:val="center"/>
              <w:rPr>
                <w:rFonts w:ascii="Times New Roman" w:hAnsi="Times New Roman"/>
                <w:sz w:val="19"/>
                <w:szCs w:val="19"/>
              </w:rPr>
            </w:pPr>
            <w:r w:rsidRPr="00475E67">
              <w:rPr>
                <w:rFonts w:ascii="Times New Roman" w:hAnsi="Times New Roman"/>
                <w:sz w:val="19"/>
                <w:szCs w:val="19"/>
              </w:rPr>
              <w:t>1</w:t>
            </w:r>
            <w:r>
              <w:rPr>
                <w:rFonts w:ascii="Times New Roman" w:hAnsi="Times New Roman"/>
                <w:sz w:val="19"/>
                <w:szCs w:val="19"/>
              </w:rPr>
              <w:t>6</w:t>
            </w:r>
            <w:r w:rsidRPr="00475E67">
              <w:rPr>
                <w:rFonts w:ascii="Times New Roman" w:hAnsi="Times New Roman"/>
                <w:sz w:val="19"/>
                <w:szCs w:val="19"/>
              </w:rPr>
              <w:t> </w:t>
            </w:r>
            <w:r>
              <w:rPr>
                <w:rFonts w:ascii="Times New Roman" w:hAnsi="Times New Roman"/>
                <w:sz w:val="19"/>
                <w:szCs w:val="19"/>
              </w:rPr>
              <w:t>146</w:t>
            </w:r>
            <w:r w:rsidRPr="00475E67">
              <w:rPr>
                <w:rFonts w:ascii="Times New Roman" w:hAnsi="Times New Roman"/>
                <w:sz w:val="19"/>
                <w:szCs w:val="19"/>
              </w:rPr>
              <w:t>,</w:t>
            </w:r>
            <w:r>
              <w:rPr>
                <w:rFonts w:ascii="Times New Roman" w:hAnsi="Times New Roman"/>
                <w:sz w:val="19"/>
                <w:szCs w:val="19"/>
              </w:rPr>
              <w:t>4</w:t>
            </w:r>
          </w:p>
        </w:tc>
        <w:tc>
          <w:tcPr>
            <w:tcW w:w="992" w:type="dxa"/>
            <w:vAlign w:val="center"/>
          </w:tcPr>
          <w:p w:rsidR="004616EA" w:rsidRPr="00475E67" w:rsidRDefault="004616EA" w:rsidP="0022684A">
            <w:pPr>
              <w:spacing w:after="0" w:line="240" w:lineRule="auto"/>
              <w:jc w:val="center"/>
              <w:rPr>
                <w:rFonts w:ascii="Times New Roman" w:hAnsi="Times New Roman"/>
                <w:sz w:val="19"/>
                <w:szCs w:val="19"/>
              </w:rPr>
            </w:pPr>
            <w:r w:rsidRPr="00475E67">
              <w:rPr>
                <w:rFonts w:ascii="Times New Roman" w:hAnsi="Times New Roman"/>
                <w:sz w:val="19"/>
                <w:szCs w:val="19"/>
              </w:rPr>
              <w:t>1</w:t>
            </w:r>
            <w:r>
              <w:rPr>
                <w:rFonts w:ascii="Times New Roman" w:hAnsi="Times New Roman"/>
                <w:sz w:val="19"/>
                <w:szCs w:val="19"/>
              </w:rPr>
              <w:t>7</w:t>
            </w:r>
            <w:r w:rsidRPr="00475E67">
              <w:rPr>
                <w:rFonts w:ascii="Times New Roman" w:hAnsi="Times New Roman"/>
                <w:sz w:val="19"/>
                <w:szCs w:val="19"/>
              </w:rPr>
              <w:t> </w:t>
            </w:r>
            <w:r>
              <w:rPr>
                <w:rFonts w:ascii="Times New Roman" w:hAnsi="Times New Roman"/>
                <w:sz w:val="19"/>
                <w:szCs w:val="19"/>
              </w:rPr>
              <w:t>092</w:t>
            </w:r>
            <w:r w:rsidRPr="00475E67">
              <w:rPr>
                <w:rFonts w:ascii="Times New Roman" w:hAnsi="Times New Roman"/>
                <w:sz w:val="19"/>
                <w:szCs w:val="19"/>
              </w:rPr>
              <w:t>,</w:t>
            </w:r>
            <w:r>
              <w:rPr>
                <w:rFonts w:ascii="Times New Roman" w:hAnsi="Times New Roman"/>
                <w:sz w:val="19"/>
                <w:szCs w:val="19"/>
              </w:rPr>
              <w:t>9</w:t>
            </w:r>
          </w:p>
        </w:tc>
      </w:tr>
      <w:tr w:rsidR="004616EA" w:rsidRPr="00475E67" w:rsidTr="0084791B">
        <w:tc>
          <w:tcPr>
            <w:tcW w:w="3119" w:type="dxa"/>
          </w:tcPr>
          <w:p w:rsidR="004616EA" w:rsidRPr="00475E67" w:rsidRDefault="004616EA" w:rsidP="0084791B">
            <w:pPr>
              <w:spacing w:after="0" w:line="240" w:lineRule="auto"/>
              <w:rPr>
                <w:rFonts w:ascii="Times New Roman" w:hAnsi="Times New Roman"/>
                <w:sz w:val="20"/>
                <w:szCs w:val="20"/>
              </w:rPr>
            </w:pPr>
            <w:r w:rsidRPr="00475E67">
              <w:rPr>
                <w:rFonts w:ascii="Times New Roman" w:hAnsi="Times New Roman"/>
                <w:sz w:val="20"/>
                <w:szCs w:val="20"/>
                <w:lang w:val="en-US"/>
              </w:rPr>
              <w:t>I.</w:t>
            </w:r>
            <w:r w:rsidRPr="00475E67">
              <w:rPr>
                <w:rFonts w:ascii="Times New Roman" w:hAnsi="Times New Roman"/>
                <w:sz w:val="20"/>
                <w:szCs w:val="20"/>
              </w:rPr>
              <w:t xml:space="preserve"> Собственные средства предприятий</w:t>
            </w:r>
          </w:p>
        </w:tc>
        <w:tc>
          <w:tcPr>
            <w:tcW w:w="992" w:type="dxa"/>
            <w:vAlign w:val="center"/>
          </w:tcPr>
          <w:p w:rsidR="004616EA" w:rsidRPr="00475E67" w:rsidRDefault="004616EA" w:rsidP="0084791B">
            <w:pPr>
              <w:spacing w:after="0" w:line="240" w:lineRule="auto"/>
              <w:jc w:val="center"/>
              <w:rPr>
                <w:rFonts w:ascii="Times New Roman" w:hAnsi="Times New Roman"/>
                <w:sz w:val="19"/>
                <w:szCs w:val="19"/>
              </w:rPr>
            </w:pPr>
            <w:r w:rsidRPr="00475E67">
              <w:rPr>
                <w:rFonts w:ascii="Times New Roman" w:hAnsi="Times New Roman"/>
                <w:sz w:val="19"/>
                <w:szCs w:val="19"/>
              </w:rPr>
              <w:t>14 378,03</w:t>
            </w:r>
          </w:p>
        </w:tc>
        <w:tc>
          <w:tcPr>
            <w:tcW w:w="1134" w:type="dxa"/>
            <w:vAlign w:val="center"/>
          </w:tcPr>
          <w:p w:rsidR="004616EA" w:rsidRPr="00475E67" w:rsidRDefault="004616EA" w:rsidP="0022684A">
            <w:pPr>
              <w:spacing w:after="0" w:line="240" w:lineRule="auto"/>
              <w:jc w:val="center"/>
              <w:rPr>
                <w:rFonts w:ascii="Times New Roman" w:hAnsi="Times New Roman"/>
                <w:sz w:val="19"/>
                <w:szCs w:val="19"/>
              </w:rPr>
            </w:pPr>
            <w:r w:rsidRPr="00475E67">
              <w:rPr>
                <w:rFonts w:ascii="Times New Roman" w:hAnsi="Times New Roman"/>
                <w:sz w:val="19"/>
                <w:szCs w:val="19"/>
              </w:rPr>
              <w:t xml:space="preserve">7 </w:t>
            </w:r>
            <w:r>
              <w:rPr>
                <w:rFonts w:ascii="Times New Roman" w:hAnsi="Times New Roman"/>
                <w:sz w:val="19"/>
                <w:szCs w:val="19"/>
              </w:rPr>
              <w:t>512</w:t>
            </w:r>
            <w:r w:rsidRPr="00475E67">
              <w:rPr>
                <w:rFonts w:ascii="Times New Roman" w:hAnsi="Times New Roman"/>
                <w:sz w:val="19"/>
                <w:szCs w:val="19"/>
              </w:rPr>
              <w:t>,2</w:t>
            </w:r>
          </w:p>
        </w:tc>
        <w:tc>
          <w:tcPr>
            <w:tcW w:w="992" w:type="dxa"/>
            <w:vAlign w:val="center"/>
          </w:tcPr>
          <w:p w:rsidR="004616EA" w:rsidRPr="00475E67" w:rsidRDefault="004616EA" w:rsidP="0022684A">
            <w:pPr>
              <w:spacing w:after="0" w:line="240" w:lineRule="auto"/>
              <w:jc w:val="center"/>
              <w:rPr>
                <w:rFonts w:ascii="Times New Roman" w:hAnsi="Times New Roman"/>
                <w:sz w:val="19"/>
                <w:szCs w:val="19"/>
              </w:rPr>
            </w:pPr>
            <w:r>
              <w:rPr>
                <w:rFonts w:ascii="Times New Roman" w:hAnsi="Times New Roman"/>
                <w:sz w:val="19"/>
                <w:szCs w:val="19"/>
              </w:rPr>
              <w:t>7 628</w:t>
            </w:r>
            <w:r w:rsidRPr="00475E67">
              <w:rPr>
                <w:rFonts w:ascii="Times New Roman" w:hAnsi="Times New Roman"/>
                <w:sz w:val="19"/>
                <w:szCs w:val="19"/>
              </w:rPr>
              <w:t>,</w:t>
            </w:r>
            <w:r>
              <w:rPr>
                <w:rFonts w:ascii="Times New Roman" w:hAnsi="Times New Roman"/>
                <w:sz w:val="19"/>
                <w:szCs w:val="19"/>
              </w:rPr>
              <w:t>9</w:t>
            </w:r>
          </w:p>
        </w:tc>
        <w:tc>
          <w:tcPr>
            <w:tcW w:w="1134" w:type="dxa"/>
            <w:vAlign w:val="center"/>
          </w:tcPr>
          <w:p w:rsidR="004616EA" w:rsidRPr="00475E67" w:rsidRDefault="004616EA" w:rsidP="0022684A">
            <w:pPr>
              <w:spacing w:after="0" w:line="240" w:lineRule="auto"/>
              <w:jc w:val="center"/>
              <w:rPr>
                <w:rFonts w:ascii="Times New Roman" w:hAnsi="Times New Roman"/>
                <w:sz w:val="19"/>
                <w:szCs w:val="19"/>
              </w:rPr>
            </w:pPr>
            <w:r>
              <w:rPr>
                <w:rFonts w:ascii="Times New Roman" w:hAnsi="Times New Roman"/>
                <w:sz w:val="19"/>
                <w:szCs w:val="19"/>
              </w:rPr>
              <w:t>8</w:t>
            </w:r>
            <w:r w:rsidRPr="00475E67">
              <w:rPr>
                <w:rFonts w:ascii="Times New Roman" w:hAnsi="Times New Roman"/>
                <w:sz w:val="19"/>
                <w:szCs w:val="19"/>
              </w:rPr>
              <w:t> </w:t>
            </w:r>
            <w:r>
              <w:rPr>
                <w:rFonts w:ascii="Times New Roman" w:hAnsi="Times New Roman"/>
                <w:sz w:val="19"/>
                <w:szCs w:val="19"/>
              </w:rPr>
              <w:t>415</w:t>
            </w:r>
            <w:r w:rsidRPr="00475E67">
              <w:rPr>
                <w:rFonts w:ascii="Times New Roman" w:hAnsi="Times New Roman"/>
                <w:sz w:val="19"/>
                <w:szCs w:val="19"/>
              </w:rPr>
              <w:t>,</w:t>
            </w:r>
            <w:r>
              <w:rPr>
                <w:rFonts w:ascii="Times New Roman" w:hAnsi="Times New Roman"/>
                <w:sz w:val="19"/>
                <w:szCs w:val="19"/>
              </w:rPr>
              <w:t>6</w:t>
            </w:r>
            <w:r w:rsidRPr="00475E67">
              <w:rPr>
                <w:rFonts w:ascii="Times New Roman" w:hAnsi="Times New Roman"/>
                <w:sz w:val="19"/>
                <w:szCs w:val="19"/>
              </w:rPr>
              <w:t>4</w:t>
            </w:r>
          </w:p>
        </w:tc>
        <w:tc>
          <w:tcPr>
            <w:tcW w:w="993" w:type="dxa"/>
            <w:vAlign w:val="center"/>
          </w:tcPr>
          <w:p w:rsidR="004616EA" w:rsidRPr="00475E67" w:rsidRDefault="004616EA" w:rsidP="0022684A">
            <w:pPr>
              <w:spacing w:after="0" w:line="240" w:lineRule="auto"/>
              <w:jc w:val="center"/>
              <w:rPr>
                <w:rFonts w:ascii="Times New Roman" w:hAnsi="Times New Roman"/>
                <w:sz w:val="19"/>
                <w:szCs w:val="19"/>
              </w:rPr>
            </w:pPr>
            <w:r>
              <w:rPr>
                <w:rFonts w:ascii="Times New Roman" w:hAnsi="Times New Roman"/>
                <w:sz w:val="19"/>
                <w:szCs w:val="19"/>
              </w:rPr>
              <w:t>9</w:t>
            </w:r>
            <w:r w:rsidRPr="00475E67">
              <w:rPr>
                <w:rFonts w:ascii="Times New Roman" w:hAnsi="Times New Roman"/>
                <w:sz w:val="19"/>
                <w:szCs w:val="19"/>
              </w:rPr>
              <w:t> </w:t>
            </w:r>
            <w:r>
              <w:rPr>
                <w:rFonts w:ascii="Times New Roman" w:hAnsi="Times New Roman"/>
                <w:sz w:val="19"/>
                <w:szCs w:val="19"/>
              </w:rPr>
              <w:t>285</w:t>
            </w:r>
            <w:r w:rsidRPr="00475E67">
              <w:rPr>
                <w:rFonts w:ascii="Times New Roman" w:hAnsi="Times New Roman"/>
                <w:sz w:val="19"/>
                <w:szCs w:val="19"/>
              </w:rPr>
              <w:t>,</w:t>
            </w:r>
            <w:r>
              <w:rPr>
                <w:rFonts w:ascii="Times New Roman" w:hAnsi="Times New Roman"/>
                <w:sz w:val="19"/>
                <w:szCs w:val="19"/>
              </w:rPr>
              <w:t>42</w:t>
            </w:r>
          </w:p>
        </w:tc>
        <w:tc>
          <w:tcPr>
            <w:tcW w:w="992" w:type="dxa"/>
            <w:vAlign w:val="center"/>
          </w:tcPr>
          <w:p w:rsidR="004616EA" w:rsidRPr="00475E67" w:rsidRDefault="004616EA" w:rsidP="0022684A">
            <w:pPr>
              <w:spacing w:after="0" w:line="240" w:lineRule="auto"/>
              <w:jc w:val="center"/>
              <w:rPr>
                <w:rFonts w:ascii="Times New Roman" w:hAnsi="Times New Roman"/>
                <w:sz w:val="19"/>
                <w:szCs w:val="19"/>
              </w:rPr>
            </w:pPr>
            <w:r>
              <w:rPr>
                <w:rFonts w:ascii="Times New Roman" w:hAnsi="Times New Roman"/>
                <w:sz w:val="19"/>
                <w:szCs w:val="19"/>
              </w:rPr>
              <w:t>9</w:t>
            </w:r>
            <w:r w:rsidRPr="00475E67">
              <w:rPr>
                <w:rFonts w:ascii="Times New Roman" w:hAnsi="Times New Roman"/>
                <w:sz w:val="19"/>
                <w:szCs w:val="19"/>
              </w:rPr>
              <w:t> </w:t>
            </w:r>
            <w:r>
              <w:rPr>
                <w:rFonts w:ascii="Times New Roman" w:hAnsi="Times New Roman"/>
                <w:sz w:val="19"/>
                <w:szCs w:val="19"/>
              </w:rPr>
              <w:t>748,</w:t>
            </w:r>
            <w:r w:rsidRPr="00475E67">
              <w:rPr>
                <w:rFonts w:ascii="Times New Roman" w:hAnsi="Times New Roman"/>
                <w:sz w:val="19"/>
                <w:szCs w:val="19"/>
              </w:rPr>
              <w:t>3</w:t>
            </w:r>
            <w:r>
              <w:rPr>
                <w:rFonts w:ascii="Times New Roman" w:hAnsi="Times New Roman"/>
                <w:sz w:val="19"/>
                <w:szCs w:val="19"/>
              </w:rPr>
              <w:t>1</w:t>
            </w:r>
          </w:p>
        </w:tc>
      </w:tr>
      <w:tr w:rsidR="004616EA" w:rsidRPr="00475E67" w:rsidTr="0084791B">
        <w:tc>
          <w:tcPr>
            <w:tcW w:w="3119" w:type="dxa"/>
          </w:tcPr>
          <w:p w:rsidR="004616EA" w:rsidRPr="00475E67" w:rsidRDefault="004616EA" w:rsidP="0084791B">
            <w:pPr>
              <w:spacing w:after="0" w:line="240" w:lineRule="auto"/>
              <w:jc w:val="right"/>
              <w:rPr>
                <w:rFonts w:ascii="Times New Roman" w:hAnsi="Times New Roman"/>
                <w:sz w:val="20"/>
                <w:szCs w:val="20"/>
              </w:rPr>
            </w:pPr>
            <w:r w:rsidRPr="00475E67">
              <w:rPr>
                <w:rFonts w:ascii="Times New Roman" w:hAnsi="Times New Roman"/>
                <w:sz w:val="20"/>
                <w:szCs w:val="20"/>
              </w:rPr>
              <w:t>доля в общем объеме</w:t>
            </w:r>
          </w:p>
          <w:p w:rsidR="004616EA" w:rsidRPr="00475E67" w:rsidRDefault="004616EA" w:rsidP="0084791B">
            <w:pPr>
              <w:spacing w:after="0" w:line="240" w:lineRule="auto"/>
              <w:jc w:val="right"/>
              <w:rPr>
                <w:rFonts w:ascii="Times New Roman" w:hAnsi="Times New Roman"/>
                <w:sz w:val="20"/>
                <w:szCs w:val="20"/>
              </w:rPr>
            </w:pPr>
            <w:r w:rsidRPr="00475E67">
              <w:rPr>
                <w:rFonts w:ascii="Times New Roman" w:hAnsi="Times New Roman"/>
                <w:sz w:val="20"/>
                <w:szCs w:val="20"/>
              </w:rPr>
              <w:t xml:space="preserve"> инвестиций, %</w:t>
            </w:r>
          </w:p>
        </w:tc>
        <w:tc>
          <w:tcPr>
            <w:tcW w:w="992" w:type="dxa"/>
            <w:vAlign w:val="center"/>
          </w:tcPr>
          <w:p w:rsidR="004616EA" w:rsidRPr="00475E67" w:rsidRDefault="004616EA" w:rsidP="0084791B">
            <w:pPr>
              <w:spacing w:after="0" w:line="240" w:lineRule="auto"/>
              <w:jc w:val="center"/>
              <w:rPr>
                <w:rFonts w:ascii="Times New Roman" w:hAnsi="Times New Roman"/>
                <w:sz w:val="19"/>
                <w:szCs w:val="19"/>
                <w:lang w:val="en-US"/>
              </w:rPr>
            </w:pPr>
            <w:r w:rsidRPr="00475E67">
              <w:rPr>
                <w:rFonts w:ascii="Times New Roman" w:hAnsi="Times New Roman"/>
                <w:sz w:val="19"/>
                <w:szCs w:val="19"/>
              </w:rPr>
              <w:t>80,50</w:t>
            </w:r>
          </w:p>
        </w:tc>
        <w:tc>
          <w:tcPr>
            <w:tcW w:w="1134" w:type="dxa"/>
            <w:vAlign w:val="center"/>
          </w:tcPr>
          <w:p w:rsidR="004616EA" w:rsidRPr="00475E67" w:rsidRDefault="004616EA" w:rsidP="0084791B">
            <w:pPr>
              <w:spacing w:after="0" w:line="240" w:lineRule="auto"/>
              <w:jc w:val="center"/>
              <w:rPr>
                <w:rFonts w:ascii="Times New Roman" w:hAnsi="Times New Roman"/>
                <w:sz w:val="19"/>
                <w:szCs w:val="19"/>
              </w:rPr>
            </w:pPr>
            <w:r>
              <w:rPr>
                <w:rFonts w:ascii="Times New Roman" w:hAnsi="Times New Roman"/>
                <w:sz w:val="19"/>
                <w:szCs w:val="19"/>
              </w:rPr>
              <w:t>49,79</w:t>
            </w:r>
          </w:p>
        </w:tc>
        <w:tc>
          <w:tcPr>
            <w:tcW w:w="992" w:type="dxa"/>
            <w:vAlign w:val="center"/>
          </w:tcPr>
          <w:p w:rsidR="004616EA" w:rsidRPr="00475E67" w:rsidRDefault="004616EA" w:rsidP="00DC7D11">
            <w:pPr>
              <w:spacing w:after="0" w:line="240" w:lineRule="auto"/>
              <w:jc w:val="center"/>
              <w:rPr>
                <w:rFonts w:ascii="Times New Roman" w:hAnsi="Times New Roman"/>
                <w:sz w:val="19"/>
                <w:szCs w:val="19"/>
              </w:rPr>
            </w:pPr>
            <w:r>
              <w:rPr>
                <w:rFonts w:ascii="Times New Roman" w:hAnsi="Times New Roman"/>
                <w:sz w:val="19"/>
                <w:szCs w:val="19"/>
              </w:rPr>
              <w:t>53</w:t>
            </w:r>
            <w:r w:rsidRPr="00475E67">
              <w:rPr>
                <w:rFonts w:ascii="Times New Roman" w:hAnsi="Times New Roman"/>
                <w:sz w:val="19"/>
                <w:szCs w:val="19"/>
              </w:rPr>
              <w:t>,7</w:t>
            </w:r>
            <w:r>
              <w:rPr>
                <w:rFonts w:ascii="Times New Roman" w:hAnsi="Times New Roman"/>
                <w:sz w:val="19"/>
                <w:szCs w:val="19"/>
              </w:rPr>
              <w:t>6</w:t>
            </w:r>
          </w:p>
        </w:tc>
        <w:tc>
          <w:tcPr>
            <w:tcW w:w="1134" w:type="dxa"/>
            <w:vAlign w:val="center"/>
          </w:tcPr>
          <w:p w:rsidR="004616EA" w:rsidRPr="00475E67" w:rsidRDefault="004616EA" w:rsidP="00DC7D11">
            <w:pPr>
              <w:spacing w:after="0" w:line="240" w:lineRule="auto"/>
              <w:jc w:val="center"/>
              <w:rPr>
                <w:rFonts w:ascii="Times New Roman" w:hAnsi="Times New Roman"/>
                <w:sz w:val="19"/>
                <w:szCs w:val="19"/>
              </w:rPr>
            </w:pPr>
            <w:r>
              <w:rPr>
                <w:rFonts w:ascii="Times New Roman" w:hAnsi="Times New Roman"/>
                <w:sz w:val="19"/>
                <w:szCs w:val="19"/>
              </w:rPr>
              <w:t>56</w:t>
            </w:r>
            <w:r w:rsidRPr="00475E67">
              <w:rPr>
                <w:rFonts w:ascii="Times New Roman" w:hAnsi="Times New Roman"/>
                <w:sz w:val="19"/>
                <w:szCs w:val="19"/>
              </w:rPr>
              <w:t>,</w:t>
            </w:r>
            <w:r>
              <w:rPr>
                <w:rFonts w:ascii="Times New Roman" w:hAnsi="Times New Roman"/>
                <w:sz w:val="19"/>
                <w:szCs w:val="19"/>
              </w:rPr>
              <w:t>12</w:t>
            </w:r>
          </w:p>
        </w:tc>
        <w:tc>
          <w:tcPr>
            <w:tcW w:w="993" w:type="dxa"/>
            <w:vAlign w:val="center"/>
          </w:tcPr>
          <w:p w:rsidR="004616EA" w:rsidRPr="00475E67" w:rsidRDefault="004616EA" w:rsidP="00DC7D11">
            <w:pPr>
              <w:spacing w:after="0" w:line="240" w:lineRule="auto"/>
              <w:jc w:val="center"/>
              <w:rPr>
                <w:rFonts w:ascii="Times New Roman" w:hAnsi="Times New Roman"/>
                <w:sz w:val="19"/>
                <w:szCs w:val="19"/>
              </w:rPr>
            </w:pPr>
            <w:r>
              <w:rPr>
                <w:rFonts w:ascii="Times New Roman" w:hAnsi="Times New Roman"/>
                <w:sz w:val="19"/>
                <w:szCs w:val="19"/>
              </w:rPr>
              <w:t>57</w:t>
            </w:r>
            <w:r w:rsidRPr="00475E67">
              <w:rPr>
                <w:rFonts w:ascii="Times New Roman" w:hAnsi="Times New Roman"/>
                <w:sz w:val="19"/>
                <w:szCs w:val="19"/>
              </w:rPr>
              <w:t>,</w:t>
            </w:r>
            <w:r>
              <w:rPr>
                <w:rFonts w:ascii="Times New Roman" w:hAnsi="Times New Roman"/>
                <w:sz w:val="19"/>
                <w:szCs w:val="19"/>
              </w:rPr>
              <w:t>5</w:t>
            </w:r>
          </w:p>
        </w:tc>
        <w:tc>
          <w:tcPr>
            <w:tcW w:w="992" w:type="dxa"/>
            <w:vAlign w:val="center"/>
          </w:tcPr>
          <w:p w:rsidR="004616EA" w:rsidRPr="00475E67" w:rsidRDefault="004616EA" w:rsidP="00DC7D11">
            <w:pPr>
              <w:spacing w:after="0" w:line="240" w:lineRule="auto"/>
              <w:jc w:val="center"/>
              <w:rPr>
                <w:rFonts w:ascii="Times New Roman" w:hAnsi="Times New Roman"/>
                <w:sz w:val="19"/>
                <w:szCs w:val="19"/>
              </w:rPr>
            </w:pPr>
            <w:r>
              <w:rPr>
                <w:rFonts w:ascii="Times New Roman" w:hAnsi="Times New Roman"/>
                <w:sz w:val="19"/>
                <w:szCs w:val="19"/>
              </w:rPr>
              <w:t>57</w:t>
            </w:r>
            <w:r w:rsidRPr="00475E67">
              <w:rPr>
                <w:rFonts w:ascii="Times New Roman" w:hAnsi="Times New Roman"/>
                <w:sz w:val="19"/>
                <w:szCs w:val="19"/>
              </w:rPr>
              <w:t>,</w:t>
            </w:r>
            <w:r>
              <w:rPr>
                <w:rFonts w:ascii="Times New Roman" w:hAnsi="Times New Roman"/>
                <w:sz w:val="19"/>
                <w:szCs w:val="19"/>
              </w:rPr>
              <w:t>0</w:t>
            </w:r>
            <w:r w:rsidRPr="00475E67">
              <w:rPr>
                <w:rFonts w:ascii="Times New Roman" w:hAnsi="Times New Roman"/>
                <w:sz w:val="19"/>
                <w:szCs w:val="19"/>
              </w:rPr>
              <w:t>3</w:t>
            </w:r>
          </w:p>
        </w:tc>
      </w:tr>
      <w:tr w:rsidR="004616EA" w:rsidRPr="00475E67" w:rsidTr="0084791B">
        <w:tc>
          <w:tcPr>
            <w:tcW w:w="3119" w:type="dxa"/>
          </w:tcPr>
          <w:p w:rsidR="004616EA" w:rsidRPr="00292123" w:rsidRDefault="004616EA" w:rsidP="0084791B">
            <w:pPr>
              <w:spacing w:after="0" w:line="240" w:lineRule="auto"/>
              <w:rPr>
                <w:rFonts w:ascii="Times New Roman" w:hAnsi="Times New Roman"/>
                <w:sz w:val="20"/>
                <w:szCs w:val="20"/>
              </w:rPr>
            </w:pPr>
            <w:r w:rsidRPr="00292123">
              <w:rPr>
                <w:rFonts w:ascii="Times New Roman" w:hAnsi="Times New Roman"/>
                <w:sz w:val="20"/>
                <w:szCs w:val="20"/>
                <w:lang w:val="en-US"/>
              </w:rPr>
              <w:t>II</w:t>
            </w:r>
            <w:r w:rsidRPr="00292123">
              <w:rPr>
                <w:rFonts w:ascii="Times New Roman" w:hAnsi="Times New Roman"/>
                <w:sz w:val="20"/>
                <w:szCs w:val="20"/>
              </w:rPr>
              <w:t>. Привлеченные средства, в т.ч.</w:t>
            </w:r>
          </w:p>
        </w:tc>
        <w:tc>
          <w:tcPr>
            <w:tcW w:w="992" w:type="dxa"/>
            <w:vAlign w:val="center"/>
          </w:tcPr>
          <w:p w:rsidR="004616EA" w:rsidRPr="00292123" w:rsidRDefault="004616EA" w:rsidP="0084791B">
            <w:pPr>
              <w:spacing w:after="0" w:line="240" w:lineRule="auto"/>
              <w:jc w:val="center"/>
              <w:rPr>
                <w:rFonts w:ascii="Times New Roman" w:hAnsi="Times New Roman"/>
                <w:sz w:val="19"/>
                <w:szCs w:val="19"/>
              </w:rPr>
            </w:pPr>
            <w:r w:rsidRPr="00292123">
              <w:rPr>
                <w:rFonts w:ascii="Times New Roman" w:hAnsi="Times New Roman"/>
                <w:sz w:val="19"/>
                <w:szCs w:val="19"/>
              </w:rPr>
              <w:t>3 478,59</w:t>
            </w:r>
          </w:p>
        </w:tc>
        <w:tc>
          <w:tcPr>
            <w:tcW w:w="1134"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5 0</w:t>
            </w:r>
            <w:r w:rsidRPr="00292123">
              <w:rPr>
                <w:rFonts w:ascii="Times New Roman" w:hAnsi="Times New Roman"/>
                <w:sz w:val="19"/>
                <w:szCs w:val="19"/>
                <w:lang w:val="en-US"/>
              </w:rPr>
              <w:t>70</w:t>
            </w:r>
            <w:r w:rsidRPr="00292123">
              <w:rPr>
                <w:rFonts w:ascii="Times New Roman" w:hAnsi="Times New Roman"/>
                <w:sz w:val="19"/>
                <w:szCs w:val="19"/>
              </w:rPr>
              <w:t>,0</w:t>
            </w:r>
            <w:r w:rsidRPr="00292123">
              <w:rPr>
                <w:rFonts w:ascii="Times New Roman" w:hAnsi="Times New Roman"/>
                <w:sz w:val="19"/>
                <w:szCs w:val="19"/>
                <w:lang w:val="en-US"/>
              </w:rPr>
              <w:t>4</w:t>
            </w:r>
          </w:p>
        </w:tc>
        <w:tc>
          <w:tcPr>
            <w:tcW w:w="992" w:type="dxa"/>
            <w:vAlign w:val="center"/>
          </w:tcPr>
          <w:p w:rsidR="004616EA" w:rsidRPr="00292123" w:rsidRDefault="004616EA" w:rsidP="00292123">
            <w:pPr>
              <w:spacing w:after="0" w:line="240" w:lineRule="auto"/>
              <w:jc w:val="center"/>
              <w:rPr>
                <w:rFonts w:ascii="Times New Roman" w:hAnsi="Times New Roman"/>
                <w:sz w:val="19"/>
                <w:szCs w:val="19"/>
              </w:rPr>
            </w:pPr>
            <w:r w:rsidRPr="00292123">
              <w:rPr>
                <w:rFonts w:ascii="Times New Roman" w:hAnsi="Times New Roman"/>
                <w:sz w:val="19"/>
                <w:szCs w:val="19"/>
              </w:rPr>
              <w:t>4 </w:t>
            </w:r>
            <w:r w:rsidRPr="00292123">
              <w:rPr>
                <w:rFonts w:ascii="Times New Roman" w:hAnsi="Times New Roman"/>
                <w:sz w:val="19"/>
                <w:szCs w:val="19"/>
                <w:lang w:val="en-US"/>
              </w:rPr>
              <w:t>816</w:t>
            </w:r>
            <w:r w:rsidRPr="00292123">
              <w:rPr>
                <w:rFonts w:ascii="Times New Roman" w:hAnsi="Times New Roman"/>
                <w:sz w:val="19"/>
                <w:szCs w:val="19"/>
              </w:rPr>
              <w:t>,</w:t>
            </w:r>
            <w:r w:rsidRPr="00292123">
              <w:rPr>
                <w:rFonts w:ascii="Times New Roman" w:hAnsi="Times New Roman"/>
                <w:sz w:val="19"/>
                <w:szCs w:val="19"/>
                <w:lang w:val="en-US"/>
              </w:rPr>
              <w:t>7</w:t>
            </w:r>
            <w:r w:rsidRPr="00292123">
              <w:rPr>
                <w:rFonts w:ascii="Times New Roman" w:hAnsi="Times New Roman"/>
                <w:sz w:val="19"/>
                <w:szCs w:val="19"/>
              </w:rPr>
              <w:t>1</w:t>
            </w:r>
          </w:p>
        </w:tc>
        <w:tc>
          <w:tcPr>
            <w:tcW w:w="1134"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4 </w:t>
            </w:r>
            <w:r w:rsidRPr="00292123">
              <w:rPr>
                <w:rFonts w:ascii="Times New Roman" w:hAnsi="Times New Roman"/>
                <w:sz w:val="19"/>
                <w:szCs w:val="19"/>
                <w:lang w:val="en-US"/>
              </w:rPr>
              <w:t>671</w:t>
            </w:r>
            <w:r w:rsidRPr="00292123">
              <w:rPr>
                <w:rFonts w:ascii="Times New Roman" w:hAnsi="Times New Roman"/>
                <w:sz w:val="19"/>
                <w:szCs w:val="19"/>
              </w:rPr>
              <w:t>,</w:t>
            </w:r>
            <w:r w:rsidRPr="00292123">
              <w:rPr>
                <w:rFonts w:ascii="Times New Roman" w:hAnsi="Times New Roman"/>
                <w:sz w:val="19"/>
                <w:szCs w:val="19"/>
                <w:lang w:val="en-US"/>
              </w:rPr>
              <w:t>14</w:t>
            </w:r>
          </w:p>
        </w:tc>
        <w:tc>
          <w:tcPr>
            <w:tcW w:w="993"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4 8</w:t>
            </w:r>
            <w:r w:rsidRPr="00292123">
              <w:rPr>
                <w:rFonts w:ascii="Times New Roman" w:hAnsi="Times New Roman"/>
                <w:sz w:val="19"/>
                <w:szCs w:val="19"/>
                <w:lang w:val="en-US"/>
              </w:rPr>
              <w:t>10</w:t>
            </w:r>
            <w:r w:rsidRPr="00292123">
              <w:rPr>
                <w:rFonts w:ascii="Times New Roman" w:hAnsi="Times New Roman"/>
                <w:sz w:val="19"/>
                <w:szCs w:val="19"/>
              </w:rPr>
              <w:t>,</w:t>
            </w:r>
            <w:r w:rsidRPr="00292123">
              <w:rPr>
                <w:rFonts w:ascii="Times New Roman" w:hAnsi="Times New Roman"/>
                <w:sz w:val="19"/>
                <w:szCs w:val="19"/>
                <w:lang w:val="en-US"/>
              </w:rPr>
              <w:t>42</w:t>
            </w:r>
          </w:p>
        </w:tc>
        <w:tc>
          <w:tcPr>
            <w:tcW w:w="992"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5 </w:t>
            </w:r>
            <w:r w:rsidRPr="00292123">
              <w:rPr>
                <w:rFonts w:ascii="Times New Roman" w:hAnsi="Times New Roman"/>
                <w:sz w:val="19"/>
                <w:szCs w:val="19"/>
                <w:lang w:val="en-US"/>
              </w:rPr>
              <w:t>173</w:t>
            </w:r>
            <w:r w:rsidRPr="00292123">
              <w:rPr>
                <w:rFonts w:ascii="Times New Roman" w:hAnsi="Times New Roman"/>
                <w:sz w:val="19"/>
                <w:szCs w:val="19"/>
              </w:rPr>
              <w:t>,</w:t>
            </w:r>
            <w:r w:rsidRPr="00292123">
              <w:rPr>
                <w:rFonts w:ascii="Times New Roman" w:hAnsi="Times New Roman"/>
                <w:sz w:val="19"/>
                <w:szCs w:val="19"/>
                <w:lang w:val="en-US"/>
              </w:rPr>
              <w:t>80</w:t>
            </w:r>
          </w:p>
        </w:tc>
      </w:tr>
      <w:tr w:rsidR="004616EA" w:rsidRPr="00475E67" w:rsidTr="0084791B">
        <w:tc>
          <w:tcPr>
            <w:tcW w:w="3119" w:type="dxa"/>
          </w:tcPr>
          <w:p w:rsidR="004616EA" w:rsidRPr="00292123" w:rsidRDefault="004616EA" w:rsidP="0084791B">
            <w:pPr>
              <w:spacing w:after="0" w:line="240" w:lineRule="auto"/>
              <w:jc w:val="right"/>
              <w:rPr>
                <w:rFonts w:ascii="Times New Roman" w:hAnsi="Times New Roman"/>
                <w:sz w:val="20"/>
                <w:szCs w:val="20"/>
              </w:rPr>
            </w:pPr>
            <w:r w:rsidRPr="00292123">
              <w:rPr>
                <w:rFonts w:ascii="Times New Roman" w:hAnsi="Times New Roman"/>
                <w:sz w:val="20"/>
                <w:szCs w:val="20"/>
              </w:rPr>
              <w:t>доля в общем объеме</w:t>
            </w:r>
          </w:p>
          <w:p w:rsidR="004616EA" w:rsidRPr="00292123" w:rsidRDefault="004616EA" w:rsidP="0084791B">
            <w:pPr>
              <w:spacing w:after="0" w:line="240" w:lineRule="auto"/>
              <w:jc w:val="right"/>
              <w:rPr>
                <w:rFonts w:ascii="Times New Roman" w:hAnsi="Times New Roman"/>
                <w:sz w:val="20"/>
                <w:szCs w:val="20"/>
              </w:rPr>
            </w:pPr>
            <w:r w:rsidRPr="00292123">
              <w:rPr>
                <w:rFonts w:ascii="Times New Roman" w:hAnsi="Times New Roman"/>
                <w:sz w:val="20"/>
                <w:szCs w:val="20"/>
              </w:rPr>
              <w:t xml:space="preserve"> инвестиций, %</w:t>
            </w:r>
          </w:p>
        </w:tc>
        <w:tc>
          <w:tcPr>
            <w:tcW w:w="992" w:type="dxa"/>
            <w:vAlign w:val="center"/>
          </w:tcPr>
          <w:p w:rsidR="004616EA" w:rsidRPr="00292123" w:rsidRDefault="004616EA" w:rsidP="0084791B">
            <w:pPr>
              <w:spacing w:after="0" w:line="240" w:lineRule="auto"/>
              <w:jc w:val="center"/>
              <w:rPr>
                <w:rFonts w:ascii="Times New Roman" w:hAnsi="Times New Roman"/>
                <w:sz w:val="19"/>
                <w:szCs w:val="19"/>
              </w:rPr>
            </w:pPr>
            <w:r w:rsidRPr="00292123">
              <w:rPr>
                <w:rFonts w:ascii="Times New Roman" w:hAnsi="Times New Roman"/>
                <w:sz w:val="19"/>
                <w:szCs w:val="19"/>
              </w:rPr>
              <w:t>19,50</w:t>
            </w:r>
          </w:p>
        </w:tc>
        <w:tc>
          <w:tcPr>
            <w:tcW w:w="1134"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lang w:val="en-US"/>
              </w:rPr>
              <w:t>33</w:t>
            </w:r>
            <w:r w:rsidRPr="00292123">
              <w:rPr>
                <w:rFonts w:ascii="Times New Roman" w:hAnsi="Times New Roman"/>
                <w:sz w:val="19"/>
                <w:szCs w:val="19"/>
              </w:rPr>
              <w:t>,</w:t>
            </w:r>
            <w:r w:rsidRPr="00292123">
              <w:rPr>
                <w:rFonts w:ascii="Times New Roman" w:hAnsi="Times New Roman"/>
                <w:sz w:val="19"/>
                <w:szCs w:val="19"/>
                <w:lang w:val="en-US"/>
              </w:rPr>
              <w:t>6</w:t>
            </w:r>
          </w:p>
        </w:tc>
        <w:tc>
          <w:tcPr>
            <w:tcW w:w="992" w:type="dxa"/>
            <w:vAlign w:val="center"/>
          </w:tcPr>
          <w:p w:rsidR="004616EA" w:rsidRPr="00292123" w:rsidRDefault="004616EA" w:rsidP="00292123">
            <w:pPr>
              <w:spacing w:after="0" w:line="240" w:lineRule="auto"/>
              <w:jc w:val="center"/>
              <w:rPr>
                <w:rFonts w:ascii="Times New Roman" w:hAnsi="Times New Roman"/>
                <w:sz w:val="19"/>
                <w:szCs w:val="19"/>
              </w:rPr>
            </w:pPr>
            <w:r w:rsidRPr="00292123">
              <w:rPr>
                <w:rFonts w:ascii="Times New Roman" w:hAnsi="Times New Roman"/>
                <w:sz w:val="19"/>
                <w:szCs w:val="19"/>
              </w:rPr>
              <w:t>3</w:t>
            </w:r>
            <w:r w:rsidRPr="00292123">
              <w:rPr>
                <w:rFonts w:ascii="Times New Roman" w:hAnsi="Times New Roman"/>
                <w:sz w:val="19"/>
                <w:szCs w:val="19"/>
                <w:lang w:val="en-US"/>
              </w:rPr>
              <w:t>3</w:t>
            </w:r>
            <w:r w:rsidRPr="00292123">
              <w:rPr>
                <w:rFonts w:ascii="Times New Roman" w:hAnsi="Times New Roman"/>
                <w:sz w:val="19"/>
                <w:szCs w:val="19"/>
              </w:rPr>
              <w:t>,9</w:t>
            </w:r>
          </w:p>
        </w:tc>
        <w:tc>
          <w:tcPr>
            <w:tcW w:w="1134"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lang w:val="en-US"/>
              </w:rPr>
              <w:t>31</w:t>
            </w:r>
            <w:r w:rsidRPr="00292123">
              <w:rPr>
                <w:rFonts w:ascii="Times New Roman" w:hAnsi="Times New Roman"/>
                <w:sz w:val="19"/>
                <w:szCs w:val="19"/>
              </w:rPr>
              <w:t>,</w:t>
            </w:r>
            <w:r w:rsidRPr="00292123">
              <w:rPr>
                <w:rFonts w:ascii="Times New Roman" w:hAnsi="Times New Roman"/>
                <w:sz w:val="19"/>
                <w:szCs w:val="19"/>
                <w:lang w:val="en-US"/>
              </w:rPr>
              <w:t>16</w:t>
            </w:r>
          </w:p>
        </w:tc>
        <w:tc>
          <w:tcPr>
            <w:tcW w:w="993"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2</w:t>
            </w:r>
            <w:r w:rsidRPr="00292123">
              <w:rPr>
                <w:rFonts w:ascii="Times New Roman" w:hAnsi="Times New Roman"/>
                <w:sz w:val="19"/>
                <w:szCs w:val="19"/>
                <w:lang w:val="en-US"/>
              </w:rPr>
              <w:t>9</w:t>
            </w:r>
            <w:r w:rsidRPr="00292123">
              <w:rPr>
                <w:rFonts w:ascii="Times New Roman" w:hAnsi="Times New Roman"/>
                <w:sz w:val="19"/>
                <w:szCs w:val="19"/>
              </w:rPr>
              <w:t>,7</w:t>
            </w:r>
            <w:r w:rsidRPr="00292123">
              <w:rPr>
                <w:rFonts w:ascii="Times New Roman" w:hAnsi="Times New Roman"/>
                <w:sz w:val="19"/>
                <w:szCs w:val="19"/>
                <w:lang w:val="en-US"/>
              </w:rPr>
              <w:t>9</w:t>
            </w:r>
          </w:p>
        </w:tc>
        <w:tc>
          <w:tcPr>
            <w:tcW w:w="992"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lang w:val="en-US"/>
              </w:rPr>
              <w:t>30</w:t>
            </w:r>
            <w:r w:rsidRPr="00292123">
              <w:rPr>
                <w:rFonts w:ascii="Times New Roman" w:hAnsi="Times New Roman"/>
                <w:sz w:val="19"/>
                <w:szCs w:val="19"/>
              </w:rPr>
              <w:t>,</w:t>
            </w:r>
            <w:r w:rsidRPr="00292123">
              <w:rPr>
                <w:rFonts w:ascii="Times New Roman" w:hAnsi="Times New Roman"/>
                <w:sz w:val="19"/>
                <w:szCs w:val="19"/>
                <w:lang w:val="en-US"/>
              </w:rPr>
              <w:t>27</w:t>
            </w:r>
          </w:p>
        </w:tc>
      </w:tr>
      <w:tr w:rsidR="004616EA" w:rsidRPr="00475E67" w:rsidTr="0084791B">
        <w:tc>
          <w:tcPr>
            <w:tcW w:w="3119" w:type="dxa"/>
          </w:tcPr>
          <w:p w:rsidR="004616EA" w:rsidRPr="00292123" w:rsidRDefault="004616EA" w:rsidP="0084791B">
            <w:pPr>
              <w:spacing w:after="0" w:line="240" w:lineRule="auto"/>
              <w:rPr>
                <w:rFonts w:ascii="Times New Roman" w:hAnsi="Times New Roman"/>
                <w:sz w:val="20"/>
                <w:szCs w:val="20"/>
              </w:rPr>
            </w:pPr>
            <w:r w:rsidRPr="00292123">
              <w:rPr>
                <w:rFonts w:ascii="Times New Roman" w:hAnsi="Times New Roman"/>
                <w:sz w:val="20"/>
                <w:szCs w:val="20"/>
              </w:rPr>
              <w:t>1. Кредиты банков</w:t>
            </w:r>
          </w:p>
        </w:tc>
        <w:tc>
          <w:tcPr>
            <w:tcW w:w="992" w:type="dxa"/>
            <w:vAlign w:val="center"/>
          </w:tcPr>
          <w:p w:rsidR="004616EA" w:rsidRPr="00292123" w:rsidRDefault="004616EA" w:rsidP="0084791B">
            <w:pPr>
              <w:spacing w:after="0" w:line="240" w:lineRule="auto"/>
              <w:jc w:val="center"/>
              <w:rPr>
                <w:rFonts w:ascii="Times New Roman" w:hAnsi="Times New Roman"/>
                <w:sz w:val="19"/>
                <w:szCs w:val="19"/>
              </w:rPr>
            </w:pPr>
            <w:r w:rsidRPr="00292123">
              <w:rPr>
                <w:rFonts w:ascii="Times New Roman" w:hAnsi="Times New Roman"/>
                <w:sz w:val="19"/>
                <w:szCs w:val="19"/>
              </w:rPr>
              <w:t>150,74</w:t>
            </w:r>
          </w:p>
        </w:tc>
        <w:tc>
          <w:tcPr>
            <w:tcW w:w="1134"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5</w:t>
            </w:r>
            <w:r w:rsidRPr="00292123">
              <w:rPr>
                <w:rFonts w:ascii="Times New Roman" w:hAnsi="Times New Roman"/>
                <w:sz w:val="19"/>
                <w:szCs w:val="19"/>
                <w:lang w:val="en-US"/>
              </w:rPr>
              <w:t>3</w:t>
            </w:r>
            <w:r w:rsidRPr="00292123">
              <w:rPr>
                <w:rFonts w:ascii="Times New Roman" w:hAnsi="Times New Roman"/>
                <w:sz w:val="19"/>
                <w:szCs w:val="19"/>
              </w:rPr>
              <w:t>,</w:t>
            </w:r>
            <w:r w:rsidRPr="00292123">
              <w:rPr>
                <w:rFonts w:ascii="Times New Roman" w:hAnsi="Times New Roman"/>
                <w:sz w:val="19"/>
                <w:szCs w:val="19"/>
                <w:lang w:val="en-US"/>
              </w:rPr>
              <w:t>44</w:t>
            </w:r>
          </w:p>
        </w:tc>
        <w:tc>
          <w:tcPr>
            <w:tcW w:w="992" w:type="dxa"/>
            <w:vAlign w:val="center"/>
          </w:tcPr>
          <w:p w:rsidR="004616EA" w:rsidRPr="00292123" w:rsidRDefault="004616EA" w:rsidP="0084791B">
            <w:pPr>
              <w:spacing w:after="0" w:line="240" w:lineRule="auto"/>
              <w:jc w:val="center"/>
              <w:rPr>
                <w:rFonts w:ascii="Times New Roman" w:hAnsi="Times New Roman"/>
                <w:sz w:val="19"/>
                <w:szCs w:val="19"/>
              </w:rPr>
            </w:pPr>
            <w:r w:rsidRPr="00292123">
              <w:rPr>
                <w:rFonts w:ascii="Times New Roman" w:hAnsi="Times New Roman"/>
                <w:sz w:val="19"/>
                <w:szCs w:val="19"/>
              </w:rPr>
              <w:t>68,41</w:t>
            </w:r>
          </w:p>
        </w:tc>
        <w:tc>
          <w:tcPr>
            <w:tcW w:w="1134"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7</w:t>
            </w:r>
            <w:r w:rsidRPr="00292123">
              <w:rPr>
                <w:rFonts w:ascii="Times New Roman" w:hAnsi="Times New Roman"/>
                <w:sz w:val="19"/>
                <w:szCs w:val="19"/>
                <w:lang w:val="en-US"/>
              </w:rPr>
              <w:t>3</w:t>
            </w:r>
            <w:r w:rsidRPr="00292123">
              <w:rPr>
                <w:rFonts w:ascii="Times New Roman" w:hAnsi="Times New Roman"/>
                <w:sz w:val="19"/>
                <w:szCs w:val="19"/>
              </w:rPr>
              <w:t>,</w:t>
            </w:r>
            <w:r w:rsidRPr="00292123">
              <w:rPr>
                <w:rFonts w:ascii="Times New Roman" w:hAnsi="Times New Roman"/>
                <w:sz w:val="19"/>
                <w:szCs w:val="19"/>
                <w:lang w:val="en-US"/>
              </w:rPr>
              <w:t>5</w:t>
            </w:r>
          </w:p>
        </w:tc>
        <w:tc>
          <w:tcPr>
            <w:tcW w:w="993"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82,</w:t>
            </w:r>
            <w:r w:rsidRPr="00292123">
              <w:rPr>
                <w:rFonts w:ascii="Times New Roman" w:hAnsi="Times New Roman"/>
                <w:sz w:val="19"/>
                <w:szCs w:val="19"/>
                <w:lang w:val="en-US"/>
              </w:rPr>
              <w:t>28</w:t>
            </w:r>
          </w:p>
        </w:tc>
        <w:tc>
          <w:tcPr>
            <w:tcW w:w="992"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9</w:t>
            </w:r>
            <w:r w:rsidRPr="00292123">
              <w:rPr>
                <w:rFonts w:ascii="Times New Roman" w:hAnsi="Times New Roman"/>
                <w:sz w:val="19"/>
                <w:szCs w:val="19"/>
                <w:lang w:val="en-US"/>
              </w:rPr>
              <w:t>0</w:t>
            </w:r>
            <w:r w:rsidRPr="00292123">
              <w:rPr>
                <w:rFonts w:ascii="Times New Roman" w:hAnsi="Times New Roman"/>
                <w:sz w:val="19"/>
                <w:szCs w:val="19"/>
              </w:rPr>
              <w:t>,</w:t>
            </w:r>
            <w:r w:rsidRPr="00292123">
              <w:rPr>
                <w:rFonts w:ascii="Times New Roman" w:hAnsi="Times New Roman"/>
                <w:sz w:val="19"/>
                <w:szCs w:val="19"/>
                <w:lang w:val="en-US"/>
              </w:rPr>
              <w:t>86</w:t>
            </w:r>
          </w:p>
        </w:tc>
      </w:tr>
      <w:tr w:rsidR="004616EA" w:rsidRPr="00475E67" w:rsidTr="0084791B">
        <w:tc>
          <w:tcPr>
            <w:tcW w:w="3119" w:type="dxa"/>
          </w:tcPr>
          <w:p w:rsidR="004616EA" w:rsidRPr="00292123" w:rsidRDefault="004616EA" w:rsidP="0084791B">
            <w:pPr>
              <w:spacing w:after="0" w:line="240" w:lineRule="auto"/>
              <w:jc w:val="right"/>
              <w:rPr>
                <w:rFonts w:ascii="Times New Roman" w:hAnsi="Times New Roman"/>
                <w:sz w:val="20"/>
                <w:szCs w:val="20"/>
              </w:rPr>
            </w:pPr>
            <w:r w:rsidRPr="00292123">
              <w:rPr>
                <w:rFonts w:ascii="Times New Roman" w:hAnsi="Times New Roman"/>
                <w:sz w:val="20"/>
                <w:szCs w:val="20"/>
              </w:rPr>
              <w:t>доля в общем объеме</w:t>
            </w:r>
          </w:p>
          <w:p w:rsidR="004616EA" w:rsidRPr="00292123" w:rsidRDefault="004616EA" w:rsidP="0084791B">
            <w:pPr>
              <w:spacing w:after="0" w:line="240" w:lineRule="auto"/>
              <w:jc w:val="right"/>
              <w:rPr>
                <w:rFonts w:ascii="Times New Roman" w:hAnsi="Times New Roman"/>
                <w:sz w:val="20"/>
                <w:szCs w:val="20"/>
              </w:rPr>
            </w:pPr>
            <w:r w:rsidRPr="00292123">
              <w:rPr>
                <w:rFonts w:ascii="Times New Roman" w:hAnsi="Times New Roman"/>
                <w:sz w:val="20"/>
                <w:szCs w:val="20"/>
              </w:rPr>
              <w:t xml:space="preserve"> инвестиций, %</w:t>
            </w:r>
          </w:p>
        </w:tc>
        <w:tc>
          <w:tcPr>
            <w:tcW w:w="992" w:type="dxa"/>
            <w:vAlign w:val="center"/>
          </w:tcPr>
          <w:p w:rsidR="004616EA" w:rsidRPr="00292123" w:rsidRDefault="004616EA" w:rsidP="0084791B">
            <w:pPr>
              <w:spacing w:after="0" w:line="240" w:lineRule="auto"/>
              <w:jc w:val="center"/>
              <w:rPr>
                <w:rFonts w:ascii="Times New Roman" w:hAnsi="Times New Roman"/>
                <w:sz w:val="19"/>
                <w:szCs w:val="19"/>
              </w:rPr>
            </w:pPr>
            <w:r w:rsidRPr="00292123">
              <w:rPr>
                <w:rFonts w:ascii="Times New Roman" w:hAnsi="Times New Roman"/>
                <w:sz w:val="19"/>
                <w:szCs w:val="19"/>
              </w:rPr>
              <w:t>0,84</w:t>
            </w:r>
          </w:p>
        </w:tc>
        <w:tc>
          <w:tcPr>
            <w:tcW w:w="1134" w:type="dxa"/>
            <w:vAlign w:val="center"/>
          </w:tcPr>
          <w:p w:rsidR="004616EA" w:rsidRPr="00292123" w:rsidRDefault="004616EA" w:rsidP="00292123">
            <w:pPr>
              <w:spacing w:after="0" w:line="240" w:lineRule="auto"/>
              <w:jc w:val="center"/>
              <w:rPr>
                <w:rFonts w:ascii="Times New Roman" w:hAnsi="Times New Roman"/>
                <w:sz w:val="19"/>
                <w:szCs w:val="19"/>
              </w:rPr>
            </w:pPr>
            <w:r w:rsidRPr="00292123">
              <w:rPr>
                <w:rFonts w:ascii="Times New Roman" w:hAnsi="Times New Roman"/>
                <w:sz w:val="19"/>
                <w:szCs w:val="19"/>
              </w:rPr>
              <w:t>0,</w:t>
            </w:r>
            <w:r w:rsidRPr="00292123">
              <w:rPr>
                <w:rFonts w:ascii="Times New Roman" w:hAnsi="Times New Roman"/>
                <w:sz w:val="19"/>
                <w:szCs w:val="19"/>
                <w:lang w:val="en-US"/>
              </w:rPr>
              <w:t>3</w:t>
            </w:r>
            <w:r w:rsidRPr="00292123">
              <w:rPr>
                <w:rFonts w:ascii="Times New Roman" w:hAnsi="Times New Roman"/>
                <w:sz w:val="19"/>
                <w:szCs w:val="19"/>
              </w:rPr>
              <w:t>5</w:t>
            </w:r>
          </w:p>
        </w:tc>
        <w:tc>
          <w:tcPr>
            <w:tcW w:w="992"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0,4</w:t>
            </w:r>
            <w:r w:rsidRPr="00292123">
              <w:rPr>
                <w:rFonts w:ascii="Times New Roman" w:hAnsi="Times New Roman"/>
                <w:sz w:val="19"/>
                <w:szCs w:val="19"/>
                <w:lang w:val="en-US"/>
              </w:rPr>
              <w:t>8</w:t>
            </w:r>
          </w:p>
        </w:tc>
        <w:tc>
          <w:tcPr>
            <w:tcW w:w="1134"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0,4</w:t>
            </w:r>
            <w:r w:rsidRPr="00292123">
              <w:rPr>
                <w:rFonts w:ascii="Times New Roman" w:hAnsi="Times New Roman"/>
                <w:sz w:val="19"/>
                <w:szCs w:val="19"/>
                <w:lang w:val="en-US"/>
              </w:rPr>
              <w:t>9</w:t>
            </w:r>
          </w:p>
        </w:tc>
        <w:tc>
          <w:tcPr>
            <w:tcW w:w="993"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0,</w:t>
            </w:r>
            <w:r w:rsidRPr="00292123">
              <w:rPr>
                <w:rFonts w:ascii="Times New Roman" w:hAnsi="Times New Roman"/>
                <w:sz w:val="19"/>
                <w:szCs w:val="19"/>
                <w:lang w:val="en-US"/>
              </w:rPr>
              <w:t>51</w:t>
            </w:r>
          </w:p>
        </w:tc>
        <w:tc>
          <w:tcPr>
            <w:tcW w:w="992"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0,</w:t>
            </w:r>
            <w:r w:rsidRPr="00292123">
              <w:rPr>
                <w:rFonts w:ascii="Times New Roman" w:hAnsi="Times New Roman"/>
                <w:sz w:val="19"/>
                <w:szCs w:val="19"/>
                <w:lang w:val="en-US"/>
              </w:rPr>
              <w:t>53</w:t>
            </w:r>
          </w:p>
        </w:tc>
      </w:tr>
      <w:tr w:rsidR="004616EA" w:rsidRPr="00475E67" w:rsidTr="0084791B">
        <w:tc>
          <w:tcPr>
            <w:tcW w:w="3119" w:type="dxa"/>
          </w:tcPr>
          <w:p w:rsidR="004616EA" w:rsidRPr="00292123" w:rsidRDefault="004616EA" w:rsidP="0084791B">
            <w:pPr>
              <w:spacing w:after="0" w:line="240" w:lineRule="auto"/>
              <w:rPr>
                <w:rFonts w:ascii="Times New Roman" w:hAnsi="Times New Roman"/>
                <w:sz w:val="20"/>
                <w:szCs w:val="20"/>
              </w:rPr>
            </w:pPr>
            <w:r w:rsidRPr="00292123">
              <w:rPr>
                <w:rFonts w:ascii="Times New Roman" w:hAnsi="Times New Roman"/>
                <w:sz w:val="20"/>
                <w:szCs w:val="20"/>
              </w:rPr>
              <w:t>2. Бюджетные средства, в т.ч.</w:t>
            </w:r>
          </w:p>
        </w:tc>
        <w:tc>
          <w:tcPr>
            <w:tcW w:w="992" w:type="dxa"/>
            <w:vAlign w:val="center"/>
          </w:tcPr>
          <w:p w:rsidR="004616EA" w:rsidRPr="00292123" w:rsidRDefault="004616EA" w:rsidP="0084791B">
            <w:pPr>
              <w:spacing w:after="0" w:line="240" w:lineRule="auto"/>
              <w:jc w:val="center"/>
              <w:rPr>
                <w:rFonts w:ascii="Times New Roman" w:hAnsi="Times New Roman"/>
                <w:sz w:val="19"/>
                <w:szCs w:val="19"/>
              </w:rPr>
            </w:pPr>
            <w:r w:rsidRPr="00292123">
              <w:rPr>
                <w:rFonts w:ascii="Times New Roman" w:hAnsi="Times New Roman"/>
                <w:sz w:val="19"/>
                <w:szCs w:val="19"/>
              </w:rPr>
              <w:t>864,50</w:t>
            </w:r>
          </w:p>
        </w:tc>
        <w:tc>
          <w:tcPr>
            <w:tcW w:w="1134" w:type="dxa"/>
            <w:vAlign w:val="center"/>
          </w:tcPr>
          <w:p w:rsidR="004616EA" w:rsidRPr="00292123" w:rsidRDefault="004616EA" w:rsidP="00292123">
            <w:pPr>
              <w:spacing w:after="0" w:line="240" w:lineRule="auto"/>
              <w:jc w:val="center"/>
              <w:rPr>
                <w:rFonts w:ascii="Times New Roman" w:hAnsi="Times New Roman"/>
                <w:sz w:val="19"/>
                <w:szCs w:val="19"/>
              </w:rPr>
            </w:pPr>
            <w:r w:rsidRPr="00292123">
              <w:rPr>
                <w:rFonts w:ascii="Times New Roman" w:hAnsi="Times New Roman"/>
                <w:sz w:val="19"/>
                <w:szCs w:val="19"/>
                <w:lang w:val="en-US"/>
              </w:rPr>
              <w:t>703</w:t>
            </w:r>
            <w:r w:rsidRPr="00292123">
              <w:rPr>
                <w:rFonts w:ascii="Times New Roman" w:hAnsi="Times New Roman"/>
                <w:sz w:val="19"/>
                <w:szCs w:val="19"/>
              </w:rPr>
              <w:t>,</w:t>
            </w:r>
            <w:r w:rsidRPr="00292123">
              <w:rPr>
                <w:rFonts w:ascii="Times New Roman" w:hAnsi="Times New Roman"/>
                <w:sz w:val="19"/>
                <w:szCs w:val="19"/>
                <w:lang w:val="en-US"/>
              </w:rPr>
              <w:t>0</w:t>
            </w:r>
            <w:r w:rsidRPr="00292123">
              <w:rPr>
                <w:rFonts w:ascii="Times New Roman" w:hAnsi="Times New Roman"/>
                <w:sz w:val="19"/>
                <w:szCs w:val="19"/>
              </w:rPr>
              <w:t>0</w:t>
            </w:r>
          </w:p>
        </w:tc>
        <w:tc>
          <w:tcPr>
            <w:tcW w:w="992"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lang w:val="en-US"/>
              </w:rPr>
              <w:t>719</w:t>
            </w:r>
            <w:r w:rsidRPr="00292123">
              <w:rPr>
                <w:rFonts w:ascii="Times New Roman" w:hAnsi="Times New Roman"/>
                <w:sz w:val="19"/>
                <w:szCs w:val="19"/>
              </w:rPr>
              <w:t>,</w:t>
            </w:r>
            <w:r w:rsidRPr="00292123">
              <w:rPr>
                <w:rFonts w:ascii="Times New Roman" w:hAnsi="Times New Roman"/>
                <w:sz w:val="19"/>
                <w:szCs w:val="19"/>
                <w:lang w:val="en-US"/>
              </w:rPr>
              <w:t>3</w:t>
            </w:r>
          </w:p>
        </w:tc>
        <w:tc>
          <w:tcPr>
            <w:tcW w:w="1134"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288,</w:t>
            </w:r>
            <w:r w:rsidRPr="00292123">
              <w:rPr>
                <w:rFonts w:ascii="Times New Roman" w:hAnsi="Times New Roman"/>
                <w:sz w:val="19"/>
                <w:szCs w:val="19"/>
                <w:lang w:val="en-US"/>
              </w:rPr>
              <w:t>2</w:t>
            </w:r>
          </w:p>
        </w:tc>
        <w:tc>
          <w:tcPr>
            <w:tcW w:w="993" w:type="dxa"/>
            <w:vAlign w:val="center"/>
          </w:tcPr>
          <w:p w:rsidR="004616EA" w:rsidRPr="00292123" w:rsidRDefault="004616EA" w:rsidP="0084791B">
            <w:pPr>
              <w:spacing w:after="0" w:line="240" w:lineRule="auto"/>
              <w:jc w:val="center"/>
              <w:rPr>
                <w:rFonts w:ascii="Times New Roman" w:hAnsi="Times New Roman"/>
                <w:sz w:val="19"/>
                <w:szCs w:val="19"/>
              </w:rPr>
            </w:pPr>
            <w:r w:rsidRPr="00292123">
              <w:rPr>
                <w:rFonts w:ascii="Times New Roman" w:hAnsi="Times New Roman"/>
                <w:sz w:val="19"/>
                <w:szCs w:val="19"/>
                <w:lang w:val="en-US"/>
              </w:rPr>
              <w:t>189</w:t>
            </w:r>
            <w:r w:rsidRPr="00292123">
              <w:rPr>
                <w:rFonts w:ascii="Times New Roman" w:hAnsi="Times New Roman"/>
                <w:sz w:val="19"/>
                <w:szCs w:val="19"/>
              </w:rPr>
              <w:t>,40</w:t>
            </w:r>
          </w:p>
        </w:tc>
        <w:tc>
          <w:tcPr>
            <w:tcW w:w="992" w:type="dxa"/>
            <w:vAlign w:val="center"/>
          </w:tcPr>
          <w:p w:rsidR="004616EA" w:rsidRPr="00292123" w:rsidRDefault="004616EA" w:rsidP="0084791B">
            <w:pPr>
              <w:spacing w:after="0" w:line="240" w:lineRule="auto"/>
              <w:jc w:val="center"/>
              <w:rPr>
                <w:rFonts w:ascii="Times New Roman" w:hAnsi="Times New Roman"/>
                <w:sz w:val="19"/>
                <w:szCs w:val="19"/>
              </w:rPr>
            </w:pPr>
            <w:r w:rsidRPr="00292123">
              <w:rPr>
                <w:rFonts w:ascii="Times New Roman" w:hAnsi="Times New Roman"/>
                <w:sz w:val="19"/>
                <w:szCs w:val="19"/>
                <w:lang w:val="en-US"/>
              </w:rPr>
              <w:t>132</w:t>
            </w:r>
            <w:r w:rsidRPr="00292123">
              <w:rPr>
                <w:rFonts w:ascii="Times New Roman" w:hAnsi="Times New Roman"/>
                <w:sz w:val="19"/>
                <w:szCs w:val="19"/>
              </w:rPr>
              <w:t>,00</w:t>
            </w:r>
          </w:p>
        </w:tc>
      </w:tr>
      <w:tr w:rsidR="004616EA" w:rsidRPr="00475E67" w:rsidTr="0084791B">
        <w:tc>
          <w:tcPr>
            <w:tcW w:w="3119" w:type="dxa"/>
          </w:tcPr>
          <w:p w:rsidR="004616EA" w:rsidRPr="00391004" w:rsidRDefault="004616EA" w:rsidP="0084791B">
            <w:pPr>
              <w:spacing w:after="0" w:line="240" w:lineRule="auto"/>
              <w:jc w:val="right"/>
              <w:rPr>
                <w:rFonts w:ascii="Times New Roman" w:hAnsi="Times New Roman"/>
                <w:sz w:val="20"/>
                <w:szCs w:val="20"/>
              </w:rPr>
            </w:pPr>
            <w:r w:rsidRPr="00391004">
              <w:rPr>
                <w:rFonts w:ascii="Times New Roman" w:hAnsi="Times New Roman"/>
                <w:sz w:val="20"/>
                <w:szCs w:val="20"/>
              </w:rPr>
              <w:t>доля в общем объеме</w:t>
            </w:r>
          </w:p>
          <w:p w:rsidR="004616EA" w:rsidRPr="00391004" w:rsidRDefault="004616EA" w:rsidP="0084791B">
            <w:pPr>
              <w:spacing w:after="0" w:line="240" w:lineRule="auto"/>
              <w:jc w:val="right"/>
              <w:rPr>
                <w:rFonts w:ascii="Times New Roman" w:hAnsi="Times New Roman"/>
                <w:sz w:val="20"/>
                <w:szCs w:val="20"/>
              </w:rPr>
            </w:pPr>
            <w:r w:rsidRPr="00391004">
              <w:rPr>
                <w:rFonts w:ascii="Times New Roman" w:hAnsi="Times New Roman"/>
                <w:sz w:val="20"/>
                <w:szCs w:val="20"/>
              </w:rPr>
              <w:t xml:space="preserve"> инвестиций, %</w:t>
            </w:r>
          </w:p>
        </w:tc>
        <w:tc>
          <w:tcPr>
            <w:tcW w:w="992" w:type="dxa"/>
            <w:vAlign w:val="center"/>
          </w:tcPr>
          <w:p w:rsidR="004616EA" w:rsidRPr="00391004" w:rsidRDefault="004616EA" w:rsidP="0084791B">
            <w:pPr>
              <w:spacing w:after="0" w:line="240" w:lineRule="auto"/>
              <w:jc w:val="center"/>
              <w:rPr>
                <w:rFonts w:ascii="Times New Roman" w:hAnsi="Times New Roman"/>
                <w:sz w:val="19"/>
                <w:szCs w:val="19"/>
              </w:rPr>
            </w:pPr>
            <w:r w:rsidRPr="00391004">
              <w:rPr>
                <w:rFonts w:ascii="Times New Roman" w:hAnsi="Times New Roman"/>
                <w:sz w:val="19"/>
                <w:szCs w:val="19"/>
              </w:rPr>
              <w:t>4,80</w:t>
            </w:r>
          </w:p>
        </w:tc>
        <w:tc>
          <w:tcPr>
            <w:tcW w:w="1134" w:type="dxa"/>
            <w:vAlign w:val="center"/>
          </w:tcPr>
          <w:p w:rsidR="004616EA" w:rsidRPr="00391004" w:rsidRDefault="004616EA" w:rsidP="00391004">
            <w:pPr>
              <w:spacing w:after="0" w:line="240" w:lineRule="auto"/>
              <w:jc w:val="center"/>
              <w:rPr>
                <w:rFonts w:ascii="Times New Roman" w:hAnsi="Times New Roman"/>
                <w:sz w:val="19"/>
                <w:szCs w:val="19"/>
                <w:lang w:val="en-US"/>
              </w:rPr>
            </w:pPr>
            <w:r w:rsidRPr="00391004">
              <w:rPr>
                <w:rFonts w:ascii="Times New Roman" w:hAnsi="Times New Roman"/>
                <w:sz w:val="19"/>
                <w:szCs w:val="19"/>
                <w:lang w:val="en-US"/>
              </w:rPr>
              <w:t>4</w:t>
            </w:r>
            <w:r w:rsidRPr="00391004">
              <w:rPr>
                <w:rFonts w:ascii="Times New Roman" w:hAnsi="Times New Roman"/>
                <w:sz w:val="19"/>
                <w:szCs w:val="19"/>
              </w:rPr>
              <w:t>,</w:t>
            </w:r>
            <w:r w:rsidRPr="00391004">
              <w:rPr>
                <w:rFonts w:ascii="Times New Roman" w:hAnsi="Times New Roman"/>
                <w:sz w:val="19"/>
                <w:szCs w:val="19"/>
                <w:lang w:val="en-US"/>
              </w:rPr>
              <w:t>66</w:t>
            </w:r>
          </w:p>
        </w:tc>
        <w:tc>
          <w:tcPr>
            <w:tcW w:w="992" w:type="dxa"/>
            <w:vAlign w:val="center"/>
          </w:tcPr>
          <w:p w:rsidR="004616EA" w:rsidRPr="00391004" w:rsidRDefault="004616EA" w:rsidP="00391004">
            <w:pPr>
              <w:spacing w:after="0" w:line="240" w:lineRule="auto"/>
              <w:jc w:val="center"/>
              <w:rPr>
                <w:rFonts w:ascii="Times New Roman" w:hAnsi="Times New Roman"/>
                <w:sz w:val="19"/>
                <w:szCs w:val="19"/>
                <w:lang w:val="en-US"/>
              </w:rPr>
            </w:pPr>
            <w:r w:rsidRPr="00391004">
              <w:rPr>
                <w:rFonts w:ascii="Times New Roman" w:hAnsi="Times New Roman"/>
                <w:sz w:val="19"/>
                <w:szCs w:val="19"/>
                <w:lang w:val="en-US"/>
              </w:rPr>
              <w:t>5</w:t>
            </w:r>
            <w:r w:rsidRPr="00391004">
              <w:rPr>
                <w:rFonts w:ascii="Times New Roman" w:hAnsi="Times New Roman"/>
                <w:sz w:val="19"/>
                <w:szCs w:val="19"/>
              </w:rPr>
              <w:t>,</w:t>
            </w:r>
            <w:r w:rsidRPr="00391004">
              <w:rPr>
                <w:rFonts w:ascii="Times New Roman" w:hAnsi="Times New Roman"/>
                <w:sz w:val="19"/>
                <w:szCs w:val="19"/>
                <w:lang w:val="en-US"/>
              </w:rPr>
              <w:t>07</w:t>
            </w:r>
          </w:p>
        </w:tc>
        <w:tc>
          <w:tcPr>
            <w:tcW w:w="1134" w:type="dxa"/>
            <w:vAlign w:val="center"/>
          </w:tcPr>
          <w:p w:rsidR="004616EA" w:rsidRPr="00391004" w:rsidRDefault="004616EA" w:rsidP="00391004">
            <w:pPr>
              <w:spacing w:after="0" w:line="240" w:lineRule="auto"/>
              <w:jc w:val="center"/>
              <w:rPr>
                <w:rFonts w:ascii="Times New Roman" w:hAnsi="Times New Roman"/>
                <w:sz w:val="19"/>
                <w:szCs w:val="19"/>
                <w:lang w:val="en-US"/>
              </w:rPr>
            </w:pPr>
            <w:r w:rsidRPr="00391004">
              <w:rPr>
                <w:rFonts w:ascii="Times New Roman" w:hAnsi="Times New Roman"/>
                <w:sz w:val="19"/>
                <w:szCs w:val="19"/>
              </w:rPr>
              <w:t>1,</w:t>
            </w:r>
            <w:r w:rsidRPr="00391004">
              <w:rPr>
                <w:rFonts w:ascii="Times New Roman" w:hAnsi="Times New Roman"/>
                <w:sz w:val="19"/>
                <w:szCs w:val="19"/>
                <w:lang w:val="en-US"/>
              </w:rPr>
              <w:t>92</w:t>
            </w:r>
          </w:p>
        </w:tc>
        <w:tc>
          <w:tcPr>
            <w:tcW w:w="993" w:type="dxa"/>
            <w:vAlign w:val="center"/>
          </w:tcPr>
          <w:p w:rsidR="004616EA" w:rsidRPr="00391004" w:rsidRDefault="004616EA" w:rsidP="00391004">
            <w:pPr>
              <w:spacing w:after="0" w:line="240" w:lineRule="auto"/>
              <w:jc w:val="center"/>
              <w:rPr>
                <w:rFonts w:ascii="Times New Roman" w:hAnsi="Times New Roman"/>
                <w:sz w:val="19"/>
                <w:szCs w:val="19"/>
                <w:lang w:val="en-US"/>
              </w:rPr>
            </w:pPr>
            <w:r w:rsidRPr="00391004">
              <w:rPr>
                <w:rFonts w:ascii="Times New Roman" w:hAnsi="Times New Roman"/>
                <w:sz w:val="19"/>
                <w:szCs w:val="19"/>
                <w:lang w:val="en-US"/>
              </w:rPr>
              <w:t>1</w:t>
            </w:r>
            <w:r w:rsidRPr="00391004">
              <w:rPr>
                <w:rFonts w:ascii="Times New Roman" w:hAnsi="Times New Roman"/>
                <w:sz w:val="19"/>
                <w:szCs w:val="19"/>
              </w:rPr>
              <w:t>,1</w:t>
            </w:r>
            <w:r w:rsidRPr="00391004">
              <w:rPr>
                <w:rFonts w:ascii="Times New Roman" w:hAnsi="Times New Roman"/>
                <w:sz w:val="19"/>
                <w:szCs w:val="19"/>
                <w:lang w:val="en-US"/>
              </w:rPr>
              <w:t>7</w:t>
            </w:r>
          </w:p>
        </w:tc>
        <w:tc>
          <w:tcPr>
            <w:tcW w:w="992" w:type="dxa"/>
            <w:vAlign w:val="center"/>
          </w:tcPr>
          <w:p w:rsidR="004616EA" w:rsidRPr="00391004" w:rsidRDefault="004616EA" w:rsidP="00391004">
            <w:pPr>
              <w:spacing w:after="0" w:line="240" w:lineRule="auto"/>
              <w:jc w:val="center"/>
              <w:rPr>
                <w:rFonts w:ascii="Times New Roman" w:hAnsi="Times New Roman"/>
                <w:sz w:val="19"/>
                <w:szCs w:val="19"/>
                <w:lang w:val="en-US"/>
              </w:rPr>
            </w:pPr>
            <w:r w:rsidRPr="00391004">
              <w:rPr>
                <w:rFonts w:ascii="Times New Roman" w:hAnsi="Times New Roman"/>
                <w:sz w:val="19"/>
                <w:szCs w:val="19"/>
              </w:rPr>
              <w:t>0,</w:t>
            </w:r>
            <w:r w:rsidRPr="00391004">
              <w:rPr>
                <w:rFonts w:ascii="Times New Roman" w:hAnsi="Times New Roman"/>
                <w:sz w:val="19"/>
                <w:szCs w:val="19"/>
                <w:lang w:val="en-US"/>
              </w:rPr>
              <w:t>77</w:t>
            </w:r>
          </w:p>
        </w:tc>
      </w:tr>
      <w:tr w:rsidR="004616EA" w:rsidRPr="00475E67" w:rsidTr="0084791B">
        <w:tc>
          <w:tcPr>
            <w:tcW w:w="3119" w:type="dxa"/>
          </w:tcPr>
          <w:p w:rsidR="004616EA" w:rsidRPr="00391004" w:rsidRDefault="004616EA" w:rsidP="0084791B">
            <w:pPr>
              <w:spacing w:after="0" w:line="240" w:lineRule="auto"/>
              <w:rPr>
                <w:rFonts w:ascii="Times New Roman" w:hAnsi="Times New Roman"/>
                <w:sz w:val="20"/>
                <w:szCs w:val="20"/>
              </w:rPr>
            </w:pPr>
            <w:r w:rsidRPr="00391004">
              <w:rPr>
                <w:rFonts w:ascii="Times New Roman" w:hAnsi="Times New Roman"/>
                <w:sz w:val="20"/>
                <w:szCs w:val="20"/>
              </w:rPr>
              <w:t>2.1. Федеральный бюджет</w:t>
            </w:r>
          </w:p>
        </w:tc>
        <w:tc>
          <w:tcPr>
            <w:tcW w:w="992" w:type="dxa"/>
            <w:vAlign w:val="center"/>
          </w:tcPr>
          <w:p w:rsidR="004616EA" w:rsidRPr="00391004" w:rsidRDefault="004616EA" w:rsidP="0084791B">
            <w:pPr>
              <w:spacing w:after="0" w:line="240" w:lineRule="auto"/>
              <w:jc w:val="center"/>
              <w:rPr>
                <w:rFonts w:ascii="Times New Roman" w:hAnsi="Times New Roman"/>
                <w:sz w:val="19"/>
                <w:szCs w:val="19"/>
              </w:rPr>
            </w:pPr>
            <w:r w:rsidRPr="00391004">
              <w:rPr>
                <w:rFonts w:ascii="Times New Roman" w:hAnsi="Times New Roman"/>
                <w:sz w:val="19"/>
                <w:szCs w:val="19"/>
              </w:rPr>
              <w:t>80,10</w:t>
            </w:r>
          </w:p>
        </w:tc>
        <w:tc>
          <w:tcPr>
            <w:tcW w:w="1134" w:type="dxa"/>
            <w:vAlign w:val="center"/>
          </w:tcPr>
          <w:p w:rsidR="004616EA" w:rsidRPr="00391004" w:rsidRDefault="004616EA" w:rsidP="0084791B">
            <w:pPr>
              <w:spacing w:after="0" w:line="240" w:lineRule="auto"/>
              <w:jc w:val="center"/>
              <w:rPr>
                <w:rFonts w:ascii="Times New Roman" w:hAnsi="Times New Roman"/>
                <w:sz w:val="19"/>
                <w:szCs w:val="19"/>
              </w:rPr>
            </w:pPr>
            <w:r w:rsidRPr="00391004">
              <w:rPr>
                <w:rFonts w:ascii="Times New Roman" w:hAnsi="Times New Roman"/>
                <w:sz w:val="19"/>
                <w:szCs w:val="19"/>
              </w:rPr>
              <w:t>35,00</w:t>
            </w:r>
          </w:p>
        </w:tc>
        <w:tc>
          <w:tcPr>
            <w:tcW w:w="992" w:type="dxa"/>
            <w:vAlign w:val="center"/>
          </w:tcPr>
          <w:p w:rsidR="004616EA" w:rsidRPr="00391004" w:rsidRDefault="004616EA" w:rsidP="00391004">
            <w:pPr>
              <w:spacing w:after="0" w:line="240" w:lineRule="auto"/>
              <w:jc w:val="center"/>
              <w:rPr>
                <w:rFonts w:ascii="Times New Roman" w:hAnsi="Times New Roman"/>
                <w:sz w:val="19"/>
                <w:szCs w:val="19"/>
                <w:lang w:val="en-US"/>
              </w:rPr>
            </w:pPr>
            <w:r w:rsidRPr="00391004">
              <w:rPr>
                <w:rFonts w:ascii="Times New Roman" w:hAnsi="Times New Roman"/>
                <w:sz w:val="19"/>
                <w:szCs w:val="19"/>
                <w:lang w:val="en-US"/>
              </w:rPr>
              <w:t>29</w:t>
            </w:r>
            <w:r w:rsidRPr="00391004">
              <w:rPr>
                <w:rFonts w:ascii="Times New Roman" w:hAnsi="Times New Roman"/>
                <w:sz w:val="19"/>
                <w:szCs w:val="19"/>
              </w:rPr>
              <w:t>,</w:t>
            </w:r>
            <w:r w:rsidRPr="00391004">
              <w:rPr>
                <w:rFonts w:ascii="Times New Roman" w:hAnsi="Times New Roman"/>
                <w:sz w:val="19"/>
                <w:szCs w:val="19"/>
                <w:lang w:val="en-US"/>
              </w:rPr>
              <w:t>3</w:t>
            </w:r>
          </w:p>
        </w:tc>
        <w:tc>
          <w:tcPr>
            <w:tcW w:w="1134" w:type="dxa"/>
            <w:vAlign w:val="center"/>
          </w:tcPr>
          <w:p w:rsidR="004616EA" w:rsidRPr="00391004" w:rsidRDefault="004616EA" w:rsidP="0084791B">
            <w:pPr>
              <w:spacing w:after="0" w:line="240" w:lineRule="auto"/>
              <w:jc w:val="center"/>
              <w:rPr>
                <w:rFonts w:ascii="Times New Roman" w:hAnsi="Times New Roman"/>
                <w:sz w:val="19"/>
                <w:szCs w:val="19"/>
              </w:rPr>
            </w:pPr>
            <w:r w:rsidRPr="00391004">
              <w:rPr>
                <w:rFonts w:ascii="Times New Roman" w:hAnsi="Times New Roman"/>
                <w:sz w:val="19"/>
                <w:szCs w:val="19"/>
              </w:rPr>
              <w:t>0,00</w:t>
            </w:r>
          </w:p>
        </w:tc>
        <w:tc>
          <w:tcPr>
            <w:tcW w:w="993" w:type="dxa"/>
            <w:vAlign w:val="center"/>
          </w:tcPr>
          <w:p w:rsidR="004616EA" w:rsidRPr="00391004" w:rsidRDefault="004616EA" w:rsidP="0084791B">
            <w:pPr>
              <w:spacing w:after="0" w:line="240" w:lineRule="auto"/>
              <w:jc w:val="center"/>
              <w:rPr>
                <w:rFonts w:ascii="Times New Roman" w:hAnsi="Times New Roman"/>
                <w:sz w:val="19"/>
                <w:szCs w:val="19"/>
              </w:rPr>
            </w:pPr>
            <w:r w:rsidRPr="00391004">
              <w:rPr>
                <w:rFonts w:ascii="Times New Roman" w:hAnsi="Times New Roman"/>
                <w:sz w:val="19"/>
                <w:szCs w:val="19"/>
              </w:rPr>
              <w:t>0,00</w:t>
            </w:r>
          </w:p>
        </w:tc>
        <w:tc>
          <w:tcPr>
            <w:tcW w:w="992" w:type="dxa"/>
            <w:vAlign w:val="center"/>
          </w:tcPr>
          <w:p w:rsidR="004616EA" w:rsidRPr="00391004" w:rsidRDefault="004616EA" w:rsidP="0084791B">
            <w:pPr>
              <w:spacing w:after="0" w:line="240" w:lineRule="auto"/>
              <w:jc w:val="center"/>
              <w:rPr>
                <w:rFonts w:ascii="Times New Roman" w:hAnsi="Times New Roman"/>
                <w:sz w:val="19"/>
                <w:szCs w:val="19"/>
              </w:rPr>
            </w:pPr>
            <w:r w:rsidRPr="00391004">
              <w:rPr>
                <w:rFonts w:ascii="Times New Roman" w:hAnsi="Times New Roman"/>
                <w:sz w:val="19"/>
                <w:szCs w:val="19"/>
              </w:rPr>
              <w:t>0,00</w:t>
            </w:r>
          </w:p>
        </w:tc>
      </w:tr>
      <w:tr w:rsidR="004616EA" w:rsidRPr="00475E67" w:rsidTr="0084791B">
        <w:tc>
          <w:tcPr>
            <w:tcW w:w="3119" w:type="dxa"/>
          </w:tcPr>
          <w:p w:rsidR="004616EA" w:rsidRPr="00391004" w:rsidRDefault="004616EA" w:rsidP="0084791B">
            <w:pPr>
              <w:spacing w:after="0" w:line="240" w:lineRule="auto"/>
              <w:jc w:val="right"/>
              <w:rPr>
                <w:rFonts w:ascii="Times New Roman" w:hAnsi="Times New Roman"/>
                <w:sz w:val="20"/>
                <w:szCs w:val="20"/>
              </w:rPr>
            </w:pPr>
            <w:r w:rsidRPr="00391004">
              <w:rPr>
                <w:rFonts w:ascii="Times New Roman" w:hAnsi="Times New Roman"/>
                <w:sz w:val="20"/>
                <w:szCs w:val="20"/>
              </w:rPr>
              <w:t>доля в объеме бюджетных инвестиций, %</w:t>
            </w:r>
          </w:p>
        </w:tc>
        <w:tc>
          <w:tcPr>
            <w:tcW w:w="992" w:type="dxa"/>
            <w:vAlign w:val="center"/>
          </w:tcPr>
          <w:p w:rsidR="004616EA" w:rsidRPr="00391004" w:rsidRDefault="004616EA" w:rsidP="0084791B">
            <w:pPr>
              <w:spacing w:after="0" w:line="240" w:lineRule="auto"/>
              <w:jc w:val="center"/>
              <w:rPr>
                <w:rFonts w:ascii="Times New Roman" w:hAnsi="Times New Roman"/>
                <w:sz w:val="19"/>
                <w:szCs w:val="19"/>
              </w:rPr>
            </w:pPr>
            <w:r w:rsidRPr="00391004">
              <w:rPr>
                <w:rFonts w:ascii="Times New Roman" w:hAnsi="Times New Roman"/>
                <w:sz w:val="19"/>
                <w:szCs w:val="19"/>
              </w:rPr>
              <w:t>9,27</w:t>
            </w:r>
          </w:p>
        </w:tc>
        <w:tc>
          <w:tcPr>
            <w:tcW w:w="1134" w:type="dxa"/>
            <w:vAlign w:val="center"/>
          </w:tcPr>
          <w:p w:rsidR="004616EA" w:rsidRPr="00391004" w:rsidRDefault="004616EA" w:rsidP="00035190">
            <w:pPr>
              <w:spacing w:after="0" w:line="240" w:lineRule="auto"/>
              <w:jc w:val="center"/>
              <w:rPr>
                <w:rFonts w:ascii="Times New Roman" w:hAnsi="Times New Roman"/>
                <w:sz w:val="19"/>
                <w:szCs w:val="19"/>
                <w:lang w:val="en-US"/>
              </w:rPr>
            </w:pPr>
            <w:r>
              <w:rPr>
                <w:rFonts w:ascii="Times New Roman" w:hAnsi="Times New Roman"/>
                <w:sz w:val="19"/>
                <w:szCs w:val="19"/>
              </w:rPr>
              <w:t>4</w:t>
            </w:r>
            <w:r w:rsidRPr="00391004">
              <w:rPr>
                <w:rFonts w:ascii="Times New Roman" w:hAnsi="Times New Roman"/>
                <w:sz w:val="19"/>
                <w:szCs w:val="19"/>
              </w:rPr>
              <w:t>,</w:t>
            </w:r>
            <w:r>
              <w:rPr>
                <w:rFonts w:ascii="Times New Roman" w:hAnsi="Times New Roman"/>
                <w:sz w:val="19"/>
                <w:szCs w:val="19"/>
              </w:rPr>
              <w:t>98</w:t>
            </w:r>
          </w:p>
        </w:tc>
        <w:tc>
          <w:tcPr>
            <w:tcW w:w="992" w:type="dxa"/>
            <w:vAlign w:val="center"/>
          </w:tcPr>
          <w:p w:rsidR="004616EA" w:rsidRPr="00391004" w:rsidRDefault="004616EA" w:rsidP="00035190">
            <w:pPr>
              <w:spacing w:after="0" w:line="240" w:lineRule="auto"/>
              <w:jc w:val="center"/>
              <w:rPr>
                <w:rFonts w:ascii="Times New Roman" w:hAnsi="Times New Roman"/>
                <w:sz w:val="19"/>
                <w:szCs w:val="19"/>
                <w:lang w:val="en-US"/>
              </w:rPr>
            </w:pPr>
            <w:r>
              <w:rPr>
                <w:rFonts w:ascii="Times New Roman" w:hAnsi="Times New Roman"/>
                <w:sz w:val="19"/>
                <w:szCs w:val="19"/>
              </w:rPr>
              <w:t>4</w:t>
            </w:r>
            <w:r w:rsidRPr="00391004">
              <w:rPr>
                <w:rFonts w:ascii="Times New Roman" w:hAnsi="Times New Roman"/>
                <w:sz w:val="19"/>
                <w:szCs w:val="19"/>
              </w:rPr>
              <w:t>,</w:t>
            </w:r>
            <w:r>
              <w:rPr>
                <w:rFonts w:ascii="Times New Roman" w:hAnsi="Times New Roman"/>
                <w:sz w:val="19"/>
                <w:szCs w:val="19"/>
              </w:rPr>
              <w:t>07</w:t>
            </w:r>
          </w:p>
        </w:tc>
        <w:tc>
          <w:tcPr>
            <w:tcW w:w="1134" w:type="dxa"/>
            <w:vAlign w:val="center"/>
          </w:tcPr>
          <w:p w:rsidR="004616EA" w:rsidRPr="00391004" w:rsidRDefault="004616EA" w:rsidP="0084791B">
            <w:pPr>
              <w:spacing w:after="0" w:line="240" w:lineRule="auto"/>
              <w:jc w:val="center"/>
              <w:rPr>
                <w:rFonts w:ascii="Times New Roman" w:hAnsi="Times New Roman"/>
                <w:sz w:val="19"/>
                <w:szCs w:val="19"/>
              </w:rPr>
            </w:pPr>
            <w:r w:rsidRPr="00391004">
              <w:rPr>
                <w:rFonts w:ascii="Times New Roman" w:hAnsi="Times New Roman"/>
                <w:sz w:val="19"/>
                <w:szCs w:val="19"/>
              </w:rPr>
              <w:t>0,00</w:t>
            </w:r>
          </w:p>
        </w:tc>
        <w:tc>
          <w:tcPr>
            <w:tcW w:w="993" w:type="dxa"/>
            <w:vAlign w:val="center"/>
          </w:tcPr>
          <w:p w:rsidR="004616EA" w:rsidRPr="00391004" w:rsidRDefault="004616EA" w:rsidP="0084791B">
            <w:pPr>
              <w:spacing w:after="0" w:line="240" w:lineRule="auto"/>
              <w:jc w:val="center"/>
              <w:rPr>
                <w:rFonts w:ascii="Times New Roman" w:hAnsi="Times New Roman"/>
                <w:sz w:val="19"/>
                <w:szCs w:val="19"/>
              </w:rPr>
            </w:pPr>
            <w:r w:rsidRPr="00391004">
              <w:rPr>
                <w:rFonts w:ascii="Times New Roman" w:hAnsi="Times New Roman"/>
                <w:sz w:val="19"/>
                <w:szCs w:val="19"/>
              </w:rPr>
              <w:t>0,00</w:t>
            </w:r>
          </w:p>
        </w:tc>
        <w:tc>
          <w:tcPr>
            <w:tcW w:w="992" w:type="dxa"/>
            <w:vAlign w:val="center"/>
          </w:tcPr>
          <w:p w:rsidR="004616EA" w:rsidRPr="00391004" w:rsidRDefault="004616EA" w:rsidP="0084791B">
            <w:pPr>
              <w:spacing w:after="0" w:line="240" w:lineRule="auto"/>
              <w:jc w:val="center"/>
              <w:rPr>
                <w:rFonts w:ascii="Times New Roman" w:hAnsi="Times New Roman"/>
                <w:sz w:val="19"/>
                <w:szCs w:val="19"/>
              </w:rPr>
            </w:pPr>
            <w:r w:rsidRPr="00391004">
              <w:rPr>
                <w:rFonts w:ascii="Times New Roman" w:hAnsi="Times New Roman"/>
                <w:sz w:val="19"/>
                <w:szCs w:val="19"/>
              </w:rPr>
              <w:t>0,00</w:t>
            </w:r>
          </w:p>
        </w:tc>
      </w:tr>
      <w:tr w:rsidR="004616EA" w:rsidRPr="00475E67" w:rsidTr="0084791B">
        <w:tc>
          <w:tcPr>
            <w:tcW w:w="3119" w:type="dxa"/>
          </w:tcPr>
          <w:p w:rsidR="004616EA" w:rsidRPr="00035190" w:rsidRDefault="004616EA" w:rsidP="0084791B">
            <w:pPr>
              <w:spacing w:after="0" w:line="240" w:lineRule="auto"/>
              <w:rPr>
                <w:rFonts w:ascii="Times New Roman" w:hAnsi="Times New Roman"/>
                <w:sz w:val="20"/>
                <w:szCs w:val="20"/>
              </w:rPr>
            </w:pPr>
            <w:r w:rsidRPr="00035190">
              <w:rPr>
                <w:rFonts w:ascii="Times New Roman" w:hAnsi="Times New Roman"/>
                <w:sz w:val="20"/>
                <w:szCs w:val="20"/>
              </w:rPr>
              <w:t>2.2. Окружной бюджет</w:t>
            </w:r>
          </w:p>
        </w:tc>
        <w:tc>
          <w:tcPr>
            <w:tcW w:w="992" w:type="dxa"/>
            <w:vAlign w:val="center"/>
          </w:tcPr>
          <w:p w:rsidR="004616EA" w:rsidRPr="00035190" w:rsidRDefault="004616EA" w:rsidP="0084791B">
            <w:pPr>
              <w:spacing w:after="0" w:line="240" w:lineRule="auto"/>
              <w:jc w:val="center"/>
              <w:rPr>
                <w:rFonts w:ascii="Times New Roman" w:hAnsi="Times New Roman"/>
                <w:sz w:val="19"/>
                <w:szCs w:val="19"/>
              </w:rPr>
            </w:pPr>
            <w:r w:rsidRPr="00035190">
              <w:rPr>
                <w:rFonts w:ascii="Times New Roman" w:hAnsi="Times New Roman"/>
                <w:sz w:val="19"/>
                <w:szCs w:val="19"/>
              </w:rPr>
              <w:t>307,70</w:t>
            </w:r>
          </w:p>
        </w:tc>
        <w:tc>
          <w:tcPr>
            <w:tcW w:w="1134" w:type="dxa"/>
            <w:vAlign w:val="center"/>
          </w:tcPr>
          <w:p w:rsidR="004616EA" w:rsidRPr="00035190" w:rsidRDefault="004616EA" w:rsidP="00391004">
            <w:pPr>
              <w:spacing w:after="0" w:line="240" w:lineRule="auto"/>
              <w:jc w:val="center"/>
              <w:rPr>
                <w:rFonts w:ascii="Times New Roman" w:hAnsi="Times New Roman"/>
                <w:sz w:val="19"/>
                <w:szCs w:val="19"/>
                <w:lang w:val="en-US"/>
              </w:rPr>
            </w:pPr>
            <w:r w:rsidRPr="00035190">
              <w:rPr>
                <w:rFonts w:ascii="Times New Roman" w:hAnsi="Times New Roman"/>
                <w:sz w:val="19"/>
                <w:szCs w:val="19"/>
              </w:rPr>
              <w:t>3</w:t>
            </w:r>
            <w:r w:rsidRPr="00035190">
              <w:rPr>
                <w:rFonts w:ascii="Times New Roman" w:hAnsi="Times New Roman"/>
                <w:sz w:val="19"/>
                <w:szCs w:val="19"/>
                <w:lang w:val="en-US"/>
              </w:rPr>
              <w:t>63</w:t>
            </w:r>
            <w:r w:rsidRPr="00035190">
              <w:rPr>
                <w:rFonts w:ascii="Times New Roman" w:hAnsi="Times New Roman"/>
                <w:sz w:val="19"/>
                <w:szCs w:val="19"/>
              </w:rPr>
              <w:t>,</w:t>
            </w:r>
            <w:r w:rsidRPr="00035190">
              <w:rPr>
                <w:rFonts w:ascii="Times New Roman" w:hAnsi="Times New Roman"/>
                <w:sz w:val="19"/>
                <w:szCs w:val="19"/>
                <w:lang w:val="en-US"/>
              </w:rPr>
              <w:t>4</w:t>
            </w:r>
          </w:p>
        </w:tc>
        <w:tc>
          <w:tcPr>
            <w:tcW w:w="992" w:type="dxa"/>
            <w:vAlign w:val="center"/>
          </w:tcPr>
          <w:p w:rsidR="004616EA" w:rsidRPr="00035190" w:rsidRDefault="004616EA" w:rsidP="00391004">
            <w:pPr>
              <w:spacing w:after="0" w:line="240" w:lineRule="auto"/>
              <w:jc w:val="center"/>
              <w:rPr>
                <w:rFonts w:ascii="Times New Roman" w:hAnsi="Times New Roman"/>
                <w:sz w:val="19"/>
                <w:szCs w:val="19"/>
                <w:lang w:val="en-US"/>
              </w:rPr>
            </w:pPr>
            <w:r w:rsidRPr="00035190">
              <w:rPr>
                <w:rFonts w:ascii="Times New Roman" w:hAnsi="Times New Roman"/>
                <w:sz w:val="19"/>
                <w:szCs w:val="19"/>
                <w:lang w:val="en-US"/>
              </w:rPr>
              <w:t>337</w:t>
            </w:r>
            <w:r w:rsidRPr="00035190">
              <w:rPr>
                <w:rFonts w:ascii="Times New Roman" w:hAnsi="Times New Roman"/>
                <w:sz w:val="19"/>
                <w:szCs w:val="19"/>
              </w:rPr>
              <w:t>,</w:t>
            </w:r>
            <w:r w:rsidRPr="00035190">
              <w:rPr>
                <w:rFonts w:ascii="Times New Roman" w:hAnsi="Times New Roman"/>
                <w:sz w:val="19"/>
                <w:szCs w:val="19"/>
                <w:lang w:val="en-US"/>
              </w:rPr>
              <w:t>7</w:t>
            </w:r>
          </w:p>
        </w:tc>
        <w:tc>
          <w:tcPr>
            <w:tcW w:w="1134" w:type="dxa"/>
            <w:vAlign w:val="center"/>
          </w:tcPr>
          <w:p w:rsidR="004616EA" w:rsidRPr="00035190" w:rsidRDefault="004616EA" w:rsidP="0084791B">
            <w:pPr>
              <w:spacing w:after="0" w:line="240" w:lineRule="auto"/>
              <w:jc w:val="center"/>
              <w:rPr>
                <w:rFonts w:ascii="Times New Roman" w:hAnsi="Times New Roman"/>
                <w:sz w:val="19"/>
                <w:szCs w:val="19"/>
                <w:lang w:val="en-US"/>
              </w:rPr>
            </w:pPr>
            <w:r w:rsidRPr="00035190">
              <w:rPr>
                <w:rFonts w:ascii="Times New Roman" w:hAnsi="Times New Roman"/>
                <w:sz w:val="19"/>
                <w:szCs w:val="19"/>
                <w:lang w:val="en-US"/>
              </w:rPr>
              <w:t>81</w:t>
            </w:r>
          </w:p>
        </w:tc>
        <w:tc>
          <w:tcPr>
            <w:tcW w:w="993" w:type="dxa"/>
            <w:vAlign w:val="center"/>
          </w:tcPr>
          <w:p w:rsidR="004616EA" w:rsidRPr="00035190" w:rsidRDefault="004616EA" w:rsidP="00391004">
            <w:pPr>
              <w:spacing w:after="0" w:line="240" w:lineRule="auto"/>
              <w:jc w:val="center"/>
              <w:rPr>
                <w:rFonts w:ascii="Times New Roman" w:hAnsi="Times New Roman"/>
                <w:sz w:val="19"/>
                <w:szCs w:val="19"/>
                <w:lang w:val="en-US"/>
              </w:rPr>
            </w:pPr>
            <w:r w:rsidRPr="00035190">
              <w:rPr>
                <w:rFonts w:ascii="Times New Roman" w:hAnsi="Times New Roman"/>
                <w:sz w:val="19"/>
                <w:szCs w:val="19"/>
              </w:rPr>
              <w:t>1</w:t>
            </w:r>
            <w:r w:rsidRPr="00035190">
              <w:rPr>
                <w:rFonts w:ascii="Times New Roman" w:hAnsi="Times New Roman"/>
                <w:sz w:val="19"/>
                <w:szCs w:val="19"/>
                <w:lang w:val="en-US"/>
              </w:rPr>
              <w:t>46</w:t>
            </w:r>
            <w:r w:rsidRPr="00035190">
              <w:rPr>
                <w:rFonts w:ascii="Times New Roman" w:hAnsi="Times New Roman"/>
                <w:sz w:val="19"/>
                <w:szCs w:val="19"/>
              </w:rPr>
              <w:t>,</w:t>
            </w:r>
            <w:r w:rsidRPr="00035190">
              <w:rPr>
                <w:rFonts w:ascii="Times New Roman" w:hAnsi="Times New Roman"/>
                <w:sz w:val="19"/>
                <w:szCs w:val="19"/>
                <w:lang w:val="en-US"/>
              </w:rPr>
              <w:t>3</w:t>
            </w:r>
          </w:p>
        </w:tc>
        <w:tc>
          <w:tcPr>
            <w:tcW w:w="992" w:type="dxa"/>
            <w:vAlign w:val="center"/>
          </w:tcPr>
          <w:p w:rsidR="004616EA" w:rsidRPr="00035190" w:rsidRDefault="004616EA" w:rsidP="00391004">
            <w:pPr>
              <w:spacing w:after="0" w:line="240" w:lineRule="auto"/>
              <w:jc w:val="center"/>
              <w:rPr>
                <w:rFonts w:ascii="Times New Roman" w:hAnsi="Times New Roman"/>
                <w:sz w:val="19"/>
                <w:szCs w:val="19"/>
              </w:rPr>
            </w:pPr>
            <w:r w:rsidRPr="00035190">
              <w:rPr>
                <w:rFonts w:ascii="Times New Roman" w:hAnsi="Times New Roman"/>
                <w:sz w:val="19"/>
                <w:szCs w:val="19"/>
                <w:lang w:val="en-US"/>
              </w:rPr>
              <w:t>113</w:t>
            </w:r>
            <w:r w:rsidRPr="00035190">
              <w:rPr>
                <w:rFonts w:ascii="Times New Roman" w:hAnsi="Times New Roman"/>
                <w:sz w:val="19"/>
                <w:szCs w:val="19"/>
              </w:rPr>
              <w:t>,</w:t>
            </w:r>
            <w:r w:rsidRPr="00035190">
              <w:rPr>
                <w:rFonts w:ascii="Times New Roman" w:hAnsi="Times New Roman"/>
                <w:sz w:val="19"/>
                <w:szCs w:val="19"/>
                <w:lang w:val="en-US"/>
              </w:rPr>
              <w:t>2</w:t>
            </w:r>
          </w:p>
        </w:tc>
      </w:tr>
      <w:tr w:rsidR="004616EA" w:rsidRPr="00475E67" w:rsidTr="0084791B">
        <w:tc>
          <w:tcPr>
            <w:tcW w:w="3119" w:type="dxa"/>
          </w:tcPr>
          <w:p w:rsidR="004616EA" w:rsidRPr="00035190" w:rsidRDefault="004616EA" w:rsidP="0084791B">
            <w:pPr>
              <w:spacing w:after="0" w:line="240" w:lineRule="auto"/>
              <w:jc w:val="right"/>
              <w:rPr>
                <w:rFonts w:ascii="Times New Roman" w:hAnsi="Times New Roman"/>
                <w:sz w:val="20"/>
                <w:szCs w:val="20"/>
              </w:rPr>
            </w:pPr>
            <w:r w:rsidRPr="00035190">
              <w:rPr>
                <w:rFonts w:ascii="Times New Roman" w:hAnsi="Times New Roman"/>
                <w:sz w:val="20"/>
                <w:szCs w:val="20"/>
              </w:rPr>
              <w:t>доля в объеме бюджетных инвестиций, %</w:t>
            </w:r>
          </w:p>
        </w:tc>
        <w:tc>
          <w:tcPr>
            <w:tcW w:w="992" w:type="dxa"/>
            <w:vAlign w:val="center"/>
          </w:tcPr>
          <w:p w:rsidR="004616EA" w:rsidRPr="00035190" w:rsidRDefault="004616EA" w:rsidP="0084791B">
            <w:pPr>
              <w:spacing w:after="0" w:line="240" w:lineRule="auto"/>
              <w:jc w:val="center"/>
              <w:rPr>
                <w:rFonts w:ascii="Times New Roman" w:hAnsi="Times New Roman"/>
                <w:sz w:val="19"/>
                <w:szCs w:val="19"/>
              </w:rPr>
            </w:pPr>
            <w:r w:rsidRPr="00035190">
              <w:rPr>
                <w:rFonts w:ascii="Times New Roman" w:hAnsi="Times New Roman"/>
                <w:sz w:val="19"/>
                <w:szCs w:val="19"/>
              </w:rPr>
              <w:t>35,59</w:t>
            </w:r>
          </w:p>
        </w:tc>
        <w:tc>
          <w:tcPr>
            <w:tcW w:w="1134" w:type="dxa"/>
            <w:vAlign w:val="center"/>
          </w:tcPr>
          <w:p w:rsidR="004616EA" w:rsidRPr="00035190" w:rsidRDefault="004616EA" w:rsidP="00035190">
            <w:pPr>
              <w:spacing w:after="0" w:line="240" w:lineRule="auto"/>
              <w:jc w:val="center"/>
              <w:rPr>
                <w:rFonts w:ascii="Times New Roman" w:hAnsi="Times New Roman"/>
                <w:sz w:val="19"/>
                <w:szCs w:val="19"/>
              </w:rPr>
            </w:pPr>
            <w:r>
              <w:rPr>
                <w:rFonts w:ascii="Times New Roman" w:hAnsi="Times New Roman"/>
                <w:sz w:val="19"/>
                <w:szCs w:val="19"/>
              </w:rPr>
              <w:t>51</w:t>
            </w:r>
            <w:r w:rsidRPr="00035190">
              <w:rPr>
                <w:rFonts w:ascii="Times New Roman" w:hAnsi="Times New Roman"/>
                <w:sz w:val="19"/>
                <w:szCs w:val="19"/>
              </w:rPr>
              <w:t>,</w:t>
            </w:r>
            <w:r>
              <w:rPr>
                <w:rFonts w:ascii="Times New Roman" w:hAnsi="Times New Roman"/>
                <w:sz w:val="19"/>
                <w:szCs w:val="19"/>
              </w:rPr>
              <w:t>69</w:t>
            </w:r>
          </w:p>
        </w:tc>
        <w:tc>
          <w:tcPr>
            <w:tcW w:w="992" w:type="dxa"/>
            <w:vAlign w:val="center"/>
          </w:tcPr>
          <w:p w:rsidR="004616EA" w:rsidRPr="00035190" w:rsidRDefault="004616EA" w:rsidP="00035190">
            <w:pPr>
              <w:spacing w:after="0" w:line="240" w:lineRule="auto"/>
              <w:jc w:val="center"/>
              <w:rPr>
                <w:rFonts w:ascii="Times New Roman" w:hAnsi="Times New Roman"/>
                <w:sz w:val="19"/>
                <w:szCs w:val="19"/>
              </w:rPr>
            </w:pPr>
            <w:r>
              <w:rPr>
                <w:rFonts w:ascii="Times New Roman" w:hAnsi="Times New Roman"/>
                <w:sz w:val="19"/>
                <w:szCs w:val="19"/>
              </w:rPr>
              <w:t>46</w:t>
            </w:r>
            <w:r w:rsidRPr="00035190">
              <w:rPr>
                <w:rFonts w:ascii="Times New Roman" w:hAnsi="Times New Roman"/>
                <w:sz w:val="19"/>
                <w:szCs w:val="19"/>
              </w:rPr>
              <w:t>,</w:t>
            </w:r>
            <w:r>
              <w:rPr>
                <w:rFonts w:ascii="Times New Roman" w:hAnsi="Times New Roman"/>
                <w:sz w:val="19"/>
                <w:szCs w:val="19"/>
              </w:rPr>
              <w:t>95</w:t>
            </w:r>
          </w:p>
        </w:tc>
        <w:tc>
          <w:tcPr>
            <w:tcW w:w="1134" w:type="dxa"/>
            <w:vAlign w:val="center"/>
          </w:tcPr>
          <w:p w:rsidR="004616EA" w:rsidRPr="00035190" w:rsidRDefault="004616EA" w:rsidP="00035190">
            <w:pPr>
              <w:spacing w:after="0" w:line="240" w:lineRule="auto"/>
              <w:jc w:val="center"/>
              <w:rPr>
                <w:rFonts w:ascii="Times New Roman" w:hAnsi="Times New Roman"/>
                <w:sz w:val="19"/>
                <w:szCs w:val="19"/>
              </w:rPr>
            </w:pPr>
            <w:r>
              <w:rPr>
                <w:rFonts w:ascii="Times New Roman" w:hAnsi="Times New Roman"/>
                <w:sz w:val="19"/>
                <w:szCs w:val="19"/>
              </w:rPr>
              <w:t>28</w:t>
            </w:r>
            <w:r w:rsidRPr="00035190">
              <w:rPr>
                <w:rFonts w:ascii="Times New Roman" w:hAnsi="Times New Roman"/>
                <w:sz w:val="19"/>
                <w:szCs w:val="19"/>
              </w:rPr>
              <w:t>,</w:t>
            </w:r>
            <w:r>
              <w:rPr>
                <w:rFonts w:ascii="Times New Roman" w:hAnsi="Times New Roman"/>
                <w:sz w:val="19"/>
                <w:szCs w:val="19"/>
              </w:rPr>
              <w:t>11</w:t>
            </w:r>
          </w:p>
        </w:tc>
        <w:tc>
          <w:tcPr>
            <w:tcW w:w="993" w:type="dxa"/>
            <w:vAlign w:val="center"/>
          </w:tcPr>
          <w:p w:rsidR="004616EA" w:rsidRPr="00035190" w:rsidRDefault="004616EA" w:rsidP="00035190">
            <w:pPr>
              <w:spacing w:after="0" w:line="240" w:lineRule="auto"/>
              <w:jc w:val="center"/>
              <w:rPr>
                <w:rFonts w:ascii="Times New Roman" w:hAnsi="Times New Roman"/>
                <w:sz w:val="19"/>
                <w:szCs w:val="19"/>
              </w:rPr>
            </w:pPr>
            <w:r>
              <w:rPr>
                <w:rFonts w:ascii="Times New Roman" w:hAnsi="Times New Roman"/>
                <w:sz w:val="19"/>
                <w:szCs w:val="19"/>
              </w:rPr>
              <w:t>77</w:t>
            </w:r>
            <w:r w:rsidRPr="00035190">
              <w:rPr>
                <w:rFonts w:ascii="Times New Roman" w:hAnsi="Times New Roman"/>
                <w:sz w:val="19"/>
                <w:szCs w:val="19"/>
              </w:rPr>
              <w:t>,</w:t>
            </w:r>
            <w:r>
              <w:rPr>
                <w:rFonts w:ascii="Times New Roman" w:hAnsi="Times New Roman"/>
                <w:sz w:val="19"/>
                <w:szCs w:val="19"/>
              </w:rPr>
              <w:t>24</w:t>
            </w:r>
          </w:p>
        </w:tc>
        <w:tc>
          <w:tcPr>
            <w:tcW w:w="992" w:type="dxa"/>
            <w:vAlign w:val="center"/>
          </w:tcPr>
          <w:p w:rsidR="004616EA" w:rsidRPr="00035190" w:rsidRDefault="004616EA" w:rsidP="00035190">
            <w:pPr>
              <w:spacing w:after="0" w:line="240" w:lineRule="auto"/>
              <w:jc w:val="center"/>
              <w:rPr>
                <w:rFonts w:ascii="Times New Roman" w:hAnsi="Times New Roman"/>
                <w:sz w:val="19"/>
                <w:szCs w:val="19"/>
              </w:rPr>
            </w:pPr>
            <w:r>
              <w:rPr>
                <w:rFonts w:ascii="Times New Roman" w:hAnsi="Times New Roman"/>
                <w:sz w:val="19"/>
                <w:szCs w:val="19"/>
              </w:rPr>
              <w:t>85</w:t>
            </w:r>
            <w:r w:rsidRPr="00035190">
              <w:rPr>
                <w:rFonts w:ascii="Times New Roman" w:hAnsi="Times New Roman"/>
                <w:sz w:val="19"/>
                <w:szCs w:val="19"/>
              </w:rPr>
              <w:t>,</w:t>
            </w:r>
            <w:r>
              <w:rPr>
                <w:rFonts w:ascii="Times New Roman" w:hAnsi="Times New Roman"/>
                <w:sz w:val="19"/>
                <w:szCs w:val="19"/>
              </w:rPr>
              <w:t>75</w:t>
            </w:r>
          </w:p>
        </w:tc>
      </w:tr>
      <w:tr w:rsidR="004616EA" w:rsidRPr="00475E67" w:rsidTr="0084791B">
        <w:tc>
          <w:tcPr>
            <w:tcW w:w="3119" w:type="dxa"/>
          </w:tcPr>
          <w:p w:rsidR="004616EA" w:rsidRPr="00035190" w:rsidRDefault="004616EA" w:rsidP="0084791B">
            <w:pPr>
              <w:spacing w:after="0" w:line="240" w:lineRule="auto"/>
              <w:rPr>
                <w:rFonts w:ascii="Times New Roman" w:hAnsi="Times New Roman"/>
                <w:sz w:val="20"/>
                <w:szCs w:val="20"/>
              </w:rPr>
            </w:pPr>
            <w:r w:rsidRPr="00035190">
              <w:rPr>
                <w:rFonts w:ascii="Times New Roman" w:hAnsi="Times New Roman"/>
                <w:sz w:val="20"/>
                <w:szCs w:val="20"/>
              </w:rPr>
              <w:t>2.3. Муниципальный бюджет</w:t>
            </w:r>
          </w:p>
        </w:tc>
        <w:tc>
          <w:tcPr>
            <w:tcW w:w="992" w:type="dxa"/>
            <w:vAlign w:val="center"/>
          </w:tcPr>
          <w:p w:rsidR="004616EA" w:rsidRPr="00035190" w:rsidRDefault="004616EA" w:rsidP="00035190">
            <w:pPr>
              <w:spacing w:after="0" w:line="240" w:lineRule="auto"/>
              <w:jc w:val="center"/>
              <w:rPr>
                <w:rFonts w:ascii="Times New Roman" w:hAnsi="Times New Roman"/>
                <w:sz w:val="19"/>
                <w:szCs w:val="19"/>
              </w:rPr>
            </w:pPr>
            <w:r w:rsidRPr="00035190">
              <w:rPr>
                <w:rFonts w:ascii="Times New Roman" w:hAnsi="Times New Roman"/>
                <w:sz w:val="19"/>
                <w:szCs w:val="19"/>
              </w:rPr>
              <w:t>476,7</w:t>
            </w:r>
          </w:p>
        </w:tc>
        <w:tc>
          <w:tcPr>
            <w:tcW w:w="1134" w:type="dxa"/>
            <w:vAlign w:val="center"/>
          </w:tcPr>
          <w:p w:rsidR="004616EA" w:rsidRPr="00035190" w:rsidRDefault="004616EA" w:rsidP="00035190">
            <w:pPr>
              <w:spacing w:after="0" w:line="240" w:lineRule="auto"/>
              <w:jc w:val="center"/>
              <w:rPr>
                <w:rFonts w:ascii="Times New Roman" w:hAnsi="Times New Roman"/>
                <w:sz w:val="19"/>
                <w:szCs w:val="19"/>
              </w:rPr>
            </w:pPr>
            <w:r w:rsidRPr="00035190">
              <w:rPr>
                <w:rFonts w:ascii="Times New Roman" w:hAnsi="Times New Roman"/>
                <w:sz w:val="19"/>
                <w:szCs w:val="19"/>
              </w:rPr>
              <w:t>304,6</w:t>
            </w:r>
          </w:p>
        </w:tc>
        <w:tc>
          <w:tcPr>
            <w:tcW w:w="992" w:type="dxa"/>
            <w:vAlign w:val="center"/>
          </w:tcPr>
          <w:p w:rsidR="004616EA" w:rsidRPr="00035190" w:rsidRDefault="004616EA" w:rsidP="00035190">
            <w:pPr>
              <w:spacing w:after="0" w:line="240" w:lineRule="auto"/>
              <w:jc w:val="center"/>
              <w:rPr>
                <w:rFonts w:ascii="Times New Roman" w:hAnsi="Times New Roman"/>
                <w:sz w:val="19"/>
                <w:szCs w:val="19"/>
              </w:rPr>
            </w:pPr>
            <w:r w:rsidRPr="00035190">
              <w:rPr>
                <w:rFonts w:ascii="Times New Roman" w:hAnsi="Times New Roman"/>
                <w:sz w:val="19"/>
                <w:szCs w:val="19"/>
              </w:rPr>
              <w:t>352,3</w:t>
            </w:r>
          </w:p>
        </w:tc>
        <w:tc>
          <w:tcPr>
            <w:tcW w:w="1134" w:type="dxa"/>
            <w:vAlign w:val="center"/>
          </w:tcPr>
          <w:p w:rsidR="004616EA" w:rsidRPr="00035190" w:rsidRDefault="004616EA" w:rsidP="00035190">
            <w:pPr>
              <w:spacing w:after="0" w:line="240" w:lineRule="auto"/>
              <w:jc w:val="center"/>
              <w:rPr>
                <w:rFonts w:ascii="Times New Roman" w:hAnsi="Times New Roman"/>
                <w:sz w:val="19"/>
                <w:szCs w:val="19"/>
              </w:rPr>
            </w:pPr>
            <w:r w:rsidRPr="00035190">
              <w:rPr>
                <w:rFonts w:ascii="Times New Roman" w:hAnsi="Times New Roman"/>
                <w:sz w:val="19"/>
                <w:szCs w:val="19"/>
              </w:rPr>
              <w:t>207,2</w:t>
            </w:r>
          </w:p>
        </w:tc>
        <w:tc>
          <w:tcPr>
            <w:tcW w:w="993" w:type="dxa"/>
            <w:vAlign w:val="center"/>
          </w:tcPr>
          <w:p w:rsidR="004616EA" w:rsidRPr="00035190" w:rsidRDefault="004616EA" w:rsidP="00035190">
            <w:pPr>
              <w:spacing w:after="0" w:line="240" w:lineRule="auto"/>
              <w:jc w:val="center"/>
              <w:rPr>
                <w:rFonts w:ascii="Times New Roman" w:hAnsi="Times New Roman"/>
                <w:sz w:val="19"/>
                <w:szCs w:val="19"/>
              </w:rPr>
            </w:pPr>
            <w:r w:rsidRPr="00035190">
              <w:rPr>
                <w:rFonts w:ascii="Times New Roman" w:hAnsi="Times New Roman"/>
                <w:sz w:val="19"/>
                <w:szCs w:val="19"/>
              </w:rPr>
              <w:t>43,1</w:t>
            </w:r>
          </w:p>
        </w:tc>
        <w:tc>
          <w:tcPr>
            <w:tcW w:w="992" w:type="dxa"/>
            <w:vAlign w:val="center"/>
          </w:tcPr>
          <w:p w:rsidR="004616EA" w:rsidRPr="00035190" w:rsidRDefault="004616EA" w:rsidP="00035190">
            <w:pPr>
              <w:spacing w:after="0" w:line="240" w:lineRule="auto"/>
              <w:jc w:val="center"/>
              <w:rPr>
                <w:rFonts w:ascii="Times New Roman" w:hAnsi="Times New Roman"/>
                <w:sz w:val="19"/>
                <w:szCs w:val="19"/>
              </w:rPr>
            </w:pPr>
            <w:r w:rsidRPr="00035190">
              <w:rPr>
                <w:rFonts w:ascii="Times New Roman" w:hAnsi="Times New Roman"/>
                <w:sz w:val="19"/>
                <w:szCs w:val="19"/>
              </w:rPr>
              <w:t>18,8</w:t>
            </w:r>
          </w:p>
        </w:tc>
      </w:tr>
      <w:tr w:rsidR="004616EA" w:rsidRPr="00035190" w:rsidTr="0084791B">
        <w:tc>
          <w:tcPr>
            <w:tcW w:w="3119" w:type="dxa"/>
          </w:tcPr>
          <w:p w:rsidR="004616EA" w:rsidRPr="00035190" w:rsidRDefault="004616EA" w:rsidP="0084791B">
            <w:pPr>
              <w:spacing w:after="0" w:line="240" w:lineRule="auto"/>
              <w:jc w:val="right"/>
              <w:rPr>
                <w:rFonts w:ascii="Times New Roman" w:hAnsi="Times New Roman"/>
                <w:sz w:val="20"/>
                <w:szCs w:val="20"/>
              </w:rPr>
            </w:pPr>
            <w:r w:rsidRPr="00035190">
              <w:rPr>
                <w:rFonts w:ascii="Times New Roman" w:hAnsi="Times New Roman"/>
                <w:sz w:val="20"/>
                <w:szCs w:val="20"/>
              </w:rPr>
              <w:t>доля в объеме бюджетных инвестиций, %</w:t>
            </w:r>
          </w:p>
        </w:tc>
        <w:tc>
          <w:tcPr>
            <w:tcW w:w="992" w:type="dxa"/>
            <w:vAlign w:val="center"/>
          </w:tcPr>
          <w:p w:rsidR="004616EA" w:rsidRPr="00035190" w:rsidRDefault="004616EA" w:rsidP="0084791B">
            <w:pPr>
              <w:spacing w:after="0" w:line="240" w:lineRule="auto"/>
              <w:jc w:val="center"/>
              <w:rPr>
                <w:rFonts w:ascii="Times New Roman" w:hAnsi="Times New Roman"/>
                <w:sz w:val="19"/>
                <w:szCs w:val="19"/>
              </w:rPr>
            </w:pPr>
            <w:r w:rsidRPr="00035190">
              <w:rPr>
                <w:rFonts w:ascii="Times New Roman" w:hAnsi="Times New Roman"/>
                <w:sz w:val="19"/>
                <w:szCs w:val="19"/>
              </w:rPr>
              <w:t>55,14</w:t>
            </w:r>
          </w:p>
        </w:tc>
        <w:tc>
          <w:tcPr>
            <w:tcW w:w="1134" w:type="dxa"/>
            <w:vAlign w:val="center"/>
          </w:tcPr>
          <w:p w:rsidR="004616EA" w:rsidRPr="00035190" w:rsidRDefault="004616EA" w:rsidP="00035190">
            <w:pPr>
              <w:spacing w:after="0" w:line="240" w:lineRule="auto"/>
              <w:jc w:val="center"/>
              <w:rPr>
                <w:rFonts w:ascii="Times New Roman" w:hAnsi="Times New Roman"/>
                <w:sz w:val="19"/>
                <w:szCs w:val="19"/>
              </w:rPr>
            </w:pPr>
            <w:r w:rsidRPr="00035190">
              <w:rPr>
                <w:rFonts w:ascii="Times New Roman" w:hAnsi="Times New Roman"/>
                <w:sz w:val="19"/>
                <w:szCs w:val="19"/>
              </w:rPr>
              <w:t>43,33</w:t>
            </w:r>
          </w:p>
        </w:tc>
        <w:tc>
          <w:tcPr>
            <w:tcW w:w="992" w:type="dxa"/>
            <w:vAlign w:val="center"/>
          </w:tcPr>
          <w:p w:rsidR="004616EA" w:rsidRPr="00035190" w:rsidRDefault="004616EA" w:rsidP="00035190">
            <w:pPr>
              <w:spacing w:after="0" w:line="240" w:lineRule="auto"/>
              <w:jc w:val="center"/>
              <w:rPr>
                <w:rFonts w:ascii="Times New Roman" w:hAnsi="Times New Roman"/>
                <w:sz w:val="19"/>
                <w:szCs w:val="19"/>
              </w:rPr>
            </w:pPr>
            <w:r w:rsidRPr="00035190">
              <w:rPr>
                <w:rFonts w:ascii="Times New Roman" w:hAnsi="Times New Roman"/>
                <w:sz w:val="19"/>
                <w:szCs w:val="19"/>
              </w:rPr>
              <w:t>48,98</w:t>
            </w:r>
          </w:p>
        </w:tc>
        <w:tc>
          <w:tcPr>
            <w:tcW w:w="1134" w:type="dxa"/>
            <w:vAlign w:val="center"/>
          </w:tcPr>
          <w:p w:rsidR="004616EA" w:rsidRPr="00035190" w:rsidRDefault="004616EA" w:rsidP="00035190">
            <w:pPr>
              <w:spacing w:after="0" w:line="240" w:lineRule="auto"/>
              <w:jc w:val="center"/>
              <w:rPr>
                <w:rFonts w:ascii="Times New Roman" w:hAnsi="Times New Roman"/>
                <w:sz w:val="19"/>
                <w:szCs w:val="19"/>
              </w:rPr>
            </w:pPr>
            <w:r w:rsidRPr="00035190">
              <w:rPr>
                <w:rFonts w:ascii="Times New Roman" w:hAnsi="Times New Roman"/>
                <w:sz w:val="19"/>
                <w:szCs w:val="19"/>
              </w:rPr>
              <w:t>71,89</w:t>
            </w:r>
          </w:p>
        </w:tc>
        <w:tc>
          <w:tcPr>
            <w:tcW w:w="993" w:type="dxa"/>
            <w:vAlign w:val="center"/>
          </w:tcPr>
          <w:p w:rsidR="004616EA" w:rsidRPr="00035190" w:rsidRDefault="004616EA" w:rsidP="00035190">
            <w:pPr>
              <w:spacing w:after="0" w:line="240" w:lineRule="auto"/>
              <w:jc w:val="center"/>
              <w:rPr>
                <w:rFonts w:ascii="Times New Roman" w:hAnsi="Times New Roman"/>
                <w:sz w:val="19"/>
                <w:szCs w:val="19"/>
              </w:rPr>
            </w:pPr>
            <w:r w:rsidRPr="00035190">
              <w:rPr>
                <w:rFonts w:ascii="Times New Roman" w:hAnsi="Times New Roman"/>
                <w:sz w:val="19"/>
                <w:szCs w:val="19"/>
              </w:rPr>
              <w:t>22,76</w:t>
            </w:r>
          </w:p>
        </w:tc>
        <w:tc>
          <w:tcPr>
            <w:tcW w:w="992" w:type="dxa"/>
            <w:vAlign w:val="center"/>
          </w:tcPr>
          <w:p w:rsidR="004616EA" w:rsidRPr="00035190" w:rsidRDefault="004616EA" w:rsidP="00035190">
            <w:pPr>
              <w:spacing w:after="0" w:line="240" w:lineRule="auto"/>
              <w:jc w:val="center"/>
              <w:rPr>
                <w:rFonts w:ascii="Times New Roman" w:hAnsi="Times New Roman"/>
                <w:sz w:val="19"/>
                <w:szCs w:val="19"/>
              </w:rPr>
            </w:pPr>
            <w:r w:rsidRPr="00035190">
              <w:rPr>
                <w:rFonts w:ascii="Times New Roman" w:hAnsi="Times New Roman"/>
                <w:sz w:val="19"/>
                <w:szCs w:val="19"/>
              </w:rPr>
              <w:t>14,24</w:t>
            </w:r>
          </w:p>
        </w:tc>
      </w:tr>
      <w:tr w:rsidR="004616EA" w:rsidRPr="00475E67" w:rsidTr="0084791B">
        <w:tc>
          <w:tcPr>
            <w:tcW w:w="3119" w:type="dxa"/>
          </w:tcPr>
          <w:p w:rsidR="004616EA" w:rsidRPr="00DF2343" w:rsidRDefault="004616EA" w:rsidP="0084791B">
            <w:pPr>
              <w:spacing w:after="0" w:line="240" w:lineRule="auto"/>
              <w:rPr>
                <w:rFonts w:ascii="Times New Roman" w:hAnsi="Times New Roman"/>
                <w:sz w:val="20"/>
                <w:szCs w:val="20"/>
              </w:rPr>
            </w:pPr>
            <w:r w:rsidRPr="00DF2343">
              <w:rPr>
                <w:rFonts w:ascii="Times New Roman" w:hAnsi="Times New Roman"/>
                <w:sz w:val="20"/>
                <w:szCs w:val="20"/>
              </w:rPr>
              <w:t>3. Средства внебюджетных фондов</w:t>
            </w:r>
          </w:p>
        </w:tc>
        <w:tc>
          <w:tcPr>
            <w:tcW w:w="992" w:type="dxa"/>
            <w:vAlign w:val="center"/>
          </w:tcPr>
          <w:p w:rsidR="004616EA" w:rsidRPr="00DF2343" w:rsidRDefault="004616EA" w:rsidP="0084791B">
            <w:pPr>
              <w:spacing w:after="0" w:line="240" w:lineRule="auto"/>
              <w:jc w:val="center"/>
              <w:rPr>
                <w:rFonts w:ascii="Times New Roman" w:hAnsi="Times New Roman"/>
                <w:sz w:val="19"/>
                <w:szCs w:val="19"/>
              </w:rPr>
            </w:pPr>
            <w:r w:rsidRPr="00DF2343">
              <w:rPr>
                <w:rFonts w:ascii="Times New Roman" w:hAnsi="Times New Roman"/>
                <w:sz w:val="19"/>
                <w:szCs w:val="19"/>
              </w:rPr>
              <w:t>0,20</w:t>
            </w:r>
          </w:p>
        </w:tc>
        <w:tc>
          <w:tcPr>
            <w:tcW w:w="1134" w:type="dxa"/>
            <w:vAlign w:val="center"/>
          </w:tcPr>
          <w:p w:rsidR="004616EA" w:rsidRPr="00DF2343" w:rsidRDefault="004616EA" w:rsidP="00035190">
            <w:pPr>
              <w:spacing w:after="0" w:line="240" w:lineRule="auto"/>
              <w:jc w:val="center"/>
              <w:rPr>
                <w:rFonts w:ascii="Times New Roman" w:hAnsi="Times New Roman"/>
                <w:sz w:val="19"/>
                <w:szCs w:val="19"/>
              </w:rPr>
            </w:pPr>
            <w:r w:rsidRPr="00DF2343">
              <w:rPr>
                <w:rFonts w:ascii="Times New Roman" w:hAnsi="Times New Roman"/>
                <w:sz w:val="19"/>
                <w:szCs w:val="19"/>
              </w:rPr>
              <w:t>7,9</w:t>
            </w:r>
          </w:p>
        </w:tc>
        <w:tc>
          <w:tcPr>
            <w:tcW w:w="992" w:type="dxa"/>
            <w:vAlign w:val="center"/>
          </w:tcPr>
          <w:p w:rsidR="004616EA" w:rsidRPr="00DF2343" w:rsidRDefault="004616EA" w:rsidP="0084791B">
            <w:pPr>
              <w:spacing w:after="0" w:line="240" w:lineRule="auto"/>
              <w:jc w:val="center"/>
              <w:rPr>
                <w:rFonts w:ascii="Times New Roman" w:hAnsi="Times New Roman"/>
                <w:sz w:val="19"/>
                <w:szCs w:val="19"/>
              </w:rPr>
            </w:pPr>
            <w:r w:rsidRPr="00DF2343">
              <w:rPr>
                <w:rFonts w:ascii="Times New Roman" w:hAnsi="Times New Roman"/>
                <w:sz w:val="19"/>
                <w:szCs w:val="19"/>
              </w:rPr>
              <w:t>8</w:t>
            </w:r>
          </w:p>
        </w:tc>
        <w:tc>
          <w:tcPr>
            <w:tcW w:w="1134" w:type="dxa"/>
            <w:vAlign w:val="center"/>
          </w:tcPr>
          <w:p w:rsidR="004616EA" w:rsidRPr="00DF2343" w:rsidRDefault="004616EA" w:rsidP="00035190">
            <w:pPr>
              <w:spacing w:after="0" w:line="240" w:lineRule="auto"/>
              <w:jc w:val="center"/>
              <w:rPr>
                <w:rFonts w:ascii="Times New Roman" w:hAnsi="Times New Roman"/>
                <w:sz w:val="19"/>
                <w:szCs w:val="19"/>
              </w:rPr>
            </w:pPr>
            <w:r w:rsidRPr="00DF2343">
              <w:rPr>
                <w:rFonts w:ascii="Times New Roman" w:hAnsi="Times New Roman"/>
                <w:sz w:val="19"/>
                <w:szCs w:val="19"/>
              </w:rPr>
              <w:t>8,5</w:t>
            </w:r>
          </w:p>
        </w:tc>
        <w:tc>
          <w:tcPr>
            <w:tcW w:w="993" w:type="dxa"/>
            <w:vAlign w:val="center"/>
          </w:tcPr>
          <w:p w:rsidR="004616EA" w:rsidRPr="00DF2343" w:rsidRDefault="004616EA" w:rsidP="00DF2343">
            <w:pPr>
              <w:spacing w:after="0" w:line="240" w:lineRule="auto"/>
              <w:jc w:val="center"/>
              <w:rPr>
                <w:rFonts w:ascii="Times New Roman" w:hAnsi="Times New Roman"/>
                <w:sz w:val="19"/>
                <w:szCs w:val="19"/>
              </w:rPr>
            </w:pPr>
            <w:r w:rsidRPr="00DF2343">
              <w:rPr>
                <w:rFonts w:ascii="Times New Roman" w:hAnsi="Times New Roman"/>
                <w:sz w:val="19"/>
                <w:szCs w:val="19"/>
              </w:rPr>
              <w:t>9</w:t>
            </w:r>
          </w:p>
        </w:tc>
        <w:tc>
          <w:tcPr>
            <w:tcW w:w="992" w:type="dxa"/>
            <w:vAlign w:val="center"/>
          </w:tcPr>
          <w:p w:rsidR="004616EA" w:rsidRPr="00DF2343" w:rsidRDefault="004616EA" w:rsidP="00DF2343">
            <w:pPr>
              <w:spacing w:after="0" w:line="240" w:lineRule="auto"/>
              <w:jc w:val="center"/>
              <w:rPr>
                <w:rFonts w:ascii="Times New Roman" w:hAnsi="Times New Roman"/>
                <w:sz w:val="19"/>
                <w:szCs w:val="19"/>
              </w:rPr>
            </w:pPr>
            <w:r w:rsidRPr="00DF2343">
              <w:rPr>
                <w:rFonts w:ascii="Times New Roman" w:hAnsi="Times New Roman"/>
                <w:sz w:val="19"/>
                <w:szCs w:val="19"/>
              </w:rPr>
              <w:t>10</w:t>
            </w:r>
          </w:p>
        </w:tc>
      </w:tr>
      <w:tr w:rsidR="004616EA" w:rsidRPr="00475E67" w:rsidTr="0084791B">
        <w:tc>
          <w:tcPr>
            <w:tcW w:w="3119" w:type="dxa"/>
          </w:tcPr>
          <w:p w:rsidR="004616EA" w:rsidRPr="00DF2343" w:rsidRDefault="004616EA" w:rsidP="0084791B">
            <w:pPr>
              <w:spacing w:after="0" w:line="240" w:lineRule="auto"/>
              <w:rPr>
                <w:rFonts w:ascii="Times New Roman" w:hAnsi="Times New Roman"/>
                <w:sz w:val="20"/>
                <w:szCs w:val="20"/>
              </w:rPr>
            </w:pPr>
            <w:r w:rsidRPr="00DF2343">
              <w:rPr>
                <w:rFonts w:ascii="Times New Roman" w:hAnsi="Times New Roman"/>
                <w:sz w:val="20"/>
                <w:szCs w:val="20"/>
              </w:rPr>
              <w:t>4. Прочие</w:t>
            </w:r>
          </w:p>
        </w:tc>
        <w:tc>
          <w:tcPr>
            <w:tcW w:w="992" w:type="dxa"/>
            <w:vAlign w:val="center"/>
          </w:tcPr>
          <w:p w:rsidR="004616EA" w:rsidRPr="00DF2343" w:rsidRDefault="004616EA" w:rsidP="0084791B">
            <w:pPr>
              <w:spacing w:after="0" w:line="240" w:lineRule="auto"/>
              <w:jc w:val="center"/>
              <w:rPr>
                <w:rFonts w:ascii="Times New Roman" w:hAnsi="Times New Roman"/>
                <w:sz w:val="19"/>
                <w:szCs w:val="19"/>
              </w:rPr>
            </w:pPr>
            <w:r w:rsidRPr="00DF2343">
              <w:rPr>
                <w:rFonts w:ascii="Times New Roman" w:hAnsi="Times New Roman"/>
                <w:sz w:val="19"/>
                <w:szCs w:val="19"/>
              </w:rPr>
              <w:t>115,90</w:t>
            </w:r>
          </w:p>
        </w:tc>
        <w:tc>
          <w:tcPr>
            <w:tcW w:w="1134" w:type="dxa"/>
            <w:vAlign w:val="center"/>
          </w:tcPr>
          <w:p w:rsidR="004616EA" w:rsidRPr="00DF2343" w:rsidRDefault="004616EA" w:rsidP="00DF2343">
            <w:pPr>
              <w:spacing w:after="0" w:line="240" w:lineRule="auto"/>
              <w:jc w:val="center"/>
              <w:rPr>
                <w:rFonts w:ascii="Times New Roman" w:hAnsi="Times New Roman"/>
                <w:sz w:val="19"/>
                <w:szCs w:val="19"/>
              </w:rPr>
            </w:pPr>
            <w:r w:rsidRPr="00DF2343">
              <w:rPr>
                <w:rFonts w:ascii="Times New Roman" w:hAnsi="Times New Roman"/>
                <w:sz w:val="19"/>
                <w:szCs w:val="19"/>
              </w:rPr>
              <w:t>4 261,7</w:t>
            </w:r>
          </w:p>
        </w:tc>
        <w:tc>
          <w:tcPr>
            <w:tcW w:w="992" w:type="dxa"/>
            <w:vAlign w:val="center"/>
          </w:tcPr>
          <w:p w:rsidR="004616EA" w:rsidRPr="00DF2343" w:rsidRDefault="004616EA" w:rsidP="00DF2343">
            <w:pPr>
              <w:spacing w:after="0" w:line="240" w:lineRule="auto"/>
              <w:jc w:val="center"/>
              <w:rPr>
                <w:rFonts w:ascii="Times New Roman" w:hAnsi="Times New Roman"/>
                <w:sz w:val="19"/>
                <w:szCs w:val="19"/>
              </w:rPr>
            </w:pPr>
            <w:r w:rsidRPr="00DF2343">
              <w:rPr>
                <w:rFonts w:ascii="Times New Roman" w:hAnsi="Times New Roman"/>
                <w:sz w:val="19"/>
                <w:szCs w:val="19"/>
              </w:rPr>
              <w:t>3 962,3</w:t>
            </w:r>
          </w:p>
        </w:tc>
        <w:tc>
          <w:tcPr>
            <w:tcW w:w="1134" w:type="dxa"/>
            <w:vAlign w:val="center"/>
          </w:tcPr>
          <w:p w:rsidR="004616EA" w:rsidRPr="00DF2343" w:rsidRDefault="004616EA" w:rsidP="00DF2343">
            <w:pPr>
              <w:spacing w:after="0" w:line="240" w:lineRule="auto"/>
              <w:jc w:val="center"/>
              <w:rPr>
                <w:rFonts w:ascii="Times New Roman" w:hAnsi="Times New Roman"/>
                <w:sz w:val="19"/>
                <w:szCs w:val="19"/>
              </w:rPr>
            </w:pPr>
            <w:r w:rsidRPr="00DF2343">
              <w:rPr>
                <w:rFonts w:ascii="Times New Roman" w:hAnsi="Times New Roman"/>
                <w:sz w:val="19"/>
                <w:szCs w:val="19"/>
              </w:rPr>
              <w:t>4 236,14</w:t>
            </w:r>
          </w:p>
        </w:tc>
        <w:tc>
          <w:tcPr>
            <w:tcW w:w="993" w:type="dxa"/>
            <w:vAlign w:val="center"/>
          </w:tcPr>
          <w:p w:rsidR="004616EA" w:rsidRPr="00DF2343" w:rsidRDefault="004616EA" w:rsidP="00DF2343">
            <w:pPr>
              <w:spacing w:after="0" w:line="240" w:lineRule="auto"/>
              <w:jc w:val="center"/>
              <w:rPr>
                <w:rFonts w:ascii="Times New Roman" w:hAnsi="Times New Roman"/>
                <w:sz w:val="19"/>
                <w:szCs w:val="19"/>
              </w:rPr>
            </w:pPr>
            <w:r w:rsidRPr="00DF2343">
              <w:rPr>
                <w:rFonts w:ascii="Times New Roman" w:hAnsi="Times New Roman"/>
                <w:sz w:val="19"/>
                <w:szCs w:val="19"/>
              </w:rPr>
              <w:t>4 459,44</w:t>
            </w:r>
          </w:p>
        </w:tc>
        <w:tc>
          <w:tcPr>
            <w:tcW w:w="992" w:type="dxa"/>
            <w:vAlign w:val="center"/>
          </w:tcPr>
          <w:p w:rsidR="004616EA" w:rsidRPr="00DF2343" w:rsidRDefault="004616EA" w:rsidP="00DF2343">
            <w:pPr>
              <w:spacing w:after="0" w:line="240" w:lineRule="auto"/>
              <w:jc w:val="center"/>
              <w:rPr>
                <w:rFonts w:ascii="Times New Roman" w:hAnsi="Times New Roman"/>
                <w:sz w:val="19"/>
                <w:szCs w:val="19"/>
              </w:rPr>
            </w:pPr>
            <w:r w:rsidRPr="00DF2343">
              <w:rPr>
                <w:rFonts w:ascii="Times New Roman" w:hAnsi="Times New Roman"/>
                <w:sz w:val="19"/>
                <w:szCs w:val="19"/>
              </w:rPr>
              <w:t>4 859,94</w:t>
            </w:r>
          </w:p>
        </w:tc>
      </w:tr>
    </w:tbl>
    <w:p w:rsidR="004616EA" w:rsidRPr="00475E67" w:rsidRDefault="004616EA" w:rsidP="002841F5">
      <w:pPr>
        <w:spacing w:after="0" w:line="240" w:lineRule="auto"/>
        <w:jc w:val="both"/>
        <w:rPr>
          <w:rFonts w:ascii="Times New Roman" w:hAnsi="Times New Roman"/>
          <w:sz w:val="16"/>
          <w:szCs w:val="16"/>
        </w:rPr>
      </w:pPr>
      <w:r w:rsidRPr="00475E67">
        <w:rPr>
          <w:rFonts w:ascii="Times New Roman" w:hAnsi="Times New Roman"/>
          <w:sz w:val="16"/>
          <w:szCs w:val="16"/>
        </w:rPr>
        <w:t>* Инвестиции в основной капитал за счет всех источников финансирования в ценах соответствующих лет (без субъектов малого предпринимательства и объема инвестиций, не наблюдаемых прямыми статистическими методами)</w:t>
      </w:r>
    </w:p>
    <w:p w:rsidR="004616EA" w:rsidRPr="008255E5" w:rsidRDefault="004616EA" w:rsidP="008255E5">
      <w:pPr>
        <w:spacing w:after="0" w:line="240" w:lineRule="auto"/>
        <w:ind w:firstLine="709"/>
        <w:jc w:val="both"/>
        <w:rPr>
          <w:rFonts w:ascii="Times New Roman" w:hAnsi="Times New Roman"/>
          <w:sz w:val="26"/>
          <w:szCs w:val="26"/>
        </w:rPr>
      </w:pP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Открытость – один из важнейших факторов инвестиционной привлекательности города. Любому инвестору требуется целостная и комплексная информация, которая аккумулирует в себе все необходимое, чтобы принять правильное решение. В 2014 - 2016 годах, в целях стимулирования инвестиционной деятельности на территории города Когалыма, предусмотрено проведение работ по формированию блока нормативных актов, регламентирующих механизмы реализации инвестиционной политики в городе Когалыме.</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В рамках информационной поддержки потенциальных инвесторов, на официальном сайте Администрации города Когалыма (</w:t>
      </w:r>
      <w:r w:rsidRPr="008255E5">
        <w:rPr>
          <w:rFonts w:ascii="Times New Roman" w:hAnsi="Times New Roman"/>
          <w:sz w:val="26"/>
          <w:szCs w:val="26"/>
          <w:lang w:val="en-US"/>
        </w:rPr>
        <w:t>www</w:t>
      </w:r>
      <w:r w:rsidRPr="008255E5">
        <w:rPr>
          <w:rFonts w:ascii="Times New Roman" w:hAnsi="Times New Roman"/>
          <w:sz w:val="26"/>
          <w:szCs w:val="26"/>
        </w:rPr>
        <w:t>.</w:t>
      </w:r>
      <w:r w:rsidRPr="008255E5">
        <w:rPr>
          <w:rFonts w:ascii="Times New Roman" w:hAnsi="Times New Roman"/>
          <w:sz w:val="26"/>
          <w:szCs w:val="26"/>
          <w:lang w:val="en-US"/>
        </w:rPr>
        <w:t>admkogalym</w:t>
      </w:r>
      <w:r w:rsidRPr="008255E5">
        <w:rPr>
          <w:rFonts w:ascii="Times New Roman" w:hAnsi="Times New Roman"/>
          <w:sz w:val="26"/>
          <w:szCs w:val="26"/>
        </w:rPr>
        <w:t>.</w:t>
      </w:r>
      <w:r w:rsidRPr="008255E5">
        <w:rPr>
          <w:rFonts w:ascii="Times New Roman" w:hAnsi="Times New Roman"/>
          <w:sz w:val="26"/>
          <w:szCs w:val="26"/>
          <w:lang w:val="en-US"/>
        </w:rPr>
        <w:t>ru</w:t>
      </w:r>
      <w:r w:rsidRPr="008255E5">
        <w:rPr>
          <w:rFonts w:ascii="Times New Roman" w:hAnsi="Times New Roman"/>
          <w:sz w:val="26"/>
          <w:szCs w:val="26"/>
        </w:rPr>
        <w:t>) создан специализированный раздел «Формирование благоприятных условий для ведения предпринимательской деятельности», содержащий информацию по следующим разделам:</w:t>
      </w:r>
    </w:p>
    <w:p w:rsidR="004616EA" w:rsidRPr="008255E5" w:rsidRDefault="004616EA" w:rsidP="008255E5">
      <w:pPr>
        <w:pStyle w:val="a7"/>
        <w:numPr>
          <w:ilvl w:val="0"/>
          <w:numId w:val="80"/>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государственно-частное партнерство;</w:t>
      </w:r>
    </w:p>
    <w:p w:rsidR="004616EA" w:rsidRPr="008255E5" w:rsidRDefault="004616EA" w:rsidP="008255E5">
      <w:pPr>
        <w:pStyle w:val="a7"/>
        <w:numPr>
          <w:ilvl w:val="0"/>
          <w:numId w:val="80"/>
        </w:numPr>
        <w:tabs>
          <w:tab w:val="left" w:pos="0"/>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 xml:space="preserve">инвестиционный паспорт города Когалыма; </w:t>
      </w:r>
    </w:p>
    <w:p w:rsidR="004616EA" w:rsidRPr="008255E5" w:rsidRDefault="004616EA" w:rsidP="008255E5">
      <w:pPr>
        <w:pStyle w:val="a7"/>
        <w:numPr>
          <w:ilvl w:val="0"/>
          <w:numId w:val="80"/>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информация о деятельности кредитных организаций;</w:t>
      </w:r>
    </w:p>
    <w:p w:rsidR="004616EA" w:rsidRPr="008255E5" w:rsidRDefault="004616EA" w:rsidP="008255E5">
      <w:pPr>
        <w:pStyle w:val="a7"/>
        <w:numPr>
          <w:ilvl w:val="0"/>
          <w:numId w:val="80"/>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координационный совет;</w:t>
      </w:r>
    </w:p>
    <w:p w:rsidR="004616EA" w:rsidRPr="008255E5" w:rsidRDefault="004616EA" w:rsidP="008255E5">
      <w:pPr>
        <w:pStyle w:val="a7"/>
        <w:numPr>
          <w:ilvl w:val="0"/>
          <w:numId w:val="80"/>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малое и среднее предпринимательство;</w:t>
      </w:r>
    </w:p>
    <w:p w:rsidR="004616EA" w:rsidRPr="008255E5" w:rsidRDefault="004616EA" w:rsidP="008255E5">
      <w:pPr>
        <w:pStyle w:val="a7"/>
        <w:numPr>
          <w:ilvl w:val="0"/>
          <w:numId w:val="80"/>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муниципальные услуги;</w:t>
      </w:r>
    </w:p>
    <w:p w:rsidR="004616EA" w:rsidRPr="008255E5" w:rsidRDefault="004616EA" w:rsidP="008255E5">
      <w:pPr>
        <w:pStyle w:val="a7"/>
        <w:numPr>
          <w:ilvl w:val="0"/>
          <w:numId w:val="80"/>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план-график проведения аукционов по продаже и (или) предоставлению в аренду земельных участков для жилищного строительства в городе Когалыме на период 2014-2016 годов;</w:t>
      </w:r>
    </w:p>
    <w:p w:rsidR="004616EA" w:rsidRPr="008255E5" w:rsidRDefault="00574C05" w:rsidP="008255E5">
      <w:pPr>
        <w:pStyle w:val="a7"/>
        <w:numPr>
          <w:ilvl w:val="0"/>
          <w:numId w:val="80"/>
        </w:numPr>
        <w:spacing w:after="0" w:line="240" w:lineRule="auto"/>
        <w:ind w:left="0" w:firstLine="709"/>
        <w:contextualSpacing w:val="0"/>
        <w:jc w:val="both"/>
        <w:rPr>
          <w:rFonts w:ascii="Times New Roman" w:hAnsi="Times New Roman"/>
          <w:sz w:val="26"/>
          <w:szCs w:val="26"/>
        </w:rPr>
      </w:pPr>
      <w:hyperlink r:id="rId78" w:history="1">
        <w:r w:rsidR="004616EA" w:rsidRPr="008255E5">
          <w:rPr>
            <w:rFonts w:ascii="Times New Roman" w:hAnsi="Times New Roman"/>
            <w:sz w:val="26"/>
            <w:szCs w:val="26"/>
          </w:rPr>
          <w:t xml:space="preserve">нормативно-правовые акты, касающиеся вопросов инвестиционной </w:t>
        </w:r>
      </w:hyperlink>
      <w:r w:rsidR="004616EA" w:rsidRPr="008255E5">
        <w:rPr>
          <w:rFonts w:ascii="Times New Roman" w:hAnsi="Times New Roman"/>
          <w:sz w:val="26"/>
          <w:szCs w:val="26"/>
        </w:rPr>
        <w:t>деятельности;</w:t>
      </w:r>
    </w:p>
    <w:p w:rsidR="004616EA" w:rsidRPr="008255E5" w:rsidRDefault="00574C05" w:rsidP="008255E5">
      <w:pPr>
        <w:pStyle w:val="a7"/>
        <w:numPr>
          <w:ilvl w:val="0"/>
          <w:numId w:val="80"/>
        </w:numPr>
        <w:spacing w:after="0" w:line="240" w:lineRule="auto"/>
        <w:ind w:left="0" w:firstLine="709"/>
        <w:contextualSpacing w:val="0"/>
        <w:jc w:val="both"/>
        <w:rPr>
          <w:rFonts w:ascii="Times New Roman" w:hAnsi="Times New Roman"/>
          <w:sz w:val="26"/>
          <w:szCs w:val="26"/>
        </w:rPr>
      </w:pPr>
      <w:hyperlink r:id="rId79" w:history="1">
        <w:r w:rsidR="004616EA" w:rsidRPr="008255E5">
          <w:rPr>
            <w:rFonts w:ascii="Times New Roman" w:hAnsi="Times New Roman"/>
            <w:sz w:val="26"/>
            <w:szCs w:val="26"/>
          </w:rPr>
          <w:t>план мероприятий по формированию инвестиционного климата</w:t>
        </w:r>
      </w:hyperlink>
      <w:r w:rsidR="004616EA" w:rsidRPr="008255E5">
        <w:rPr>
          <w:rFonts w:ascii="Times New Roman" w:hAnsi="Times New Roman"/>
          <w:sz w:val="26"/>
          <w:szCs w:val="26"/>
        </w:rPr>
        <w:t>;</w:t>
      </w:r>
    </w:p>
    <w:p w:rsidR="004616EA" w:rsidRPr="008255E5" w:rsidRDefault="00574C05" w:rsidP="008255E5">
      <w:pPr>
        <w:pStyle w:val="a7"/>
        <w:numPr>
          <w:ilvl w:val="0"/>
          <w:numId w:val="80"/>
        </w:numPr>
        <w:spacing w:after="0" w:line="240" w:lineRule="auto"/>
        <w:ind w:left="0" w:firstLine="709"/>
        <w:contextualSpacing w:val="0"/>
        <w:jc w:val="both"/>
        <w:rPr>
          <w:rFonts w:ascii="Times New Roman" w:hAnsi="Times New Roman"/>
          <w:sz w:val="26"/>
          <w:szCs w:val="26"/>
        </w:rPr>
      </w:pPr>
      <w:hyperlink r:id="rId80" w:history="1">
        <w:r w:rsidR="004616EA" w:rsidRPr="008255E5">
          <w:rPr>
            <w:rFonts w:ascii="Times New Roman" w:hAnsi="Times New Roman"/>
            <w:sz w:val="26"/>
            <w:szCs w:val="26"/>
          </w:rPr>
          <w:t>перечень утвержденных инвестиционных проектов</w:t>
        </w:r>
      </w:hyperlink>
      <w:r w:rsidR="004616EA" w:rsidRPr="008255E5">
        <w:rPr>
          <w:rFonts w:ascii="Times New Roman" w:hAnsi="Times New Roman"/>
          <w:sz w:val="26"/>
          <w:szCs w:val="26"/>
        </w:rPr>
        <w:t>;</w:t>
      </w:r>
    </w:p>
    <w:p w:rsidR="004616EA" w:rsidRPr="008255E5" w:rsidRDefault="004616EA" w:rsidP="008255E5">
      <w:pPr>
        <w:pStyle w:val="a7"/>
        <w:numPr>
          <w:ilvl w:val="0"/>
          <w:numId w:val="80"/>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схема и порядок выдачи разрешительной документации для реализации инвестиционного проекта на территории города Когалыма.</w:t>
      </w:r>
    </w:p>
    <w:p w:rsidR="004616EA" w:rsidRPr="008255E5" w:rsidRDefault="004616EA" w:rsidP="008255E5">
      <w:pPr>
        <w:spacing w:after="0" w:line="240" w:lineRule="auto"/>
        <w:ind w:firstLine="709"/>
        <w:jc w:val="both"/>
        <w:rPr>
          <w:rStyle w:val="a4"/>
          <w:color w:val="auto"/>
          <w:sz w:val="26"/>
          <w:szCs w:val="26"/>
          <w:u w:val="none"/>
          <w:lang w:eastAsia="ru-RU"/>
        </w:rPr>
      </w:pPr>
      <w:r w:rsidRPr="008255E5">
        <w:rPr>
          <w:rFonts w:ascii="Times New Roman" w:hAnsi="Times New Roman"/>
          <w:sz w:val="26"/>
          <w:szCs w:val="26"/>
        </w:rPr>
        <w:t>В дальнейшем предполагается постоянное пополнение вышеуказанных разделов актуальной и важной информацией. В будущем на официальном сайте Администрации города Когалыма планируется создание «электронной площадки», которая будет использоваться для оперативного рассмотрения обращений инвесторов, размещения основных инвестиционных стратегий и программ развития.</w:t>
      </w:r>
    </w:p>
    <w:p w:rsidR="004616EA" w:rsidRPr="008255E5" w:rsidRDefault="004616EA" w:rsidP="008255E5">
      <w:pPr>
        <w:pStyle w:val="3"/>
        <w:spacing w:line="240" w:lineRule="auto"/>
        <w:ind w:firstLine="709"/>
        <w:rPr>
          <w:sz w:val="26"/>
        </w:rPr>
      </w:pPr>
      <w:bookmarkStart w:id="128" w:name="_Toc405805510"/>
      <w:r w:rsidRPr="008255E5">
        <w:rPr>
          <w:sz w:val="26"/>
        </w:rPr>
        <w:t>3.4 Сравнительный анализ конкурентных преимуществ территории</w:t>
      </w:r>
      <w:bookmarkEnd w:id="128"/>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 xml:space="preserve">Используя данные проведенного </w:t>
      </w:r>
      <w:r w:rsidRPr="008255E5">
        <w:rPr>
          <w:rFonts w:ascii="Times New Roman" w:hAnsi="Times New Roman"/>
          <w:sz w:val="26"/>
          <w:szCs w:val="26"/>
          <w:lang w:val="de-DE"/>
        </w:rPr>
        <w:t>SWOT</w:t>
      </w:r>
      <w:r w:rsidRPr="008255E5">
        <w:rPr>
          <w:rFonts w:ascii="Times New Roman" w:hAnsi="Times New Roman"/>
          <w:sz w:val="26"/>
          <w:szCs w:val="26"/>
        </w:rPr>
        <w:t>-анализа всех внешних и внутренних условий и факторов развития городского округа город Когалым, перейдем к сравнительному анализу конкурентных преимуществ городского округа с другими муниципальными образованиями, расположенными на территории Ханты-Мансийского автономного округа - Югры.</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В качестве основного инструмента анализа конкурентных преимуществ территории используется матрица Бостонской Консалтинговой Группы (БКГ).</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Оценка конкурентных преимуществ городского округа, в сравнении с другими муниципальными образованиями Ханты-Мансийского автономного округа - Югры, будет проведена по следующим основным направлениям развития экономики города Когалыма, соответствующим его возможностям и потенциалу:</w:t>
      </w:r>
    </w:p>
    <w:p w:rsidR="004616EA" w:rsidRPr="008255E5" w:rsidRDefault="004616EA" w:rsidP="008255E5">
      <w:pPr>
        <w:numPr>
          <w:ilvl w:val="0"/>
          <w:numId w:val="25"/>
        </w:numPr>
        <w:spacing w:after="0" w:line="240" w:lineRule="auto"/>
        <w:ind w:left="0" w:firstLine="709"/>
        <w:jc w:val="both"/>
        <w:rPr>
          <w:rFonts w:ascii="Times New Roman" w:hAnsi="Times New Roman"/>
          <w:sz w:val="26"/>
          <w:szCs w:val="26"/>
        </w:rPr>
      </w:pPr>
      <w:r w:rsidRPr="008255E5">
        <w:rPr>
          <w:rFonts w:ascii="Times New Roman" w:hAnsi="Times New Roman"/>
          <w:sz w:val="26"/>
          <w:szCs w:val="26"/>
        </w:rPr>
        <w:t>сфера нефтедобычи;</w:t>
      </w:r>
    </w:p>
    <w:p w:rsidR="004616EA" w:rsidRPr="008255E5" w:rsidRDefault="004616EA" w:rsidP="008255E5">
      <w:pPr>
        <w:numPr>
          <w:ilvl w:val="0"/>
          <w:numId w:val="25"/>
        </w:numPr>
        <w:spacing w:after="0" w:line="240" w:lineRule="auto"/>
        <w:ind w:left="0" w:firstLine="709"/>
        <w:jc w:val="both"/>
        <w:rPr>
          <w:rFonts w:ascii="Times New Roman" w:hAnsi="Times New Roman"/>
          <w:sz w:val="26"/>
          <w:szCs w:val="26"/>
        </w:rPr>
      </w:pPr>
      <w:r w:rsidRPr="008255E5">
        <w:rPr>
          <w:rFonts w:ascii="Times New Roman" w:hAnsi="Times New Roman"/>
          <w:sz w:val="26"/>
          <w:szCs w:val="26"/>
        </w:rPr>
        <w:t>сектор промышленного производства (без добывающих производств);</w:t>
      </w:r>
    </w:p>
    <w:p w:rsidR="004616EA" w:rsidRPr="008255E5" w:rsidRDefault="004616EA" w:rsidP="008255E5">
      <w:pPr>
        <w:numPr>
          <w:ilvl w:val="0"/>
          <w:numId w:val="25"/>
        </w:numPr>
        <w:spacing w:after="0" w:line="240" w:lineRule="auto"/>
        <w:ind w:left="0" w:firstLine="709"/>
        <w:jc w:val="both"/>
        <w:rPr>
          <w:rFonts w:ascii="Times New Roman" w:hAnsi="Times New Roman"/>
          <w:sz w:val="26"/>
          <w:szCs w:val="26"/>
        </w:rPr>
      </w:pPr>
      <w:r w:rsidRPr="008255E5">
        <w:rPr>
          <w:rFonts w:ascii="Times New Roman" w:hAnsi="Times New Roman"/>
          <w:sz w:val="26"/>
          <w:szCs w:val="26"/>
        </w:rPr>
        <w:t>агропромышленный комплекс;</w:t>
      </w:r>
    </w:p>
    <w:p w:rsidR="004616EA" w:rsidRPr="008255E5" w:rsidRDefault="004616EA" w:rsidP="008255E5">
      <w:pPr>
        <w:numPr>
          <w:ilvl w:val="0"/>
          <w:numId w:val="25"/>
        </w:numPr>
        <w:spacing w:after="0" w:line="240" w:lineRule="auto"/>
        <w:ind w:left="0" w:firstLine="709"/>
        <w:jc w:val="both"/>
        <w:rPr>
          <w:rFonts w:ascii="Times New Roman" w:hAnsi="Times New Roman"/>
          <w:sz w:val="26"/>
          <w:szCs w:val="26"/>
        </w:rPr>
      </w:pPr>
      <w:r w:rsidRPr="008255E5">
        <w:rPr>
          <w:rFonts w:ascii="Times New Roman" w:hAnsi="Times New Roman"/>
          <w:sz w:val="26"/>
          <w:szCs w:val="26"/>
        </w:rPr>
        <w:t>инвестиционная деятельность.</w:t>
      </w:r>
    </w:p>
    <w:p w:rsidR="004616EA" w:rsidRPr="008255E5" w:rsidRDefault="004616EA" w:rsidP="008255E5">
      <w:pPr>
        <w:spacing w:after="0" w:line="240" w:lineRule="auto"/>
        <w:ind w:firstLine="709"/>
        <w:jc w:val="both"/>
        <w:rPr>
          <w:rFonts w:ascii="Times New Roman" w:hAnsi="Times New Roman"/>
          <w:b/>
          <w:sz w:val="26"/>
          <w:szCs w:val="26"/>
        </w:rPr>
      </w:pPr>
      <w:r w:rsidRPr="008255E5">
        <w:rPr>
          <w:rFonts w:ascii="Times New Roman" w:hAnsi="Times New Roman"/>
          <w:b/>
          <w:sz w:val="26"/>
          <w:szCs w:val="26"/>
        </w:rPr>
        <w:t>3.4.1. Сфера нефтедобычи</w:t>
      </w:r>
    </w:p>
    <w:p w:rsidR="004616EA" w:rsidRPr="008255E5" w:rsidRDefault="004616EA" w:rsidP="008255E5">
      <w:pPr>
        <w:tabs>
          <w:tab w:val="center" w:pos="-142"/>
        </w:tabs>
        <w:spacing w:after="0" w:line="240" w:lineRule="auto"/>
        <w:ind w:firstLine="709"/>
        <w:jc w:val="both"/>
        <w:rPr>
          <w:rFonts w:ascii="Times New Roman" w:hAnsi="Times New Roman"/>
          <w:sz w:val="26"/>
          <w:szCs w:val="26"/>
        </w:rPr>
      </w:pPr>
      <w:r w:rsidRPr="008255E5">
        <w:rPr>
          <w:rFonts w:ascii="Times New Roman" w:hAnsi="Times New Roman"/>
          <w:sz w:val="26"/>
          <w:szCs w:val="26"/>
        </w:rPr>
        <w:t>На сегодняшний день в Х</w:t>
      </w:r>
      <w:r>
        <w:rPr>
          <w:rFonts w:ascii="Times New Roman" w:hAnsi="Times New Roman"/>
          <w:sz w:val="26"/>
          <w:szCs w:val="26"/>
        </w:rPr>
        <w:t xml:space="preserve">анты </w:t>
      </w:r>
      <w:r w:rsidRPr="008255E5">
        <w:rPr>
          <w:rFonts w:ascii="Times New Roman" w:hAnsi="Times New Roman"/>
          <w:sz w:val="26"/>
          <w:szCs w:val="26"/>
        </w:rPr>
        <w:t>М</w:t>
      </w:r>
      <w:r>
        <w:rPr>
          <w:rFonts w:ascii="Times New Roman" w:hAnsi="Times New Roman"/>
          <w:sz w:val="26"/>
          <w:szCs w:val="26"/>
        </w:rPr>
        <w:t xml:space="preserve">ансийском автономном округе </w:t>
      </w:r>
      <w:r w:rsidRPr="008255E5">
        <w:rPr>
          <w:rFonts w:ascii="Times New Roman" w:hAnsi="Times New Roman"/>
          <w:sz w:val="26"/>
          <w:szCs w:val="26"/>
        </w:rPr>
        <w:t>-</w:t>
      </w:r>
      <w:r>
        <w:rPr>
          <w:rFonts w:ascii="Times New Roman" w:hAnsi="Times New Roman"/>
          <w:sz w:val="26"/>
          <w:szCs w:val="26"/>
        </w:rPr>
        <w:t xml:space="preserve"> </w:t>
      </w:r>
      <w:r w:rsidRPr="008255E5">
        <w:rPr>
          <w:rFonts w:ascii="Times New Roman" w:hAnsi="Times New Roman"/>
          <w:sz w:val="26"/>
          <w:szCs w:val="26"/>
        </w:rPr>
        <w:t xml:space="preserve">Югре идет формирование важного экономического процесса – постепенная кластеризация нефтегазовой отрасли региона. В свою очередь городской округ город Когалым должен стать одним из элементов данного кластера. Учитывая специализацию города Когалыма, проведен сравнительный анализ городских округов </w:t>
      </w:r>
      <w:r>
        <w:rPr>
          <w:rFonts w:ascii="Times New Roman" w:hAnsi="Times New Roman"/>
          <w:sz w:val="26"/>
          <w:szCs w:val="26"/>
        </w:rPr>
        <w:t xml:space="preserve">автономного округа </w:t>
      </w:r>
      <w:r w:rsidRPr="008255E5">
        <w:rPr>
          <w:rFonts w:ascii="Times New Roman" w:hAnsi="Times New Roman"/>
          <w:sz w:val="26"/>
          <w:szCs w:val="26"/>
        </w:rPr>
        <w:t xml:space="preserve">по отрасли нефтедобычи. </w:t>
      </w:r>
    </w:p>
    <w:p w:rsidR="004616EA" w:rsidRPr="008255E5" w:rsidRDefault="004616EA" w:rsidP="008255E5">
      <w:pPr>
        <w:tabs>
          <w:tab w:val="center" w:pos="1134"/>
        </w:tabs>
        <w:spacing w:after="0" w:line="240" w:lineRule="auto"/>
        <w:ind w:firstLine="709"/>
        <w:jc w:val="both"/>
        <w:rPr>
          <w:rFonts w:ascii="Times New Roman" w:hAnsi="Times New Roman"/>
          <w:sz w:val="26"/>
          <w:szCs w:val="26"/>
        </w:rPr>
      </w:pPr>
      <w:r w:rsidRPr="008255E5">
        <w:rPr>
          <w:rFonts w:ascii="Times New Roman" w:hAnsi="Times New Roman"/>
          <w:sz w:val="26"/>
          <w:szCs w:val="26"/>
        </w:rPr>
        <w:t xml:space="preserve">Для оценки развития нефтедобывающей отрасли были использованы следующие показатели: </w:t>
      </w:r>
    </w:p>
    <w:p w:rsidR="004616EA" w:rsidRPr="008255E5" w:rsidRDefault="004616EA" w:rsidP="008255E5">
      <w:pPr>
        <w:numPr>
          <w:ilvl w:val="0"/>
          <w:numId w:val="26"/>
        </w:numPr>
        <w:tabs>
          <w:tab w:val="center" w:pos="1134"/>
          <w:tab w:val="left" w:pos="1701"/>
        </w:tabs>
        <w:spacing w:after="0" w:line="240" w:lineRule="auto"/>
        <w:ind w:left="0" w:firstLine="709"/>
        <w:jc w:val="both"/>
        <w:rPr>
          <w:rFonts w:ascii="Times New Roman" w:hAnsi="Times New Roman"/>
          <w:sz w:val="26"/>
          <w:szCs w:val="26"/>
        </w:rPr>
      </w:pPr>
      <w:r w:rsidRPr="008255E5">
        <w:rPr>
          <w:rFonts w:ascii="Times New Roman" w:hAnsi="Times New Roman"/>
          <w:sz w:val="26"/>
          <w:szCs w:val="26"/>
        </w:rPr>
        <w:t>объемы нефтедобычи за 2013 г.;</w:t>
      </w:r>
    </w:p>
    <w:p w:rsidR="004616EA" w:rsidRPr="008255E5" w:rsidRDefault="004616EA" w:rsidP="008255E5">
      <w:pPr>
        <w:numPr>
          <w:ilvl w:val="0"/>
          <w:numId w:val="26"/>
        </w:numPr>
        <w:tabs>
          <w:tab w:val="center" w:pos="1134"/>
          <w:tab w:val="left" w:pos="1701"/>
        </w:tabs>
        <w:spacing w:after="0" w:line="240" w:lineRule="auto"/>
        <w:ind w:left="0" w:firstLine="709"/>
        <w:jc w:val="both"/>
        <w:rPr>
          <w:rFonts w:ascii="Times New Roman" w:hAnsi="Times New Roman"/>
          <w:sz w:val="26"/>
          <w:szCs w:val="26"/>
        </w:rPr>
      </w:pPr>
      <w:r w:rsidRPr="008255E5">
        <w:rPr>
          <w:rFonts w:ascii="Times New Roman" w:hAnsi="Times New Roman"/>
          <w:sz w:val="26"/>
          <w:szCs w:val="26"/>
        </w:rPr>
        <w:t>темп роста объемов добычи нефти, 2013/2012 гг., %;</w:t>
      </w:r>
    </w:p>
    <w:p w:rsidR="004616EA" w:rsidRPr="008255E5" w:rsidRDefault="004616EA" w:rsidP="008255E5">
      <w:pPr>
        <w:numPr>
          <w:ilvl w:val="0"/>
          <w:numId w:val="26"/>
        </w:numPr>
        <w:tabs>
          <w:tab w:val="center" w:pos="1134"/>
          <w:tab w:val="left" w:pos="1701"/>
        </w:tabs>
        <w:spacing w:after="0" w:line="240" w:lineRule="auto"/>
        <w:ind w:left="0" w:firstLine="709"/>
        <w:jc w:val="both"/>
        <w:rPr>
          <w:rFonts w:ascii="Times New Roman" w:hAnsi="Times New Roman"/>
          <w:sz w:val="26"/>
          <w:szCs w:val="26"/>
        </w:rPr>
      </w:pPr>
      <w:r w:rsidRPr="008255E5">
        <w:rPr>
          <w:rFonts w:ascii="Times New Roman" w:hAnsi="Times New Roman"/>
          <w:sz w:val="26"/>
          <w:szCs w:val="26"/>
        </w:rPr>
        <w:t xml:space="preserve">доля добычи нефти городского округа в общем объеме нефтедобычи </w:t>
      </w:r>
      <w:r>
        <w:rPr>
          <w:rFonts w:ascii="Times New Roman" w:hAnsi="Times New Roman"/>
          <w:sz w:val="26"/>
          <w:szCs w:val="26"/>
        </w:rPr>
        <w:t>Ханты – Мансийского автономного округа - Югры</w:t>
      </w:r>
      <w:r w:rsidRPr="008255E5">
        <w:rPr>
          <w:rFonts w:ascii="Times New Roman" w:hAnsi="Times New Roman"/>
          <w:sz w:val="26"/>
          <w:szCs w:val="26"/>
        </w:rPr>
        <w:t>.</w:t>
      </w:r>
      <w:r w:rsidRPr="008255E5">
        <w:rPr>
          <w:sz w:val="26"/>
          <w:szCs w:val="26"/>
        </w:rPr>
        <w:t xml:space="preserve"> </w:t>
      </w:r>
    </w:p>
    <w:p w:rsidR="004616EA" w:rsidRPr="008255E5" w:rsidRDefault="004616EA" w:rsidP="008255E5">
      <w:pPr>
        <w:tabs>
          <w:tab w:val="center" w:pos="1134"/>
        </w:tabs>
        <w:spacing w:after="0" w:line="240" w:lineRule="auto"/>
        <w:ind w:firstLine="709"/>
        <w:jc w:val="both"/>
        <w:rPr>
          <w:rFonts w:ascii="Times New Roman" w:hAnsi="Times New Roman"/>
          <w:sz w:val="26"/>
          <w:szCs w:val="26"/>
        </w:rPr>
      </w:pPr>
      <w:r w:rsidRPr="008255E5">
        <w:rPr>
          <w:rFonts w:ascii="Times New Roman" w:hAnsi="Times New Roman"/>
          <w:sz w:val="26"/>
          <w:szCs w:val="26"/>
        </w:rPr>
        <w:t>Основанием для отбора муниципальных образований послужило наличие в них нефтедобывающих предприятий.</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В соответствии с проведенным анализом городские округа были объединены в 4</w:t>
      </w:r>
      <w:r w:rsidRPr="008255E5">
        <w:rPr>
          <w:rFonts w:ascii="Times New Roman" w:hAnsi="Times New Roman"/>
          <w:sz w:val="26"/>
          <w:szCs w:val="26"/>
          <w:lang w:val="en-US"/>
        </w:rPr>
        <w:t> </w:t>
      </w:r>
      <w:r w:rsidRPr="008255E5">
        <w:rPr>
          <w:rFonts w:ascii="Times New Roman" w:hAnsi="Times New Roman"/>
          <w:sz w:val="26"/>
          <w:szCs w:val="26"/>
        </w:rPr>
        <w:t>стандартные стратегические группы (</w:t>
      </w:r>
      <w:r w:rsidR="001977F4">
        <w:fldChar w:fldCharType="begin"/>
      </w:r>
      <w:r w:rsidR="001977F4">
        <w:instrText xml:space="preserve"> REF _Ref397079403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48</w:t>
      </w:r>
      <w:r w:rsidR="001977F4">
        <w:fldChar w:fldCharType="end"/>
      </w:r>
      <w:r w:rsidRPr="008255E5">
        <w:rPr>
          <w:rFonts w:ascii="Times New Roman" w:hAnsi="Times New Roman"/>
          <w:sz w:val="26"/>
          <w:szCs w:val="26"/>
        </w:rPr>
        <w:t xml:space="preserve">). </w:t>
      </w:r>
    </w:p>
    <w:p w:rsidR="004616EA" w:rsidRPr="00475E67" w:rsidRDefault="004616EA" w:rsidP="00CF48F6">
      <w:pPr>
        <w:spacing w:after="0"/>
        <w:ind w:firstLine="708"/>
        <w:jc w:val="both"/>
        <w:rPr>
          <w:rFonts w:ascii="Times New Roman" w:hAnsi="Times New Roman"/>
          <w:sz w:val="24"/>
        </w:rPr>
      </w:pPr>
    </w:p>
    <w:p w:rsidR="004616EA" w:rsidRPr="00475E67" w:rsidRDefault="00E70A58" w:rsidP="00CF48F6">
      <w:pPr>
        <w:keepNext/>
        <w:spacing w:after="0"/>
        <w:jc w:val="center"/>
      </w:pPr>
      <w:r>
        <w:rPr>
          <w:noProof/>
          <w:lang w:eastAsia="ru-RU"/>
        </w:rPr>
        <w:drawing>
          <wp:inline distT="0" distB="0" distL="0" distR="0">
            <wp:extent cx="5166360" cy="4130040"/>
            <wp:effectExtent l="0" t="0" r="0" b="3810"/>
            <wp:docPr id="46" name="Диаграмма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4616EA" w:rsidRPr="008255E5" w:rsidRDefault="004616EA" w:rsidP="008255E5">
      <w:pPr>
        <w:pStyle w:val="af1"/>
        <w:spacing w:after="0"/>
        <w:ind w:firstLine="709"/>
        <w:jc w:val="both"/>
        <w:rPr>
          <w:rFonts w:ascii="Times New Roman" w:hAnsi="Times New Roman"/>
          <w:b w:val="0"/>
          <w:color w:val="auto"/>
          <w:sz w:val="26"/>
          <w:szCs w:val="26"/>
        </w:rPr>
      </w:pPr>
      <w:bookmarkStart w:id="129" w:name="_Ref397079403"/>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48</w:t>
      </w:r>
      <w:r w:rsidRPr="00475E67">
        <w:rPr>
          <w:rFonts w:ascii="Times New Roman" w:hAnsi="Times New Roman"/>
          <w:b w:val="0"/>
          <w:color w:val="auto"/>
          <w:sz w:val="24"/>
        </w:rPr>
        <w:fldChar w:fldCharType="end"/>
      </w:r>
      <w:bookmarkEnd w:id="129"/>
      <w:r w:rsidRPr="00475E67">
        <w:rPr>
          <w:rFonts w:ascii="Times New Roman" w:hAnsi="Times New Roman"/>
          <w:b w:val="0"/>
          <w:color w:val="auto"/>
          <w:sz w:val="24"/>
        </w:rPr>
        <w:t xml:space="preserve"> - Бостонская матрица уровня развития сферы нефтедобычи в городских округах </w:t>
      </w:r>
      <w:r>
        <w:rPr>
          <w:rFonts w:ascii="Times New Roman" w:hAnsi="Times New Roman"/>
          <w:b w:val="0"/>
          <w:color w:val="auto"/>
          <w:sz w:val="24"/>
        </w:rPr>
        <w:t xml:space="preserve">Ханты-Мансийского автономного округа - </w:t>
      </w:r>
      <w:r w:rsidRPr="00475E67">
        <w:rPr>
          <w:rFonts w:ascii="Times New Roman" w:hAnsi="Times New Roman"/>
          <w:b w:val="0"/>
          <w:color w:val="auto"/>
          <w:sz w:val="24"/>
        </w:rPr>
        <w:t>Югры</w:t>
      </w:r>
    </w:p>
    <w:p w:rsidR="004616EA" w:rsidRPr="008255E5" w:rsidRDefault="004616EA" w:rsidP="008255E5">
      <w:pPr>
        <w:spacing w:after="0" w:line="240" w:lineRule="auto"/>
        <w:ind w:firstLine="709"/>
        <w:jc w:val="both"/>
        <w:rPr>
          <w:rFonts w:ascii="Times New Roman" w:hAnsi="Times New Roman"/>
          <w:sz w:val="26"/>
          <w:szCs w:val="26"/>
        </w:rPr>
      </w:pP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К группе «Трудные дети» относятся следующие городские округа: город Нефтеюганск, город Когалым, город Сургут. Данные городские округа обладают сравнительно небольшими объемами добычи нефти, но довольно высокими темпами роста добычи, хотя в последние годы они начинают замедляться.</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 xml:space="preserve">В группу «Собаки» вошла большая часть рассматриваемых муниципальных образований, а именно город Урай, город Радужный, город Лангепас и город Мегион. </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 xml:space="preserve">К группе «Дойные коровы» относится только город Нижневартовск, который добывает нефть в больших объемах, но темпы роста добычи очень низкие и постепенно снижаются. Тем не менее, город Нижневартовск занимает наибольшую долю в нефтедобыче </w:t>
      </w:r>
      <w:r w:rsidRPr="008E7BE6">
        <w:rPr>
          <w:rFonts w:ascii="Times New Roman" w:hAnsi="Times New Roman"/>
          <w:sz w:val="26"/>
          <w:szCs w:val="26"/>
        </w:rPr>
        <w:t>Ханты-Мансийского автономного</w:t>
      </w:r>
      <w:r>
        <w:rPr>
          <w:rFonts w:ascii="Times New Roman" w:hAnsi="Times New Roman"/>
          <w:b/>
          <w:sz w:val="24"/>
        </w:rPr>
        <w:t xml:space="preserve"> </w:t>
      </w:r>
      <w:r w:rsidRPr="008E7BE6">
        <w:rPr>
          <w:rFonts w:ascii="Times New Roman" w:hAnsi="Times New Roman"/>
          <w:sz w:val="26"/>
          <w:szCs w:val="26"/>
        </w:rPr>
        <w:t>округа - Югры</w:t>
      </w:r>
      <w:r w:rsidRPr="008255E5">
        <w:rPr>
          <w:rFonts w:ascii="Times New Roman" w:hAnsi="Times New Roman"/>
          <w:sz w:val="26"/>
          <w:szCs w:val="26"/>
        </w:rPr>
        <w:t xml:space="preserve"> среди рассматриваемых городских округов.</w:t>
      </w:r>
    </w:p>
    <w:p w:rsidR="004616EA" w:rsidRPr="008255E5" w:rsidRDefault="004616EA" w:rsidP="008255E5">
      <w:pPr>
        <w:spacing w:after="0" w:line="240" w:lineRule="auto"/>
        <w:ind w:firstLine="709"/>
        <w:jc w:val="both"/>
        <w:rPr>
          <w:rFonts w:ascii="Times New Roman" w:hAnsi="Times New Roman"/>
          <w:b/>
          <w:sz w:val="26"/>
          <w:szCs w:val="26"/>
        </w:rPr>
      </w:pPr>
      <w:r w:rsidRPr="008255E5">
        <w:rPr>
          <w:rFonts w:ascii="Times New Roman" w:hAnsi="Times New Roman"/>
          <w:b/>
          <w:sz w:val="26"/>
          <w:szCs w:val="26"/>
        </w:rPr>
        <w:t>3.4.2. Агропромышленный комплекс</w:t>
      </w:r>
    </w:p>
    <w:p w:rsidR="004616EA" w:rsidRPr="008255E5" w:rsidRDefault="004616EA" w:rsidP="008255E5">
      <w:pPr>
        <w:tabs>
          <w:tab w:val="center" w:pos="1134"/>
        </w:tabs>
        <w:spacing w:after="0" w:line="240" w:lineRule="auto"/>
        <w:ind w:firstLine="709"/>
        <w:jc w:val="both"/>
        <w:rPr>
          <w:rFonts w:ascii="Times New Roman" w:hAnsi="Times New Roman"/>
          <w:sz w:val="26"/>
          <w:szCs w:val="26"/>
        </w:rPr>
      </w:pPr>
      <w:r w:rsidRPr="008255E5">
        <w:rPr>
          <w:rFonts w:ascii="Times New Roman" w:hAnsi="Times New Roman"/>
          <w:sz w:val="26"/>
          <w:szCs w:val="26"/>
        </w:rPr>
        <w:t>В связи с тем, что возможности развития городского округа город Когалым не ограничиваются только добычей природных ресурсов, одним из возможных вариантов диверсификации экономики города может стать развитие агропромышленного комплекса.</w:t>
      </w:r>
    </w:p>
    <w:p w:rsidR="004616EA" w:rsidRPr="008255E5" w:rsidRDefault="004616EA" w:rsidP="008255E5">
      <w:pPr>
        <w:tabs>
          <w:tab w:val="center" w:pos="1134"/>
        </w:tabs>
        <w:spacing w:after="0" w:line="240" w:lineRule="auto"/>
        <w:ind w:firstLine="709"/>
        <w:jc w:val="both"/>
        <w:rPr>
          <w:rFonts w:ascii="Times New Roman" w:hAnsi="Times New Roman"/>
          <w:sz w:val="26"/>
          <w:szCs w:val="26"/>
        </w:rPr>
      </w:pPr>
      <w:r w:rsidRPr="008255E5">
        <w:rPr>
          <w:rFonts w:ascii="Times New Roman" w:hAnsi="Times New Roman"/>
          <w:sz w:val="26"/>
          <w:szCs w:val="26"/>
        </w:rPr>
        <w:t xml:space="preserve">Для оценки развития агропромышленного комплекса были использованы следующие показатели: </w:t>
      </w:r>
    </w:p>
    <w:p w:rsidR="004616EA" w:rsidRPr="008255E5" w:rsidRDefault="004616EA" w:rsidP="008255E5">
      <w:pPr>
        <w:pStyle w:val="a7"/>
        <w:numPr>
          <w:ilvl w:val="0"/>
          <w:numId w:val="24"/>
        </w:numPr>
        <w:tabs>
          <w:tab w:val="center" w:pos="0"/>
          <w:tab w:val="left" w:pos="993"/>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 xml:space="preserve">продукция сельского хозяйства в хозяйствах всех категорий в 2012 г., млн руб.; </w:t>
      </w:r>
    </w:p>
    <w:p w:rsidR="004616EA" w:rsidRPr="008255E5" w:rsidRDefault="004616EA" w:rsidP="008255E5">
      <w:pPr>
        <w:pStyle w:val="a7"/>
        <w:numPr>
          <w:ilvl w:val="0"/>
          <w:numId w:val="24"/>
        </w:numPr>
        <w:tabs>
          <w:tab w:val="center" w:pos="0"/>
          <w:tab w:val="left" w:pos="993"/>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темп роста объема производства продукции сельского хозяйства, 2012/2011 гг., %;</w:t>
      </w:r>
    </w:p>
    <w:p w:rsidR="004616EA" w:rsidRPr="008255E5" w:rsidRDefault="004616EA" w:rsidP="008255E5">
      <w:pPr>
        <w:pStyle w:val="a7"/>
        <w:numPr>
          <w:ilvl w:val="0"/>
          <w:numId w:val="24"/>
        </w:numPr>
        <w:tabs>
          <w:tab w:val="center" w:pos="0"/>
          <w:tab w:val="left" w:pos="993"/>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доля продукции сельского хозяйства муниципального образования в общем объеме произведенной продукции Ханты-Мансийского автономного округа-Югры, %.</w:t>
      </w:r>
    </w:p>
    <w:p w:rsidR="004616EA" w:rsidRPr="008255E5" w:rsidRDefault="004616EA" w:rsidP="008255E5">
      <w:pPr>
        <w:tabs>
          <w:tab w:val="center" w:pos="0"/>
          <w:tab w:val="left" w:pos="993"/>
        </w:tabs>
        <w:spacing w:after="0" w:line="240" w:lineRule="auto"/>
        <w:ind w:firstLine="709"/>
        <w:jc w:val="both"/>
        <w:rPr>
          <w:rFonts w:ascii="Times New Roman" w:hAnsi="Times New Roman"/>
          <w:sz w:val="26"/>
          <w:szCs w:val="26"/>
        </w:rPr>
      </w:pPr>
      <w:r w:rsidRPr="008255E5">
        <w:rPr>
          <w:rFonts w:ascii="Times New Roman" w:hAnsi="Times New Roman"/>
          <w:sz w:val="26"/>
          <w:szCs w:val="26"/>
        </w:rPr>
        <w:t>В соответствии с у  становленными показателями городские округа Ханты-Мансийского автономного округа-Югры были объединены в 4 стандартные стратегические группы (</w:t>
      </w:r>
      <w:r w:rsidR="001977F4">
        <w:fldChar w:fldCharType="begin"/>
      </w:r>
      <w:r w:rsidR="001977F4">
        <w:instrText xml:space="preserve"> REF _Ref397079785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49</w:t>
      </w:r>
      <w:r w:rsidR="001977F4">
        <w:fldChar w:fldCharType="end"/>
      </w:r>
      <w:r w:rsidRPr="008255E5">
        <w:rPr>
          <w:rFonts w:ascii="Times New Roman" w:hAnsi="Times New Roman"/>
          <w:sz w:val="26"/>
          <w:szCs w:val="26"/>
        </w:rPr>
        <w:t>).</w:t>
      </w:r>
    </w:p>
    <w:p w:rsidR="004616EA" w:rsidRPr="00475E67" w:rsidRDefault="00E70A58" w:rsidP="00A40A0C">
      <w:pPr>
        <w:pStyle w:val="a7"/>
        <w:keepNext/>
        <w:tabs>
          <w:tab w:val="left" w:pos="0"/>
        </w:tabs>
        <w:spacing w:after="0"/>
        <w:ind w:left="0"/>
        <w:jc w:val="center"/>
      </w:pPr>
      <w:r>
        <w:rPr>
          <w:noProof/>
        </w:rPr>
        <w:drawing>
          <wp:inline distT="0" distB="0" distL="0" distR="0">
            <wp:extent cx="5623560" cy="4869180"/>
            <wp:effectExtent l="0" t="0" r="0" b="7620"/>
            <wp:docPr id="47" name="Диаграмма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4616EA" w:rsidRPr="00475E67" w:rsidRDefault="004616EA" w:rsidP="00A40A0C">
      <w:pPr>
        <w:pStyle w:val="af1"/>
        <w:jc w:val="center"/>
        <w:rPr>
          <w:rFonts w:ascii="Times New Roman" w:hAnsi="Times New Roman"/>
          <w:b w:val="0"/>
          <w:color w:val="auto"/>
          <w:sz w:val="36"/>
        </w:rPr>
      </w:pPr>
      <w:bookmarkStart w:id="130" w:name="_Ref397079785"/>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49</w:t>
      </w:r>
      <w:r w:rsidRPr="00475E67">
        <w:rPr>
          <w:rFonts w:ascii="Times New Roman" w:hAnsi="Times New Roman"/>
          <w:b w:val="0"/>
          <w:color w:val="auto"/>
          <w:sz w:val="24"/>
        </w:rPr>
        <w:fldChar w:fldCharType="end"/>
      </w:r>
      <w:bookmarkEnd w:id="130"/>
      <w:r w:rsidRPr="00475E67">
        <w:rPr>
          <w:rFonts w:ascii="Times New Roman" w:hAnsi="Times New Roman"/>
          <w:b w:val="0"/>
          <w:color w:val="auto"/>
          <w:sz w:val="24"/>
        </w:rPr>
        <w:t xml:space="preserve"> - Бостонская матрица уровня развития агропромышленного комплекса в городских округах Ханты-Мансийского автономного округа-Югры</w:t>
      </w:r>
    </w:p>
    <w:p w:rsidR="004616EA" w:rsidRPr="008255E5" w:rsidRDefault="004616EA" w:rsidP="008255E5">
      <w:pPr>
        <w:spacing w:after="0" w:line="240" w:lineRule="auto"/>
        <w:ind w:firstLine="709"/>
        <w:jc w:val="both"/>
        <w:rPr>
          <w:rFonts w:ascii="Times New Roman" w:hAnsi="Times New Roman"/>
          <w:sz w:val="26"/>
          <w:szCs w:val="26"/>
        </w:rPr>
      </w:pP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В группе «Трудные дети» с относительно низким уровнем объема производства продукции сельского хозяйства в хозяйствах всех категорий и высоким темпом роста указанного показателя полностью находится пока только город Когалым, у которого в дальнейшем при поддержке развития отдельных отраслей комплекса есть все шансы попасть в группу «Звезды». Также в данную группу частично входит город Югорск и город Нягань.</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К группе «Собаки», характеризующейся низким уровнем объема производства продукции сельского хозяйства в хозяйствах всех категорий и низким темпом роста указанного показателя относятся следующие городские округа: частично - Нягань и Югорск, полностью – Нефтеюганск, Урай, Ханты-Мансийск, Пыть-Ях, Мегион, Лангепас, Покачи, Радужный.</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К группе «Дойные коровы», характеризующейся высоким уровнем объема производства продукции сельского хозяйства в хозяйствах всех категорий и низким темпом роста указанного показателя относятся город Сургут и город Нижневартовск.</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В группе «Звезды» (высокие объемы производства и темпы роста) пока полностью не находится ни один городской округ, но в данную группу стремятся города Югорск, Сургут и Нижневартовск.</w:t>
      </w:r>
    </w:p>
    <w:p w:rsidR="004616EA" w:rsidRPr="008255E5" w:rsidRDefault="004616EA" w:rsidP="008255E5">
      <w:pPr>
        <w:spacing w:after="0" w:line="240" w:lineRule="auto"/>
        <w:ind w:firstLine="709"/>
        <w:jc w:val="both"/>
        <w:rPr>
          <w:rFonts w:ascii="Times New Roman" w:hAnsi="Times New Roman"/>
          <w:b/>
          <w:sz w:val="26"/>
          <w:szCs w:val="26"/>
        </w:rPr>
      </w:pPr>
      <w:r w:rsidRPr="008255E5">
        <w:rPr>
          <w:rFonts w:ascii="Times New Roman" w:hAnsi="Times New Roman"/>
          <w:b/>
          <w:sz w:val="26"/>
          <w:szCs w:val="26"/>
        </w:rPr>
        <w:t>3.4.2 Сектор промышленного производства (без добывающих производств)</w:t>
      </w:r>
    </w:p>
    <w:p w:rsidR="004616EA" w:rsidRPr="008255E5" w:rsidRDefault="004616EA" w:rsidP="008255E5">
      <w:pPr>
        <w:tabs>
          <w:tab w:val="center" w:pos="1134"/>
        </w:tabs>
        <w:spacing w:after="0" w:line="240" w:lineRule="auto"/>
        <w:ind w:firstLine="709"/>
        <w:jc w:val="both"/>
        <w:rPr>
          <w:rFonts w:ascii="Times New Roman" w:hAnsi="Times New Roman"/>
          <w:sz w:val="26"/>
          <w:szCs w:val="26"/>
        </w:rPr>
      </w:pPr>
      <w:r w:rsidRPr="008255E5">
        <w:rPr>
          <w:rFonts w:ascii="Times New Roman" w:hAnsi="Times New Roman"/>
          <w:sz w:val="26"/>
          <w:szCs w:val="26"/>
        </w:rPr>
        <w:t>Диверсификация экономики – это одна из главных задач развития территории, на решение которой направлен вектор развития как Правительства Ханты-Мансийского автономного округа</w:t>
      </w:r>
      <w:r>
        <w:rPr>
          <w:rFonts w:ascii="Times New Roman" w:hAnsi="Times New Roman"/>
          <w:sz w:val="26"/>
          <w:szCs w:val="26"/>
        </w:rPr>
        <w:t xml:space="preserve"> </w:t>
      </w:r>
      <w:r w:rsidRPr="008255E5">
        <w:rPr>
          <w:rFonts w:ascii="Times New Roman" w:hAnsi="Times New Roman"/>
          <w:sz w:val="26"/>
          <w:szCs w:val="26"/>
        </w:rPr>
        <w:t>-</w:t>
      </w:r>
      <w:r>
        <w:rPr>
          <w:rFonts w:ascii="Times New Roman" w:hAnsi="Times New Roman"/>
          <w:sz w:val="26"/>
          <w:szCs w:val="26"/>
        </w:rPr>
        <w:t xml:space="preserve"> </w:t>
      </w:r>
      <w:r w:rsidRPr="008255E5">
        <w:rPr>
          <w:rFonts w:ascii="Times New Roman" w:hAnsi="Times New Roman"/>
          <w:sz w:val="26"/>
          <w:szCs w:val="26"/>
        </w:rPr>
        <w:t>Югры, так и муниципальных образований региона. Моноцентричность экономики обладает весомыми рисками и противоречивостью для развития территории. Поэтому помимо добычи основных природных ресурсов необходимо развивать обрабатывающие производства.</w:t>
      </w:r>
    </w:p>
    <w:p w:rsidR="004616EA" w:rsidRPr="008255E5" w:rsidRDefault="004616EA" w:rsidP="008255E5">
      <w:pPr>
        <w:tabs>
          <w:tab w:val="center" w:pos="1134"/>
        </w:tabs>
        <w:spacing w:after="0" w:line="240" w:lineRule="auto"/>
        <w:ind w:firstLine="709"/>
        <w:jc w:val="both"/>
        <w:rPr>
          <w:rFonts w:ascii="Times New Roman" w:hAnsi="Times New Roman"/>
          <w:sz w:val="26"/>
          <w:szCs w:val="26"/>
        </w:rPr>
      </w:pPr>
      <w:r w:rsidRPr="008255E5">
        <w:rPr>
          <w:rFonts w:ascii="Times New Roman" w:hAnsi="Times New Roman"/>
          <w:sz w:val="26"/>
          <w:szCs w:val="26"/>
        </w:rPr>
        <w:t xml:space="preserve">Для оценки сектора обрабатывающих производств были использованы следующие показатели: </w:t>
      </w:r>
    </w:p>
    <w:p w:rsidR="004616EA" w:rsidRPr="008255E5" w:rsidRDefault="004616EA" w:rsidP="008255E5">
      <w:pPr>
        <w:pStyle w:val="a7"/>
        <w:numPr>
          <w:ilvl w:val="0"/>
          <w:numId w:val="27"/>
        </w:numPr>
        <w:tabs>
          <w:tab w:val="center"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объем отгруженной продукции промышленного производства (без добывающих производств) в 2013 г.;</w:t>
      </w:r>
    </w:p>
    <w:p w:rsidR="004616EA" w:rsidRPr="008255E5" w:rsidRDefault="004616EA" w:rsidP="008255E5">
      <w:pPr>
        <w:pStyle w:val="a7"/>
        <w:numPr>
          <w:ilvl w:val="0"/>
          <w:numId w:val="27"/>
        </w:numPr>
        <w:tabs>
          <w:tab w:val="center"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темп роста объема отгруженной продукции промышленного производства (2012-2013 гг.);</w:t>
      </w:r>
    </w:p>
    <w:p w:rsidR="004616EA" w:rsidRPr="008255E5" w:rsidRDefault="004616EA" w:rsidP="008255E5">
      <w:pPr>
        <w:pStyle w:val="a7"/>
        <w:numPr>
          <w:ilvl w:val="0"/>
          <w:numId w:val="27"/>
        </w:numPr>
        <w:tabs>
          <w:tab w:val="center"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доля отгруженной продукции промышленного производства муниципального образования в общем объеме отгруженной продукции Ханты-Мансийского автономного округа – Югры.</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В соответствии с установленными показателями муниципальные образования были объединены в 4 стандартные стратегические группы, представленные ниже (</w:t>
      </w:r>
      <w:r w:rsidR="001977F4">
        <w:fldChar w:fldCharType="begin"/>
      </w:r>
      <w:r w:rsidR="001977F4">
        <w:instrText xml:space="preserve"> REF _Ref397079833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50</w:t>
      </w:r>
      <w:r w:rsidR="001977F4">
        <w:fldChar w:fldCharType="end"/>
      </w:r>
      <w:r w:rsidRPr="008255E5">
        <w:rPr>
          <w:rFonts w:ascii="Times New Roman" w:hAnsi="Times New Roman"/>
          <w:sz w:val="26"/>
          <w:szCs w:val="26"/>
        </w:rPr>
        <w:t>).</w:t>
      </w:r>
    </w:p>
    <w:p w:rsidR="004616EA" w:rsidRPr="00475E67" w:rsidRDefault="004616EA" w:rsidP="0091332B">
      <w:pPr>
        <w:spacing w:after="0"/>
        <w:jc w:val="center"/>
        <w:rPr>
          <w:rFonts w:ascii="Times New Roman" w:hAnsi="Times New Roman"/>
          <w:sz w:val="24"/>
          <w:szCs w:val="24"/>
        </w:rPr>
      </w:pPr>
    </w:p>
    <w:p w:rsidR="004616EA" w:rsidRPr="00475E67" w:rsidRDefault="00E70A58" w:rsidP="007B0B49">
      <w:pPr>
        <w:keepNext/>
        <w:spacing w:after="0"/>
        <w:jc w:val="center"/>
      </w:pPr>
      <w:r>
        <w:rPr>
          <w:noProof/>
          <w:lang w:eastAsia="ru-RU"/>
        </w:rPr>
        <w:drawing>
          <wp:inline distT="0" distB="0" distL="0" distR="0">
            <wp:extent cx="5943600" cy="4724400"/>
            <wp:effectExtent l="0" t="0" r="0" b="0"/>
            <wp:docPr id="48" name="Диаграмма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4616EA" w:rsidRPr="007666CD" w:rsidRDefault="004616EA" w:rsidP="007666CD">
      <w:pPr>
        <w:pStyle w:val="af1"/>
        <w:spacing w:after="0"/>
        <w:ind w:firstLine="709"/>
        <w:jc w:val="both"/>
        <w:rPr>
          <w:rFonts w:ascii="Times New Roman" w:hAnsi="Times New Roman"/>
          <w:b w:val="0"/>
          <w:color w:val="auto"/>
          <w:sz w:val="24"/>
          <w:szCs w:val="24"/>
        </w:rPr>
      </w:pPr>
      <w:bookmarkStart w:id="131" w:name="_Ref397079833"/>
      <w:r w:rsidRPr="007666CD">
        <w:rPr>
          <w:rFonts w:ascii="Times New Roman" w:hAnsi="Times New Roman"/>
          <w:b w:val="0"/>
          <w:color w:val="auto"/>
          <w:sz w:val="24"/>
          <w:szCs w:val="24"/>
        </w:rPr>
        <w:t xml:space="preserve">Рисунок </w:t>
      </w:r>
      <w:r w:rsidRPr="007666CD">
        <w:rPr>
          <w:rFonts w:ascii="Times New Roman" w:hAnsi="Times New Roman"/>
          <w:b w:val="0"/>
          <w:color w:val="auto"/>
          <w:sz w:val="24"/>
          <w:szCs w:val="24"/>
        </w:rPr>
        <w:fldChar w:fldCharType="begin"/>
      </w:r>
      <w:r w:rsidRPr="007666CD">
        <w:rPr>
          <w:rFonts w:ascii="Times New Roman" w:hAnsi="Times New Roman"/>
          <w:b w:val="0"/>
          <w:color w:val="auto"/>
          <w:sz w:val="24"/>
          <w:szCs w:val="24"/>
        </w:rPr>
        <w:instrText xml:space="preserve"> SEQ Рисунок \* ARABIC </w:instrText>
      </w:r>
      <w:r w:rsidRPr="007666CD">
        <w:rPr>
          <w:rFonts w:ascii="Times New Roman" w:hAnsi="Times New Roman"/>
          <w:b w:val="0"/>
          <w:color w:val="auto"/>
          <w:sz w:val="24"/>
          <w:szCs w:val="24"/>
        </w:rPr>
        <w:fldChar w:fldCharType="separate"/>
      </w:r>
      <w:r w:rsidR="001977F4">
        <w:rPr>
          <w:rFonts w:ascii="Times New Roman" w:hAnsi="Times New Roman"/>
          <w:b w:val="0"/>
          <w:noProof/>
          <w:color w:val="auto"/>
          <w:sz w:val="24"/>
          <w:szCs w:val="24"/>
        </w:rPr>
        <w:t>50</w:t>
      </w:r>
      <w:r w:rsidRPr="007666CD">
        <w:rPr>
          <w:rFonts w:ascii="Times New Roman" w:hAnsi="Times New Roman"/>
          <w:b w:val="0"/>
          <w:color w:val="auto"/>
          <w:sz w:val="24"/>
          <w:szCs w:val="24"/>
        </w:rPr>
        <w:fldChar w:fldCharType="end"/>
      </w:r>
      <w:bookmarkEnd w:id="131"/>
      <w:r w:rsidRPr="007666CD">
        <w:rPr>
          <w:rFonts w:ascii="Times New Roman" w:hAnsi="Times New Roman"/>
          <w:b w:val="0"/>
          <w:color w:val="auto"/>
          <w:sz w:val="24"/>
          <w:szCs w:val="24"/>
        </w:rPr>
        <w:t xml:space="preserve"> - Бостонская матрица по промышленному производству (без добывающих производств) в городских округах Ханты-Мансийского автономного округа - Югры</w:t>
      </w:r>
    </w:p>
    <w:p w:rsidR="004616EA" w:rsidRDefault="004616EA" w:rsidP="007666CD">
      <w:pPr>
        <w:spacing w:after="0" w:line="240" w:lineRule="auto"/>
        <w:ind w:firstLine="709"/>
        <w:jc w:val="both"/>
        <w:rPr>
          <w:rFonts w:ascii="Times New Roman" w:hAnsi="Times New Roman"/>
          <w:sz w:val="26"/>
          <w:szCs w:val="26"/>
        </w:rPr>
      </w:pP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В группе «Трудные дети» располагается только город Когалым, который обладает самыми высокими темпами роста промышленного производства и невысокими объемами отгруженной продукции промышленного производства.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В группе «Собаки» находится большая часть городских округов: город Покачи, город Мегион, город Пыть-Ях, город Урай, город Лангепас, город Ханты-Мансийск, город Нягань, город Югорск, город Радужный, город Нефтеюганск, город Нижневартовск. Тем не менее, они обладают разными темпами роста промышленного производства (от 50 до 125 %) и разными объемами отгруженной продукции (от </w:t>
      </w:r>
      <w:r w:rsidRPr="007666CD">
        <w:rPr>
          <w:rFonts w:ascii="Times New Roman" w:hAnsi="Times New Roman"/>
          <w:sz w:val="26"/>
          <w:szCs w:val="26"/>
          <w:lang w:eastAsia="ru-RU"/>
        </w:rPr>
        <w:t>853,79 млн руб. до 32245,30 млн. руб.</w:t>
      </w:r>
      <w:r w:rsidRPr="007666CD">
        <w:rPr>
          <w:rFonts w:ascii="Times New Roman" w:hAnsi="Times New Roman"/>
          <w:sz w:val="26"/>
          <w:szCs w:val="26"/>
        </w:rPr>
        <w:t>).</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К группе «Дойные коровы» относится только город Сургут, но наметилась тенденция к его переходу в группу «Звезды». Город Сургут помимо наибольших объемов промышленного производства среди городских округов Ханты-Мансийского автономного округа - Югры, обладает также наибольшей долей отгруженной продукции промышленного производства муниципального образования в общем объеме отгруженной продукции Ханты-Мансийского автономного округа – Югры.</w:t>
      </w:r>
    </w:p>
    <w:p w:rsidR="004616EA" w:rsidRPr="007666CD" w:rsidRDefault="004616EA" w:rsidP="007666CD">
      <w:pPr>
        <w:spacing w:after="0" w:line="240" w:lineRule="auto"/>
        <w:ind w:firstLine="709"/>
        <w:jc w:val="both"/>
        <w:rPr>
          <w:sz w:val="26"/>
          <w:szCs w:val="26"/>
        </w:rPr>
      </w:pPr>
      <w:r w:rsidRPr="007666CD">
        <w:rPr>
          <w:rFonts w:ascii="Times New Roman" w:hAnsi="Times New Roman"/>
          <w:sz w:val="26"/>
          <w:szCs w:val="26"/>
        </w:rPr>
        <w:t>Таким образом, в группе «Звезды» пока не находится ни один городской округ.</w:t>
      </w:r>
    </w:p>
    <w:p w:rsidR="004616EA" w:rsidRPr="007666CD" w:rsidRDefault="004616EA" w:rsidP="007666CD">
      <w:pPr>
        <w:spacing w:after="0" w:line="240" w:lineRule="auto"/>
        <w:ind w:firstLine="709"/>
        <w:jc w:val="both"/>
        <w:rPr>
          <w:rFonts w:ascii="Times New Roman" w:hAnsi="Times New Roman"/>
          <w:b/>
          <w:sz w:val="26"/>
          <w:szCs w:val="26"/>
        </w:rPr>
      </w:pPr>
      <w:r w:rsidRPr="007666CD">
        <w:rPr>
          <w:rFonts w:ascii="Times New Roman" w:hAnsi="Times New Roman"/>
          <w:b/>
          <w:sz w:val="26"/>
          <w:szCs w:val="26"/>
        </w:rPr>
        <w:t>3.4.3 Инвестиционная деятельность</w:t>
      </w:r>
    </w:p>
    <w:p w:rsidR="004616EA" w:rsidRPr="007666CD" w:rsidRDefault="004616EA" w:rsidP="007666CD">
      <w:pPr>
        <w:tabs>
          <w:tab w:val="center" w:pos="1134"/>
        </w:tabs>
        <w:spacing w:after="0" w:line="240" w:lineRule="auto"/>
        <w:ind w:firstLine="709"/>
        <w:jc w:val="both"/>
        <w:rPr>
          <w:rFonts w:ascii="Times New Roman" w:hAnsi="Times New Roman"/>
          <w:sz w:val="26"/>
          <w:szCs w:val="26"/>
        </w:rPr>
      </w:pPr>
      <w:r w:rsidRPr="007666CD">
        <w:rPr>
          <w:rFonts w:ascii="Times New Roman" w:hAnsi="Times New Roman"/>
          <w:sz w:val="26"/>
          <w:szCs w:val="26"/>
        </w:rPr>
        <w:t>Показатель, по которому проводится сравнительный анализ в данном разделе – инвестиции в основной капитал по крупным и средним предприятиям – позволяет оценить объем средств, направляемых на модернизацию или увеличение основных фондов, что в дальнейшем способствует выпуску более конкурентоспособной продукции и развитию экономики города в целом.</w:t>
      </w:r>
    </w:p>
    <w:p w:rsidR="004616EA" w:rsidRPr="007666CD" w:rsidRDefault="004616EA" w:rsidP="007666CD">
      <w:pPr>
        <w:tabs>
          <w:tab w:val="center" w:pos="1134"/>
        </w:tabs>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Для оценки инвестиционной деятельности были использованы следующие показатели: </w:t>
      </w:r>
    </w:p>
    <w:p w:rsidR="004616EA" w:rsidRPr="007666CD" w:rsidRDefault="004616EA" w:rsidP="007666CD">
      <w:pPr>
        <w:pStyle w:val="a7"/>
        <w:numPr>
          <w:ilvl w:val="0"/>
          <w:numId w:val="27"/>
        </w:numPr>
        <w:tabs>
          <w:tab w:val="center" w:pos="1134"/>
        </w:tabs>
        <w:spacing w:after="0" w:line="240" w:lineRule="auto"/>
        <w:ind w:left="0" w:firstLine="709"/>
        <w:contextualSpacing w:val="0"/>
        <w:jc w:val="both"/>
        <w:rPr>
          <w:rFonts w:ascii="Times New Roman" w:hAnsi="Times New Roman"/>
          <w:sz w:val="26"/>
          <w:szCs w:val="26"/>
        </w:rPr>
      </w:pPr>
      <w:r w:rsidRPr="007666CD">
        <w:rPr>
          <w:rFonts w:ascii="Times New Roman" w:hAnsi="Times New Roman"/>
          <w:sz w:val="26"/>
          <w:szCs w:val="26"/>
        </w:rPr>
        <w:t>инвестиции в основной капитал по крупным и средним предприятиям, млн. руб. в 2013 г.;</w:t>
      </w:r>
    </w:p>
    <w:p w:rsidR="004616EA" w:rsidRPr="007666CD" w:rsidRDefault="004616EA" w:rsidP="007666CD">
      <w:pPr>
        <w:pStyle w:val="a7"/>
        <w:numPr>
          <w:ilvl w:val="0"/>
          <w:numId w:val="27"/>
        </w:numPr>
        <w:tabs>
          <w:tab w:val="center" w:pos="1134"/>
        </w:tabs>
        <w:spacing w:after="0" w:line="240" w:lineRule="auto"/>
        <w:ind w:left="0" w:firstLine="709"/>
        <w:contextualSpacing w:val="0"/>
        <w:jc w:val="both"/>
        <w:rPr>
          <w:rFonts w:ascii="Times New Roman" w:hAnsi="Times New Roman"/>
          <w:sz w:val="26"/>
          <w:szCs w:val="26"/>
        </w:rPr>
      </w:pPr>
      <w:r w:rsidRPr="007666CD">
        <w:rPr>
          <w:rFonts w:ascii="Times New Roman" w:hAnsi="Times New Roman"/>
          <w:sz w:val="26"/>
          <w:szCs w:val="26"/>
        </w:rPr>
        <w:t>темп роста объемов инвестиции в основной капитал по крупным и средним предприятиям, 2013/2012 гг., %;</w:t>
      </w:r>
    </w:p>
    <w:p w:rsidR="004616EA" w:rsidRPr="007666CD" w:rsidRDefault="004616EA" w:rsidP="007666CD">
      <w:pPr>
        <w:pStyle w:val="a7"/>
        <w:numPr>
          <w:ilvl w:val="0"/>
          <w:numId w:val="27"/>
        </w:numPr>
        <w:tabs>
          <w:tab w:val="center" w:pos="1134"/>
        </w:tabs>
        <w:spacing w:after="0" w:line="240" w:lineRule="auto"/>
        <w:ind w:left="0" w:firstLine="709"/>
        <w:contextualSpacing w:val="0"/>
        <w:jc w:val="both"/>
        <w:rPr>
          <w:rFonts w:ascii="Times New Roman" w:hAnsi="Times New Roman"/>
          <w:sz w:val="26"/>
          <w:szCs w:val="26"/>
        </w:rPr>
      </w:pPr>
      <w:r w:rsidRPr="007666CD">
        <w:rPr>
          <w:rFonts w:ascii="Times New Roman" w:hAnsi="Times New Roman"/>
          <w:sz w:val="26"/>
          <w:szCs w:val="26"/>
        </w:rPr>
        <w:t>доля инвестиций в основной капитал по крупным и средним предприятиям муниципального образования в общем объеме инвестиций в основной капитал по крупным и средним предприятиям Ханты-Мансийского автономного округа – Югры.</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В соответствии с установленными показателями муниципальные образования были объединены в 4 стандартные стратегические группы, представленные ниже (</w:t>
      </w:r>
      <w:r w:rsidR="001977F4">
        <w:fldChar w:fldCharType="begin"/>
      </w:r>
      <w:r w:rsidR="001977F4">
        <w:instrText xml:space="preserve"> REF _Ref397079890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51</w:t>
      </w:r>
      <w:r w:rsidR="001977F4">
        <w:fldChar w:fldCharType="end"/>
      </w:r>
      <w:r w:rsidRPr="007666CD">
        <w:rPr>
          <w:rFonts w:ascii="Times New Roman" w:hAnsi="Times New Roman"/>
          <w:sz w:val="26"/>
          <w:szCs w:val="26"/>
        </w:rPr>
        <w:t>).</w:t>
      </w:r>
    </w:p>
    <w:p w:rsidR="004616EA" w:rsidRPr="007666CD" w:rsidRDefault="00E70A58" w:rsidP="007666CD">
      <w:pPr>
        <w:keepNext/>
        <w:spacing w:after="0" w:line="240" w:lineRule="auto"/>
        <w:ind w:firstLine="709"/>
        <w:jc w:val="both"/>
        <w:rPr>
          <w:sz w:val="26"/>
          <w:szCs w:val="26"/>
        </w:rPr>
      </w:pPr>
      <w:r>
        <w:rPr>
          <w:noProof/>
          <w:sz w:val="26"/>
          <w:szCs w:val="26"/>
          <w:lang w:eastAsia="ru-RU"/>
        </w:rPr>
        <w:drawing>
          <wp:inline distT="0" distB="0" distL="0" distR="0">
            <wp:extent cx="5402580" cy="4160520"/>
            <wp:effectExtent l="0" t="0" r="7620" b="0"/>
            <wp:docPr id="49" name="Диаграмма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4616EA" w:rsidRPr="00475E67" w:rsidRDefault="004616EA" w:rsidP="00251BCA">
      <w:pPr>
        <w:pStyle w:val="af1"/>
        <w:jc w:val="center"/>
        <w:rPr>
          <w:rFonts w:ascii="Times New Roman" w:hAnsi="Times New Roman"/>
          <w:b w:val="0"/>
          <w:color w:val="auto"/>
          <w:sz w:val="24"/>
        </w:rPr>
      </w:pPr>
      <w:bookmarkStart w:id="132" w:name="_Ref397079890"/>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51</w:t>
      </w:r>
      <w:r w:rsidRPr="00475E67">
        <w:rPr>
          <w:rFonts w:ascii="Times New Roman" w:hAnsi="Times New Roman"/>
          <w:b w:val="0"/>
          <w:color w:val="auto"/>
          <w:sz w:val="24"/>
        </w:rPr>
        <w:fldChar w:fldCharType="end"/>
      </w:r>
      <w:bookmarkEnd w:id="132"/>
      <w:r w:rsidRPr="00475E67">
        <w:rPr>
          <w:rFonts w:ascii="Times New Roman" w:hAnsi="Times New Roman"/>
          <w:b w:val="0"/>
          <w:color w:val="auto"/>
          <w:sz w:val="24"/>
        </w:rPr>
        <w:t xml:space="preserve"> - Бостонская матрица по инвестиционной деятельности в городских округах </w:t>
      </w:r>
      <w:r w:rsidRPr="00E30F0B">
        <w:rPr>
          <w:rFonts w:ascii="Times New Roman" w:hAnsi="Times New Roman"/>
          <w:b w:val="0"/>
          <w:color w:val="auto"/>
          <w:sz w:val="24"/>
        </w:rPr>
        <w:t xml:space="preserve">Ханты-Мансийского автономного округа </w:t>
      </w:r>
      <w:r w:rsidRPr="00475E67">
        <w:rPr>
          <w:rFonts w:ascii="Times New Roman" w:hAnsi="Times New Roman"/>
          <w:b w:val="0"/>
          <w:color w:val="auto"/>
          <w:sz w:val="24"/>
        </w:rPr>
        <w:t>-</w:t>
      </w:r>
      <w:r>
        <w:rPr>
          <w:rFonts w:ascii="Times New Roman" w:hAnsi="Times New Roman"/>
          <w:b w:val="0"/>
          <w:color w:val="auto"/>
          <w:sz w:val="24"/>
        </w:rPr>
        <w:t xml:space="preserve"> </w:t>
      </w:r>
      <w:r w:rsidRPr="00475E67">
        <w:rPr>
          <w:rFonts w:ascii="Times New Roman" w:hAnsi="Times New Roman"/>
          <w:b w:val="0"/>
          <w:color w:val="auto"/>
          <w:sz w:val="24"/>
        </w:rPr>
        <w:t>Югры</w:t>
      </w:r>
    </w:p>
    <w:p w:rsidR="004616EA" w:rsidRPr="007666CD" w:rsidRDefault="004616EA" w:rsidP="007666CD">
      <w:pPr>
        <w:spacing w:after="0" w:line="240" w:lineRule="auto"/>
        <w:ind w:firstLine="709"/>
        <w:jc w:val="both"/>
        <w:rPr>
          <w:rFonts w:ascii="Times New Roman" w:hAnsi="Times New Roman"/>
          <w:sz w:val="26"/>
          <w:szCs w:val="26"/>
        </w:rPr>
      </w:pP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К группе «Трудные дети» относятся следующие городские округа: Нефтеюганск, Мегион, Радужный, Лангепас. Данные городские округа обладают сравнительно небольшими объемами инвестиций в основной капитал по крупным и средним предприятиям, но довольно высокими темпами роста данного показателя.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В группу «Собаки» вошла большая часть рассматриваемых муниципальных образований, а именно город Урай, город Югорск, город Когалым, город Нягань, город Покачи, город Пыть-Ях и частично сюда еще относится город Сургут. У города Когалыма темпы роста объемов инвестиций растут, что позволяет предположить его дальнейшее попадание в группу «Трудные дети».</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К группе «Дойные коровы» частично относится только город Сургут, на территории которого расположено довольно большое количество крупных и средних предприятий.</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В группу «Звезды» входит только город Нижневартовск, помимо всего прочего обладающий самой большой долей объемов инвестиций в основной капитал по крупным и средним предприятиям в регионе.</w:t>
      </w:r>
    </w:p>
    <w:p w:rsidR="004616EA" w:rsidRPr="00475E67" w:rsidRDefault="004616EA" w:rsidP="00471337">
      <w:pPr>
        <w:tabs>
          <w:tab w:val="center" w:pos="993"/>
        </w:tabs>
        <w:spacing w:after="0"/>
        <w:ind w:firstLine="709"/>
        <w:jc w:val="both"/>
        <w:rPr>
          <w:rFonts w:ascii="Times New Roman" w:hAnsi="Times New Roman"/>
          <w:sz w:val="24"/>
        </w:rPr>
        <w:sectPr w:rsidR="004616EA" w:rsidRPr="00475E67" w:rsidSect="005B2DCE">
          <w:pgSz w:w="11906" w:h="16838"/>
          <w:pgMar w:top="1134" w:right="567" w:bottom="1134" w:left="2552" w:header="709" w:footer="709" w:gutter="0"/>
          <w:cols w:space="708"/>
          <w:docGrid w:linePitch="360"/>
        </w:sectPr>
      </w:pPr>
    </w:p>
    <w:p w:rsidR="004616EA" w:rsidRPr="007666CD" w:rsidRDefault="004616EA" w:rsidP="007666CD">
      <w:pPr>
        <w:pStyle w:val="1"/>
        <w:spacing w:before="0" w:after="0"/>
        <w:ind w:firstLine="709"/>
        <w:jc w:val="both"/>
        <w:rPr>
          <w:sz w:val="26"/>
          <w:szCs w:val="26"/>
        </w:rPr>
      </w:pPr>
      <w:bookmarkStart w:id="133" w:name="_Toc405805511"/>
      <w:bookmarkStart w:id="134" w:name="_Toc387239006"/>
      <w:r w:rsidRPr="007666CD">
        <w:rPr>
          <w:sz w:val="26"/>
          <w:szCs w:val="26"/>
        </w:rPr>
        <w:t>4 Анализ существующей структуры администрации города Когалыма</w:t>
      </w:r>
      <w:bookmarkEnd w:id="133"/>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Анализ существующей структуры Администрации города Когалыма и предложения по оптимизации деятельности Администрации города Когалыма проведен на основании представленного ООО «ИТП Град» материала, содержащего информацию о структуре администрации города Когалыма, численности сотрудников органов местного самоуправления, штатного расписания администрации, докладов главы городского округа город Когалым и главы администрации городского округа город Когалым, устава городского округа город Когалым, положений о структурных подразделениях администрации, должностных инструкций сотрудников, а также информации о деятельности администрации городского округа город Когалым, содержащейся в открытых источниках.</w:t>
      </w:r>
    </w:p>
    <w:p w:rsidR="004616EA" w:rsidRPr="007666CD" w:rsidRDefault="004616EA" w:rsidP="007666CD">
      <w:pPr>
        <w:spacing w:after="0" w:line="240" w:lineRule="auto"/>
        <w:ind w:firstLine="709"/>
        <w:jc w:val="both"/>
        <w:rPr>
          <w:rFonts w:ascii="Times New Roman" w:hAnsi="Times New Roman"/>
          <w:b/>
          <w:sz w:val="26"/>
          <w:szCs w:val="26"/>
        </w:rPr>
      </w:pPr>
      <w:r w:rsidRPr="007666CD">
        <w:rPr>
          <w:rFonts w:ascii="Times New Roman" w:hAnsi="Times New Roman"/>
          <w:b/>
          <w:sz w:val="26"/>
          <w:szCs w:val="26"/>
        </w:rPr>
        <w:t>Состав и структура органов, наделенных компетенцией управления территорией</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Эффективное управление территорией требует создания и функционирования четкой структуры органов публичной власти, наделенных компетенцией по реализации возложенных на них полномочий.</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При этом следует иметь в виду, что наряду с органами местного самоуправления, значительное влияние на развитие территории, удовлетворенность проживающего на территории населения оказывает деятельность органов государственной власти Российской Федерации и органов государственной власти субъекта Российской Федерации.</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На территории любого муниципального образования осуществляют свою деятельность территориальные органы федеральных органов государственной власти судебной системы, МВД России, МЧС России, ФМС России, Роспотребнадзора, Росприроднадзора, Росреестра, ФНС России, Росстата, антинаркотического комитета и еще ряда ведомств. Органы государственной власти субъектов Российской Федерации чаще всего создают сеть подведомственных организаций, наделенных компетенцией в части оказания услуг в области здравоохранения, социальной защиты и опеки.</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В этой связи значительное влияние на эффективность управления территорией оказывает использование в процессе управления четких принципов межведомственного взаимодействия, позволяющих не только избежать дублирования исполняемых функций, но и создать атмосферу комфортного оказания услуг населению.</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Значительная доля публичных полномочий, затрагивающих непосредственно интересы проживающего на территории населения, реализуется органами местного самоуправления, деятельность которых регулируется положениями Федерального закона от 6 октября 2003 года №131-ФЗ «Об общих принципах организации местного самоуправления в Российской Федерации» (далее – ФЗ №131) и Федераль</w:t>
      </w:r>
      <w:r>
        <w:rPr>
          <w:rFonts w:ascii="Times New Roman" w:hAnsi="Times New Roman"/>
          <w:sz w:val="26"/>
          <w:szCs w:val="26"/>
        </w:rPr>
        <w:t>ного закона от 2 марта 2007 г. №</w:t>
      </w:r>
      <w:r w:rsidRPr="007666CD">
        <w:rPr>
          <w:rFonts w:ascii="Times New Roman" w:hAnsi="Times New Roman"/>
          <w:sz w:val="26"/>
          <w:szCs w:val="26"/>
        </w:rPr>
        <w:t>25-ФЗ "О муниципальной службе в Российской Федерации", нормами более 200 отраслевых законов, положениями законодательства субъекта Российской Федерации, а также муниципальными правовыми актами. Законодательство регулирует территориальные, правовые и организационные основы деятельности местного самоуправления.</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b/>
          <w:i/>
          <w:sz w:val="26"/>
          <w:szCs w:val="26"/>
        </w:rPr>
        <w:t>Организационные основы местного самоуправления</w:t>
      </w:r>
      <w:r w:rsidRPr="007666CD">
        <w:rPr>
          <w:rFonts w:ascii="Times New Roman" w:hAnsi="Times New Roman"/>
          <w:sz w:val="26"/>
          <w:szCs w:val="26"/>
        </w:rPr>
        <w:t xml:space="preserve"> представляют собой совокупность норм, устанавливающих:</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1) систему органов местного самоуправления (общие принципы ее формирования);</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2) общие принципы формирования структуры органов местного самоуправления;</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3) основы организации муниципальной службы;</w:t>
      </w:r>
    </w:p>
    <w:p w:rsidR="004616EA" w:rsidRPr="007666CD" w:rsidRDefault="004616EA" w:rsidP="007666CD">
      <w:pPr>
        <w:spacing w:after="0" w:line="240" w:lineRule="auto"/>
        <w:ind w:firstLine="709"/>
        <w:jc w:val="both"/>
        <w:rPr>
          <w:rFonts w:ascii="Times New Roman" w:hAnsi="Times New Roman"/>
          <w:sz w:val="26"/>
          <w:szCs w:val="26"/>
          <w:lang w:eastAsia="ru-RU"/>
        </w:rPr>
      </w:pPr>
      <w:r w:rsidRPr="007666CD">
        <w:rPr>
          <w:rFonts w:ascii="Times New Roman" w:hAnsi="Times New Roman"/>
          <w:sz w:val="26"/>
          <w:szCs w:val="26"/>
        </w:rPr>
        <w:t xml:space="preserve">4) особенности организации самоуправления в разных видах муниципальных образований и на территориях со специальным административно-правовым режимом. </w:t>
      </w:r>
      <w:r w:rsidRPr="007666CD">
        <w:rPr>
          <w:rFonts w:ascii="Times New Roman" w:hAnsi="Times New Roman"/>
          <w:sz w:val="26"/>
          <w:szCs w:val="26"/>
          <w:lang w:eastAsia="ru-RU"/>
        </w:rPr>
        <w:t xml:space="preserve">Органы местного </w:t>
      </w:r>
      <w:r w:rsidRPr="007666CD">
        <w:rPr>
          <w:rFonts w:ascii="Times New Roman" w:hAnsi="Times New Roman"/>
          <w:sz w:val="26"/>
          <w:szCs w:val="26"/>
        </w:rPr>
        <w:t>самоуправления и</w:t>
      </w:r>
      <w:r w:rsidRPr="007666CD">
        <w:rPr>
          <w:rFonts w:ascii="Times New Roman" w:hAnsi="Times New Roman"/>
          <w:sz w:val="26"/>
          <w:szCs w:val="26"/>
          <w:lang w:eastAsia="ru-RU"/>
        </w:rPr>
        <w:t>меет внешнюю и внутреннюю форму.</w:t>
      </w:r>
    </w:p>
    <w:p w:rsidR="004616EA" w:rsidRPr="007666CD" w:rsidRDefault="004616EA" w:rsidP="007666CD">
      <w:pPr>
        <w:spacing w:after="0" w:line="240" w:lineRule="auto"/>
        <w:ind w:firstLine="709"/>
        <w:jc w:val="both"/>
        <w:rPr>
          <w:rFonts w:ascii="Times New Roman" w:hAnsi="Times New Roman"/>
          <w:sz w:val="26"/>
          <w:szCs w:val="26"/>
          <w:lang w:eastAsia="ru-RU"/>
        </w:rPr>
      </w:pPr>
      <w:r w:rsidRPr="007666CD">
        <w:rPr>
          <w:rFonts w:ascii="Times New Roman" w:hAnsi="Times New Roman"/>
          <w:sz w:val="26"/>
          <w:szCs w:val="26"/>
          <w:lang w:eastAsia="ru-RU"/>
        </w:rPr>
        <w:t xml:space="preserve">Органы местного самоуправления весьма разнообразны и отличаются друг от друга по видам и сферам деятельности, объему и характеру компетенции.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Конкретная структура и порядок формирования органов местного самоуправления, наименования и полномочия выборных и иных органов местного самоуправления, должностных лиц местного самоуправления в соответствии с частью 1 статьи 44 ФЗ №131 определяется уставом муниципального образования. Федеральный закон №131 и устав муниципального образования наделяют администрацию полномочиями по решению вопросов местного значения и осуществлению отдельных государственных полномочий, переданных на муниципальный уровень федеральными законами и законами субъ</w:t>
      </w:r>
      <w:r w:rsidRPr="007666CD">
        <w:rPr>
          <w:rFonts w:ascii="Times New Roman" w:hAnsi="Times New Roman"/>
          <w:sz w:val="26"/>
          <w:szCs w:val="26"/>
        </w:rPr>
        <w:softHyphen/>
        <w:t>ектов РФ.</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Статья 37 ФЗ №131, устанавливая общие принципы деятельности администрации фиксирует факт, что ею руководит глава администрации на принципах единоначалия, при этом не оговаривая ни направления деятельности, ни конкретные вопросы, входящие в круг обязанностей администрации. Учитывая изложенное, в уставах различных муниципальных образований используются самые разные подходы к определению структуры администрации с большим количеством самостоятельных подразделений, отвечающих за решение конкретных задач. Эффективность деятельности администрации напрямую связана с ее ор</w:t>
      </w:r>
      <w:r w:rsidRPr="007666CD">
        <w:rPr>
          <w:rFonts w:ascii="Times New Roman" w:hAnsi="Times New Roman"/>
          <w:sz w:val="26"/>
          <w:szCs w:val="26"/>
        </w:rPr>
        <w:softHyphen/>
        <w:t>ганизационной структурой. Под организационной структурой принято понимать состав, соподчиненность и взаимосвязь организационных единиц (отдельных должностей), звеньев (управленческих подразделений) и ступеней (уровней), наделенных опреде</w:t>
      </w:r>
      <w:r w:rsidRPr="007666CD">
        <w:rPr>
          <w:rFonts w:ascii="Times New Roman" w:hAnsi="Times New Roman"/>
          <w:sz w:val="26"/>
          <w:szCs w:val="26"/>
        </w:rPr>
        <w:softHyphen/>
        <w:t xml:space="preserve">ленными правами и ответственностью для выполнения соответствующих функций управления.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Основываясь на законодательно закрепленном перечне вопросов местного значения городского округа и полномочиях органов местного самоуправления по их решению в структуре администрации городского округа можно выделить следующие основные блоки: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 экономика и финансы;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 жизнеобеспечение;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 безопасность;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 социальная политика;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 обеспечение деятельности.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Более детальное распределение направлений деятельности по блокам может быть следующим.</w:t>
      </w:r>
    </w:p>
    <w:p w:rsidR="004616EA" w:rsidRPr="007666CD" w:rsidRDefault="004616EA" w:rsidP="007666CD">
      <w:pPr>
        <w:tabs>
          <w:tab w:val="left" w:pos="360"/>
        </w:tabs>
        <w:spacing w:after="0" w:line="240" w:lineRule="auto"/>
        <w:ind w:firstLine="709"/>
        <w:jc w:val="both"/>
        <w:rPr>
          <w:rFonts w:ascii="Times New Roman" w:hAnsi="Times New Roman"/>
          <w:i/>
          <w:sz w:val="26"/>
          <w:szCs w:val="26"/>
        </w:rPr>
      </w:pPr>
      <w:r w:rsidRPr="007666CD">
        <w:rPr>
          <w:rFonts w:ascii="Times New Roman" w:hAnsi="Times New Roman"/>
          <w:i/>
          <w:sz w:val="26"/>
          <w:szCs w:val="26"/>
        </w:rPr>
        <w:t xml:space="preserve">экономика и финансы: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экономическое планирование;</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реализация экономической политики;</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управление муниципальным имуществом;</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 управление муниципальными природными ресурсами;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финансовое и налоговое планирование;</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исполнение бюджета;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финансовый контроль;</w:t>
      </w:r>
    </w:p>
    <w:p w:rsidR="004616EA" w:rsidRPr="007666CD" w:rsidRDefault="004616EA" w:rsidP="007666CD">
      <w:pPr>
        <w:tabs>
          <w:tab w:val="left" w:pos="360"/>
        </w:tabs>
        <w:spacing w:after="0" w:line="240" w:lineRule="auto"/>
        <w:ind w:firstLine="709"/>
        <w:jc w:val="both"/>
        <w:rPr>
          <w:rFonts w:ascii="Times New Roman" w:hAnsi="Times New Roman"/>
          <w:i/>
          <w:sz w:val="26"/>
          <w:szCs w:val="26"/>
        </w:rPr>
      </w:pPr>
      <w:r w:rsidRPr="007666CD">
        <w:rPr>
          <w:rFonts w:ascii="Times New Roman" w:hAnsi="Times New Roman"/>
          <w:i/>
          <w:sz w:val="26"/>
          <w:szCs w:val="26"/>
        </w:rPr>
        <w:t>жизнеобеспечение:</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коммунальное хозяйство;</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строительство;</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благоустройство;</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территориальное планирование и градостроительство;</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транспорт;</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связь;</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торговля;</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общественное питание;</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бытовые услуги;</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ритуальные услуги;</w:t>
      </w:r>
    </w:p>
    <w:p w:rsidR="004616EA" w:rsidRPr="007666CD" w:rsidRDefault="004616EA" w:rsidP="007666CD">
      <w:pPr>
        <w:tabs>
          <w:tab w:val="left" w:pos="360"/>
        </w:tabs>
        <w:spacing w:after="0" w:line="240" w:lineRule="auto"/>
        <w:ind w:firstLine="709"/>
        <w:jc w:val="both"/>
        <w:rPr>
          <w:rFonts w:ascii="Times New Roman" w:hAnsi="Times New Roman"/>
          <w:i/>
          <w:sz w:val="26"/>
          <w:szCs w:val="26"/>
        </w:rPr>
      </w:pPr>
      <w:r w:rsidRPr="007666CD">
        <w:rPr>
          <w:rFonts w:ascii="Times New Roman" w:hAnsi="Times New Roman"/>
          <w:i/>
          <w:sz w:val="26"/>
          <w:szCs w:val="26"/>
        </w:rPr>
        <w:t xml:space="preserve">социальная политика: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общее образование;</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дошкольное образование;</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дополнительное образование;</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культура и досуг;</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физкультура и спорт;</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молодёжная политика;</w:t>
      </w:r>
    </w:p>
    <w:p w:rsidR="004616EA" w:rsidRPr="007666CD" w:rsidRDefault="004616EA" w:rsidP="007666CD">
      <w:pPr>
        <w:tabs>
          <w:tab w:val="left" w:pos="360"/>
        </w:tabs>
        <w:spacing w:after="0" w:line="240" w:lineRule="auto"/>
        <w:ind w:firstLine="709"/>
        <w:jc w:val="both"/>
        <w:rPr>
          <w:rFonts w:ascii="Times New Roman" w:hAnsi="Times New Roman"/>
          <w:i/>
          <w:sz w:val="26"/>
          <w:szCs w:val="26"/>
        </w:rPr>
      </w:pPr>
      <w:r w:rsidRPr="007666CD">
        <w:rPr>
          <w:rFonts w:ascii="Times New Roman" w:hAnsi="Times New Roman"/>
          <w:i/>
          <w:sz w:val="26"/>
          <w:szCs w:val="26"/>
        </w:rPr>
        <w:t xml:space="preserve">безопасность: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гражданская оборона и чрезвычайные ситуации;</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охрана общественного порядка;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охрана окружающей среды;</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охрана жизни и здоровья на водных объектах;</w:t>
      </w:r>
    </w:p>
    <w:p w:rsidR="004616EA" w:rsidRPr="007666CD" w:rsidRDefault="004616EA" w:rsidP="007666CD">
      <w:pPr>
        <w:tabs>
          <w:tab w:val="left" w:pos="360"/>
        </w:tabs>
        <w:spacing w:after="0" w:line="240" w:lineRule="auto"/>
        <w:ind w:firstLine="709"/>
        <w:jc w:val="both"/>
        <w:rPr>
          <w:rFonts w:ascii="Times New Roman" w:hAnsi="Times New Roman"/>
          <w:i/>
          <w:sz w:val="26"/>
          <w:szCs w:val="26"/>
        </w:rPr>
      </w:pPr>
      <w:r w:rsidRPr="007666CD">
        <w:rPr>
          <w:rFonts w:ascii="Times New Roman" w:hAnsi="Times New Roman"/>
          <w:i/>
          <w:sz w:val="26"/>
          <w:szCs w:val="26"/>
        </w:rPr>
        <w:t xml:space="preserve">обеспечение деятельности: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кадровая политика;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бухгалтерское обслуживание;</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юридическое обслуживание;</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хозяйственное обслуживание;</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делопроизводство;</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архивная деятельность;</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информационное обеспечение;</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связи с общественностью и средствами массовой информации;</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 контроль исполнения.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Кроме того, отдельным направлением деятельности будет являться исполнение отдельных государственных полномочий, переданных на муниципальный уровень.</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Формирование эффективной организационной структуры админи</w:t>
      </w:r>
      <w:r w:rsidRPr="007666CD">
        <w:rPr>
          <w:rFonts w:ascii="Times New Roman" w:hAnsi="Times New Roman"/>
          <w:sz w:val="26"/>
          <w:szCs w:val="26"/>
        </w:rPr>
        <w:softHyphen/>
        <w:t xml:space="preserve">страции - сложная задача, в процессе решения которой необходимо обеспечить и единство целей в деятельности различных структурных подразделений, и </w:t>
      </w:r>
      <w:r>
        <w:rPr>
          <w:rFonts w:ascii="Times New Roman" w:hAnsi="Times New Roman"/>
          <w:sz w:val="26"/>
          <w:szCs w:val="26"/>
        </w:rPr>
        <w:t>сочетание решения текущих и пер</w:t>
      </w:r>
      <w:r w:rsidRPr="007666CD">
        <w:rPr>
          <w:rFonts w:ascii="Times New Roman" w:hAnsi="Times New Roman"/>
          <w:sz w:val="26"/>
          <w:szCs w:val="26"/>
        </w:rPr>
        <w:t>спективных задач, и способность адаптации организационной структуры к изменяющимся внешним условиям и требованиям экономичности, а также другие условия и факторы.</w:t>
      </w:r>
    </w:p>
    <w:p w:rsidR="004616EA" w:rsidRPr="007666CD" w:rsidRDefault="004616EA" w:rsidP="007666CD">
      <w:pPr>
        <w:spacing w:after="0" w:line="240" w:lineRule="auto"/>
        <w:ind w:firstLine="709"/>
        <w:jc w:val="both"/>
        <w:rPr>
          <w:rFonts w:ascii="Times New Roman" w:hAnsi="Times New Roman"/>
          <w:b/>
          <w:sz w:val="26"/>
          <w:szCs w:val="26"/>
        </w:rPr>
      </w:pPr>
      <w:r w:rsidRPr="007666CD">
        <w:rPr>
          <w:rFonts w:ascii="Times New Roman" w:hAnsi="Times New Roman"/>
          <w:b/>
          <w:sz w:val="26"/>
          <w:szCs w:val="26"/>
        </w:rPr>
        <w:t>Общий анализ структуры органов местного самоуправления городского округа город Когалым</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В соответствии с Законом Ханты-Мансийского автономного округа - Югры от 25 ноября 2004 г. </w:t>
      </w:r>
      <w:r>
        <w:rPr>
          <w:rFonts w:ascii="Times New Roman" w:hAnsi="Times New Roman"/>
          <w:sz w:val="26"/>
          <w:szCs w:val="26"/>
        </w:rPr>
        <w:t>№</w:t>
      </w:r>
      <w:r w:rsidRPr="007666CD">
        <w:rPr>
          <w:rFonts w:ascii="Times New Roman" w:hAnsi="Times New Roman"/>
          <w:sz w:val="26"/>
          <w:szCs w:val="26"/>
        </w:rPr>
        <w:t>63-оз «О статусе и границах муниципальных образований Ханты-Мансийского автономного округа – Югры» город Когалым является муниципальным образованием Ханты-Мансийского автономного округа - Югры, наделенным статусом городского округа. Всего в Российской Федерации 519 городских округов с численностью населения от 1800 человек до 1,5 миллионов человек.</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В соответствии со статьей 5 Устава городского округа город Когалым, структуру органов местного самоуправления составляют:</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1) представительный орган муниципального образования - Дума города Когалыма (далее Дума города);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2) глава муниципального образования - глава города Когалыма (далее глава города);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3) исполнительно-распорядительный орган муниципального образования - Администрация города Когалыма (далее - Администрация города);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4) контрольно-счетный орган муниципального образования – Контрольно-счетная палата города Когалыма (далее – Контрольно-счетная палата города).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Указанная структура городского округа город Когалым (далее – городской округ, город, Когалым) полностью соответствует требованиям статьи 34 ФЗ №131. </w:t>
      </w:r>
    </w:p>
    <w:p w:rsidR="004616EA" w:rsidRPr="007666CD" w:rsidRDefault="004616EA" w:rsidP="007666CD">
      <w:pPr>
        <w:spacing w:after="0" w:line="240" w:lineRule="auto"/>
        <w:ind w:firstLine="709"/>
        <w:jc w:val="both"/>
        <w:rPr>
          <w:rFonts w:ascii="Times New Roman" w:hAnsi="Times New Roman"/>
          <w:b/>
          <w:sz w:val="26"/>
          <w:szCs w:val="26"/>
        </w:rPr>
      </w:pPr>
      <w:r w:rsidRPr="007666CD">
        <w:rPr>
          <w:rFonts w:ascii="Times New Roman" w:hAnsi="Times New Roman"/>
          <w:b/>
          <w:sz w:val="26"/>
          <w:szCs w:val="26"/>
        </w:rPr>
        <w:t>Представительный орган муниципального образования - Дума города Когалыма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Представительный орган городского округа город Когалым - Дума города избирается на муниципальных выборах на основе всеобщего равного и прямого избирательного права при тайном голосовании сроком на 5 лет. Дума города состоит из 21 депутата, избираемого на муниципальных выборах.</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В соответствии с частью 6 статьи 35 ФЗ №131 численность депутатов представительного органа городского округа определяется уставом муниципального образования и при численности населения от 30 000 до 100 000 человек не может быть менее 20 человек. Количество депутатов представительного органа городского округа город Когалым соответствует требованиям ФЗ №131.</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Глава города как председатель Думы города Когалыма определяет структуру и штатную численность аппарата Думы города, утверждает смету расходов на финансирование деятельности Думы города и ее аппарата. Наличие собственного аппарата Думы городского округа является положительным фактором, благотворно сказывающемся на формировании системы муниципальных правовых актов.</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К компетенции Думы города Когалыма относится назначение главы администрации города, заслушивание ежегодных отчетов Главы города, Главы администрации города Когалыма о результатах их деятельности, деятельности администрации города, в том числе о решении вопросов, поставленных Думой города.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Глава города Когалыма заключает контракт с Главой администрации города. Должность главы администрации города, назначаемого по контракту, как один из вариантов создания системы органов местного самоуправления, предусмотрен в ФЗ №131. По состоянию на 2013 год такой вариант структуры был предусмотрен уставами 20 % от общего числа всех муниципальных образований и 48 % городских округов, являющихся столицами субъектов Российской Федерации.</w:t>
      </w:r>
    </w:p>
    <w:p w:rsidR="004616EA" w:rsidRPr="007666CD" w:rsidRDefault="004616EA" w:rsidP="007666CD">
      <w:pPr>
        <w:spacing w:after="0" w:line="240" w:lineRule="auto"/>
        <w:ind w:firstLine="709"/>
        <w:jc w:val="both"/>
        <w:rPr>
          <w:rFonts w:ascii="Times New Roman" w:hAnsi="Times New Roman"/>
          <w:b/>
          <w:sz w:val="26"/>
          <w:szCs w:val="26"/>
        </w:rPr>
      </w:pPr>
      <w:r w:rsidRPr="007666CD">
        <w:rPr>
          <w:rFonts w:ascii="Times New Roman" w:hAnsi="Times New Roman"/>
          <w:b/>
          <w:sz w:val="26"/>
          <w:szCs w:val="26"/>
        </w:rPr>
        <w:t>Исполнительно - распорядительный орган городского округа город Когалым</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Исполнительно-распорядительным органом города Когалыма является администрация города, которой руководит глава Администрации города на принципах единоначалия. Структура администрации города утверждается Думой города по представлению Главы администрации города.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Структура, полномочия и порядок деятельности органов администрации города Когалыма, являющихся юридическими лицами, определяются положениями об этих органах, утверждаемыми Думой города. Структура, полномочия и порядок деятельности иных органов администрации города Когалыма определяются положениями об этих органах, утверждаемыми Главой администрации города.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Необходимо отметить, что в статье 28 Устава городского округа город Когалым раскрыто содержание полномочий администрации, исполнение которых предусмотрено федеральным законодательством: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жилищно-коммунальное хозяйство и строительство;</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гражданская оборона и защита от чрезвычайных ситуаций;</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архитектура и градостроительная политика;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-в области финансов и налоговой политики;</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образования;</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 управления имуществом. </w:t>
      </w:r>
    </w:p>
    <w:p w:rsidR="004616EA" w:rsidRPr="007666CD" w:rsidRDefault="004616EA" w:rsidP="007666CD">
      <w:pPr>
        <w:spacing w:after="0" w:line="240" w:lineRule="auto"/>
        <w:ind w:firstLine="709"/>
        <w:jc w:val="both"/>
        <w:rPr>
          <w:rFonts w:ascii="Times New Roman" w:hAnsi="Times New Roman"/>
          <w:b/>
          <w:sz w:val="26"/>
          <w:szCs w:val="26"/>
        </w:rPr>
      </w:pPr>
      <w:r w:rsidRPr="007666CD">
        <w:rPr>
          <w:rFonts w:ascii="Times New Roman" w:hAnsi="Times New Roman"/>
          <w:b/>
          <w:sz w:val="26"/>
          <w:szCs w:val="26"/>
        </w:rPr>
        <w:t>Анализ модели организационной структуры администрации городского округа город Когалым</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В структуре администрации любого городского округа присутствуют:</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глава администрации его заместители, в числе которых может быть один пер</w:t>
      </w:r>
      <w:r w:rsidRPr="007666CD">
        <w:rPr>
          <w:rFonts w:ascii="Times New Roman" w:hAnsi="Times New Roman"/>
          <w:sz w:val="26"/>
          <w:szCs w:val="26"/>
        </w:rPr>
        <w:softHyphen/>
        <w:t xml:space="preserve">вый заместитель (иногда два) – </w:t>
      </w:r>
      <w:r w:rsidRPr="007666CD">
        <w:rPr>
          <w:rFonts w:ascii="Times New Roman" w:hAnsi="Times New Roman"/>
          <w:i/>
          <w:sz w:val="26"/>
          <w:szCs w:val="26"/>
        </w:rPr>
        <w:t>присутствует в структуре администрации города Когалыма</w:t>
      </w:r>
      <w:r w:rsidRPr="007666CD">
        <w:rPr>
          <w:rFonts w:ascii="Times New Roman" w:hAnsi="Times New Roman"/>
          <w:sz w:val="26"/>
          <w:szCs w:val="26"/>
        </w:rPr>
        <w:t>;</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отраслевые структурные подразделения, ответственные за предоставление муниципальных услуг населению в различных сферах деятельности. Чаще всего они подчиняются одному из заместителей главы (иногда непосредственно главе) администрации и независимы друг от друга -</w:t>
      </w:r>
      <w:r w:rsidRPr="007666CD">
        <w:rPr>
          <w:rFonts w:ascii="Times New Roman" w:hAnsi="Times New Roman"/>
          <w:i/>
          <w:sz w:val="26"/>
          <w:szCs w:val="26"/>
        </w:rPr>
        <w:t xml:space="preserve"> присутствует в структуре администрации города Когалыма (Управление образования, Управление культуры, спорта и молодёжной политики, Управление по жилищной политике и другие);</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функциональные подразделения, не связанные непосредственно с оказанием услуг, но выполняющие общие для всей администрации штабные функции: пла</w:t>
      </w:r>
      <w:r w:rsidRPr="007666CD">
        <w:rPr>
          <w:rFonts w:ascii="Times New Roman" w:hAnsi="Times New Roman"/>
          <w:sz w:val="26"/>
          <w:szCs w:val="26"/>
        </w:rPr>
        <w:softHyphen/>
        <w:t>ново-экономические, финансовые, юридические, по управлению имуществом, кадровые, информационные и др. Их называют подразделениями общей компетенции. Эти подразделения наделены правом регулирующих воздействий по отношению к отраслевым подразделениям и друг к другу в пределах закреп</w:t>
      </w:r>
      <w:r w:rsidRPr="007666CD">
        <w:rPr>
          <w:rFonts w:ascii="Times New Roman" w:hAnsi="Times New Roman"/>
          <w:sz w:val="26"/>
          <w:szCs w:val="26"/>
        </w:rPr>
        <w:softHyphen/>
        <w:t xml:space="preserve">ленных за ними функций – </w:t>
      </w:r>
      <w:r w:rsidRPr="007666CD">
        <w:rPr>
          <w:rFonts w:ascii="Times New Roman" w:hAnsi="Times New Roman"/>
          <w:i/>
          <w:sz w:val="26"/>
          <w:szCs w:val="26"/>
        </w:rPr>
        <w:t>присутствует в структуре администрации города Когалыма</w:t>
      </w:r>
      <w:r w:rsidRPr="007666CD">
        <w:rPr>
          <w:rFonts w:ascii="Times New Roman" w:hAnsi="Times New Roman"/>
          <w:sz w:val="26"/>
          <w:szCs w:val="26"/>
        </w:rPr>
        <w:t>;</w:t>
      </w:r>
    </w:p>
    <w:p w:rsidR="004616EA" w:rsidRPr="007666CD" w:rsidRDefault="004616EA" w:rsidP="007666CD">
      <w:pPr>
        <w:spacing w:after="0" w:line="240" w:lineRule="auto"/>
        <w:ind w:firstLine="709"/>
        <w:jc w:val="both"/>
        <w:rPr>
          <w:rFonts w:ascii="Times New Roman" w:hAnsi="Times New Roman"/>
          <w:i/>
          <w:sz w:val="26"/>
          <w:szCs w:val="26"/>
        </w:rPr>
      </w:pPr>
      <w:r w:rsidRPr="007666CD">
        <w:rPr>
          <w:rFonts w:ascii="Times New Roman" w:hAnsi="Times New Roman"/>
          <w:sz w:val="26"/>
          <w:szCs w:val="26"/>
        </w:rPr>
        <w:t>- аппарат администрации, ответственный за планирование деятельности адми</w:t>
      </w:r>
      <w:r w:rsidRPr="007666CD">
        <w:rPr>
          <w:rFonts w:ascii="Times New Roman" w:hAnsi="Times New Roman"/>
          <w:sz w:val="26"/>
          <w:szCs w:val="26"/>
        </w:rPr>
        <w:softHyphen/>
        <w:t>нистрации, ее организационное, материально-техническое и хозяйственно-бытовое обеспечение, контроль исполнения решений и др. Часто в состав аппарата включаются некоторые из функциональных подразделений (кадровые, юридические, информационные). Руководитель аппарата подчиняется непо</w:t>
      </w:r>
      <w:r w:rsidRPr="007666CD">
        <w:rPr>
          <w:rFonts w:ascii="Times New Roman" w:hAnsi="Times New Roman"/>
          <w:sz w:val="26"/>
          <w:szCs w:val="26"/>
        </w:rPr>
        <w:softHyphen/>
        <w:t xml:space="preserve">средственно главе администрации и чаще всего является одним из его заместителей – </w:t>
      </w:r>
      <w:r w:rsidRPr="007666CD">
        <w:rPr>
          <w:rFonts w:ascii="Times New Roman" w:hAnsi="Times New Roman"/>
          <w:i/>
          <w:sz w:val="26"/>
          <w:szCs w:val="26"/>
        </w:rPr>
        <w:t xml:space="preserve">в администрации города Когалыма указанное организационное звено разделено по разным направлениям.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Структура администрации городского округа город Когалым исходит из наличия в ней помимо главы администрации также одного первого заместителя главы администрации и четырех заместителей главы администрации. </w:t>
      </w:r>
    </w:p>
    <w:p w:rsidR="004616EA" w:rsidRPr="007666CD" w:rsidRDefault="004616EA" w:rsidP="007666CD">
      <w:pPr>
        <w:spacing w:after="0" w:line="240" w:lineRule="auto"/>
        <w:ind w:firstLine="709"/>
        <w:jc w:val="both"/>
        <w:rPr>
          <w:rFonts w:ascii="Times New Roman" w:hAnsi="Times New Roman"/>
          <w:b/>
          <w:sz w:val="26"/>
          <w:szCs w:val="26"/>
        </w:rPr>
      </w:pPr>
      <w:r w:rsidRPr="007666CD">
        <w:rPr>
          <w:rFonts w:ascii="Times New Roman" w:hAnsi="Times New Roman"/>
          <w:b/>
          <w:sz w:val="26"/>
          <w:szCs w:val="26"/>
        </w:rPr>
        <w:t>Анализ действующей структуры администрации города Когалыма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ab/>
        <w:t xml:space="preserve">Действующая структура администрации городского округа город Когалым построена по линейно-функциональному типу с матрично-штабными элементами.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В основе линейно-функциональной структуры лежит сочетание линейных (отраслевых) подразделений, осуществляющих основные внешние функции администрации (в данном случае - предоставление муни</w:t>
      </w:r>
      <w:r w:rsidRPr="007666CD">
        <w:rPr>
          <w:rFonts w:ascii="Times New Roman" w:hAnsi="Times New Roman"/>
          <w:sz w:val="26"/>
          <w:szCs w:val="26"/>
        </w:rPr>
        <w:softHyphen/>
        <w:t>ципальных услуг), и функциональных подразделений, действующих внутри органи</w:t>
      </w:r>
      <w:r w:rsidRPr="007666CD">
        <w:rPr>
          <w:rFonts w:ascii="Times New Roman" w:hAnsi="Times New Roman"/>
          <w:sz w:val="26"/>
          <w:szCs w:val="26"/>
        </w:rPr>
        <w:softHyphen/>
        <w:t>зации и обеспечивающих ее работу. Достоинства линейно-функциональных струк</w:t>
      </w:r>
      <w:r w:rsidRPr="007666CD">
        <w:rPr>
          <w:rFonts w:ascii="Times New Roman" w:hAnsi="Times New Roman"/>
          <w:sz w:val="26"/>
          <w:szCs w:val="26"/>
        </w:rPr>
        <w:softHyphen/>
        <w:t>тур - относительная простота построения и четкость взаимодействия. Недостатком этой структуры является то, что она может эффективно действовать только при выполнении редко меняющихся однотипных функций. Однако в условиях реализации муниципальным образованием задач развития и реализации соответствующей стратегии наряду с линейно-функциональными необходимо также создание структур, ориентированных на инновации. В этой связи необходимо создание программно-целевых (программно-функциональных) структурных подразделений, задачей которых будет являться не стабильное исполнение той или иной функции, а достижение определенной программной цели (задачи).</w:t>
      </w:r>
    </w:p>
    <w:p w:rsidR="004616EA" w:rsidRPr="00461CB8" w:rsidRDefault="004616EA" w:rsidP="007666CD">
      <w:pPr>
        <w:spacing w:after="0" w:line="240" w:lineRule="auto"/>
        <w:ind w:firstLine="709"/>
        <w:jc w:val="both"/>
        <w:rPr>
          <w:rFonts w:ascii="Times New Roman" w:hAnsi="Times New Roman"/>
          <w:sz w:val="24"/>
          <w:szCs w:val="24"/>
        </w:rPr>
      </w:pPr>
      <w:r w:rsidRPr="00461CB8">
        <w:rPr>
          <w:rFonts w:ascii="Times New Roman" w:hAnsi="Times New Roman"/>
          <w:sz w:val="24"/>
          <w:szCs w:val="24"/>
        </w:rPr>
        <w:t>В целом структуру администрации городского округа город Когалым можно отнести к четырехуровневой, которая схематически представлена ниже (</w:t>
      </w:r>
      <w:r w:rsidR="001977F4">
        <w:fldChar w:fldCharType="begin"/>
      </w:r>
      <w:r w:rsidR="001977F4">
        <w:instrText xml:space="preserve"> REF _Ref400620397 \h  \* MERGEFORMAT </w:instrText>
      </w:r>
      <w:r w:rsidR="001977F4">
        <w:fldChar w:fldCharType="separate"/>
      </w:r>
      <w:r w:rsidR="001977F4" w:rsidRPr="00475E67">
        <w:rPr>
          <w:rFonts w:ascii="Times New Roman" w:hAnsi="Times New Roman"/>
          <w:sz w:val="24"/>
          <w:szCs w:val="24"/>
        </w:rPr>
        <w:t xml:space="preserve">Рисунок </w:t>
      </w:r>
      <w:r w:rsidR="001977F4" w:rsidRPr="001977F4">
        <w:rPr>
          <w:rFonts w:ascii="Times New Roman" w:hAnsi="Times New Roman"/>
          <w:noProof/>
          <w:sz w:val="24"/>
          <w:szCs w:val="24"/>
        </w:rPr>
        <w:t>52</w:t>
      </w:r>
      <w:r w:rsidR="001977F4">
        <w:fldChar w:fldCharType="end"/>
      </w:r>
      <w:r w:rsidRPr="00461CB8">
        <w:rPr>
          <w:rFonts w:ascii="Times New Roman" w:hAnsi="Times New Roman"/>
          <w:sz w:val="24"/>
          <w:szCs w:val="24"/>
        </w:rPr>
        <w:t>).</w:t>
      </w:r>
    </w:p>
    <w:tbl>
      <w:tblPr>
        <w:tblW w:w="8049" w:type="dxa"/>
        <w:jc w:val="center"/>
        <w:tblBorders>
          <w:top w:val="double" w:sz="4" w:space="0" w:color="auto"/>
          <w:left w:val="double" w:sz="4" w:space="0" w:color="auto"/>
          <w:bottom w:val="double" w:sz="4" w:space="0" w:color="auto"/>
          <w:right w:val="double" w:sz="4" w:space="0" w:color="auto"/>
        </w:tblBorders>
        <w:tblLayout w:type="fixed"/>
        <w:tblCellMar>
          <w:left w:w="40" w:type="dxa"/>
          <w:right w:w="40" w:type="dxa"/>
        </w:tblCellMar>
        <w:tblLook w:val="0000" w:firstRow="0" w:lastRow="0" w:firstColumn="0" w:lastColumn="0" w:noHBand="0" w:noVBand="0"/>
      </w:tblPr>
      <w:tblGrid>
        <w:gridCol w:w="1701"/>
        <w:gridCol w:w="284"/>
        <w:gridCol w:w="100"/>
        <w:gridCol w:w="413"/>
        <w:gridCol w:w="196"/>
        <w:gridCol w:w="667"/>
        <w:gridCol w:w="41"/>
        <w:gridCol w:w="93"/>
        <w:gridCol w:w="7"/>
        <w:gridCol w:w="47"/>
        <w:gridCol w:w="100"/>
        <w:gridCol w:w="7"/>
        <w:gridCol w:w="172"/>
        <w:gridCol w:w="242"/>
        <w:gridCol w:w="141"/>
        <w:gridCol w:w="326"/>
        <w:gridCol w:w="100"/>
        <w:gridCol w:w="7"/>
        <w:gridCol w:w="104"/>
        <w:gridCol w:w="72"/>
        <w:gridCol w:w="28"/>
        <w:gridCol w:w="7"/>
        <w:gridCol w:w="517"/>
        <w:gridCol w:w="398"/>
        <w:gridCol w:w="326"/>
        <w:gridCol w:w="819"/>
        <w:gridCol w:w="100"/>
        <w:gridCol w:w="7"/>
        <w:gridCol w:w="37"/>
        <w:gridCol w:w="596"/>
        <w:gridCol w:w="394"/>
      </w:tblGrid>
      <w:tr w:rsidR="004616EA" w:rsidRPr="00475E67" w:rsidTr="00264D38">
        <w:trPr>
          <w:gridAfter w:val="1"/>
          <w:wAfter w:w="394" w:type="dxa"/>
          <w:trHeight w:hRule="exact" w:val="391"/>
          <w:jc w:val="center"/>
        </w:trPr>
        <w:tc>
          <w:tcPr>
            <w:tcW w:w="1701" w:type="dxa"/>
            <w:tcBorders>
              <w:top w:val="double" w:sz="4" w:space="0" w:color="auto"/>
              <w:bottom w:val="double" w:sz="4" w:space="0" w:color="auto"/>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pacing w:val="-6"/>
                <w:sz w:val="24"/>
                <w:szCs w:val="24"/>
              </w:rPr>
              <w:t>Глава</w:t>
            </w:r>
          </w:p>
        </w:tc>
        <w:tc>
          <w:tcPr>
            <w:tcW w:w="284" w:type="dxa"/>
            <w:tcBorders>
              <w:top w:val="double" w:sz="4" w:space="0" w:color="auto"/>
              <w:lef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00" w:type="dxa"/>
            <w:tcBorders>
              <w:top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413" w:type="dxa"/>
            <w:tcBorders>
              <w:top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863" w:type="dxa"/>
            <w:gridSpan w:val="2"/>
            <w:tcBorders>
              <w:top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34" w:type="dxa"/>
            <w:gridSpan w:val="2"/>
            <w:tcBorders>
              <w:top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54" w:type="dxa"/>
            <w:gridSpan w:val="3"/>
            <w:tcBorders>
              <w:top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421" w:type="dxa"/>
            <w:gridSpan w:val="3"/>
            <w:tcBorders>
              <w:top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567" w:type="dxa"/>
            <w:gridSpan w:val="3"/>
            <w:tcBorders>
              <w:top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11" w:type="dxa"/>
            <w:gridSpan w:val="4"/>
            <w:tcBorders>
              <w:top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922" w:type="dxa"/>
            <w:gridSpan w:val="3"/>
            <w:tcBorders>
              <w:top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326" w:type="dxa"/>
            <w:tcBorders>
              <w:top w:val="double" w:sz="4" w:space="0" w:color="auto"/>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559" w:type="dxa"/>
            <w:gridSpan w:val="5"/>
            <w:tcBorders>
              <w:top w:val="double" w:sz="4" w:space="0" w:color="auto"/>
              <w:lef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r>
      <w:tr w:rsidR="004616EA" w:rsidRPr="00475E67" w:rsidTr="007F3724">
        <w:trPr>
          <w:gridAfter w:val="1"/>
          <w:wAfter w:w="394" w:type="dxa"/>
          <w:trHeight w:hRule="exact" w:val="113"/>
          <w:jc w:val="center"/>
        </w:trPr>
        <w:tc>
          <w:tcPr>
            <w:tcW w:w="1701" w:type="dxa"/>
            <w:tcBorders>
              <w:top w:val="double" w:sz="4" w:space="0" w:color="auto"/>
              <w:left w:val="nil"/>
              <w:bottom w:val="nil"/>
            </w:tcBorders>
            <w:shd w:val="clear" w:color="auto" w:fill="FFFFFF"/>
          </w:tcPr>
          <w:p w:rsidR="004616EA" w:rsidRPr="00475E67" w:rsidRDefault="004616EA" w:rsidP="00FC7FE9">
            <w:pPr>
              <w:spacing w:after="0" w:line="240" w:lineRule="auto"/>
              <w:jc w:val="center"/>
              <w:rPr>
                <w:rFonts w:ascii="Times New Roman" w:hAnsi="Times New Roman"/>
                <w:sz w:val="24"/>
                <w:szCs w:val="24"/>
              </w:rPr>
            </w:pPr>
          </w:p>
          <w:p w:rsidR="004616EA" w:rsidRPr="00475E67" w:rsidRDefault="004616EA" w:rsidP="00FC7FE9">
            <w:pPr>
              <w:spacing w:after="0" w:line="240" w:lineRule="auto"/>
              <w:jc w:val="center"/>
              <w:rPr>
                <w:rFonts w:ascii="Times New Roman" w:hAnsi="Times New Roman"/>
                <w:sz w:val="24"/>
                <w:szCs w:val="24"/>
              </w:rPr>
            </w:pPr>
          </w:p>
        </w:tc>
        <w:tc>
          <w:tcPr>
            <w:tcW w:w="284" w:type="dxa"/>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709" w:type="dxa"/>
            <w:gridSpan w:val="3"/>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134" w:type="dxa"/>
            <w:gridSpan w:val="8"/>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268" w:type="dxa"/>
            <w:gridSpan w:val="12"/>
            <w:vMerge w:val="restart"/>
            <w:tcBorders>
              <w:top w:val="nil"/>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pacing w:after="0" w:line="240" w:lineRule="auto"/>
              <w:jc w:val="center"/>
              <w:rPr>
                <w:rFonts w:ascii="Times New Roman" w:hAnsi="Times New Roman"/>
                <w:sz w:val="24"/>
                <w:szCs w:val="24"/>
              </w:rPr>
            </w:pPr>
          </w:p>
          <w:p w:rsidR="004616EA" w:rsidRPr="00475E67" w:rsidRDefault="004616EA" w:rsidP="00FC7FE9">
            <w:pPr>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559" w:type="dxa"/>
            <w:gridSpan w:val="5"/>
            <w:vMerge w:val="restart"/>
            <w:tcBorders>
              <w:top w:val="nil"/>
              <w:lef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pacing w:after="0" w:line="240" w:lineRule="auto"/>
              <w:jc w:val="center"/>
              <w:rPr>
                <w:rFonts w:ascii="Times New Roman" w:hAnsi="Times New Roman"/>
                <w:sz w:val="24"/>
                <w:szCs w:val="24"/>
              </w:rPr>
            </w:pPr>
          </w:p>
          <w:p w:rsidR="004616EA" w:rsidRPr="00475E67" w:rsidRDefault="004616EA" w:rsidP="00FC7FE9">
            <w:pPr>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r>
      <w:tr w:rsidR="004616EA" w:rsidRPr="00475E67" w:rsidTr="007F3724">
        <w:trPr>
          <w:gridAfter w:val="1"/>
          <w:wAfter w:w="394" w:type="dxa"/>
          <w:trHeight w:hRule="exact" w:val="227"/>
          <w:jc w:val="center"/>
        </w:trPr>
        <w:tc>
          <w:tcPr>
            <w:tcW w:w="1701" w:type="dxa"/>
            <w:tcBorders>
              <w:top w:val="nil"/>
              <w:left w:val="nil"/>
              <w:bottom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z w:val="24"/>
                <w:szCs w:val="24"/>
              </w:rPr>
              <w:t>I</w:t>
            </w:r>
          </w:p>
        </w:tc>
        <w:tc>
          <w:tcPr>
            <w:tcW w:w="284" w:type="dxa"/>
            <w:tcBorders>
              <w:top w:val="nil"/>
              <w:bottom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709" w:type="dxa"/>
            <w:gridSpan w:val="3"/>
            <w:tcBorders>
              <w:top w:val="nil"/>
              <w:bottom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134" w:type="dxa"/>
            <w:gridSpan w:val="8"/>
            <w:tcBorders>
              <w:top w:val="nil"/>
              <w:bottom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268" w:type="dxa"/>
            <w:gridSpan w:val="12"/>
            <w:vMerge/>
            <w:tcBorders>
              <w:top w:val="nil"/>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559" w:type="dxa"/>
            <w:gridSpan w:val="5"/>
            <w:vMerge/>
            <w:tcBorders>
              <w:lef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r>
      <w:tr w:rsidR="004616EA" w:rsidRPr="00475E67" w:rsidTr="007F3724">
        <w:trPr>
          <w:gridAfter w:val="1"/>
          <w:wAfter w:w="394" w:type="dxa"/>
          <w:trHeight w:val="170"/>
          <w:jc w:val="center"/>
        </w:trPr>
        <w:tc>
          <w:tcPr>
            <w:tcW w:w="1701" w:type="dxa"/>
            <w:vMerge w:val="restart"/>
            <w:tcBorders>
              <w:top w:val="double" w:sz="4" w:space="0" w:color="auto"/>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pacing w:val="-2"/>
                <w:sz w:val="24"/>
                <w:szCs w:val="24"/>
              </w:rPr>
              <w:t>Заместители</w:t>
            </w:r>
          </w:p>
        </w:tc>
        <w:tc>
          <w:tcPr>
            <w:tcW w:w="284" w:type="dxa"/>
            <w:tcBorders>
              <w:top w:val="nil"/>
              <w:left w:val="double" w:sz="4" w:space="0" w:color="auto"/>
              <w:bottom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709" w:type="dxa"/>
            <w:gridSpan w:val="3"/>
            <w:tcBorders>
              <w:top w:val="nil"/>
              <w:bottom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134" w:type="dxa"/>
            <w:gridSpan w:val="8"/>
            <w:tcBorders>
              <w:top w:val="nil"/>
              <w:bottom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268" w:type="dxa"/>
            <w:gridSpan w:val="12"/>
            <w:vMerge/>
            <w:tcBorders>
              <w:top w:val="nil"/>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559" w:type="dxa"/>
            <w:gridSpan w:val="5"/>
            <w:vMerge/>
            <w:tcBorders>
              <w:lef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r>
      <w:tr w:rsidR="004616EA" w:rsidRPr="00475E67" w:rsidTr="00264D38">
        <w:trPr>
          <w:gridAfter w:val="1"/>
          <w:wAfter w:w="394" w:type="dxa"/>
          <w:trHeight w:hRule="exact" w:val="100"/>
          <w:jc w:val="center"/>
        </w:trPr>
        <w:tc>
          <w:tcPr>
            <w:tcW w:w="1701" w:type="dxa"/>
            <w:vMerge/>
            <w:tcBorders>
              <w:bottom w:val="double" w:sz="4" w:space="0" w:color="auto"/>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pacing w:val="-2"/>
                <w:sz w:val="24"/>
                <w:szCs w:val="24"/>
              </w:rPr>
            </w:pPr>
          </w:p>
        </w:tc>
        <w:tc>
          <w:tcPr>
            <w:tcW w:w="284" w:type="dxa"/>
            <w:tcBorders>
              <w:top w:val="double" w:sz="4" w:space="0" w:color="auto"/>
              <w:lef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709" w:type="dxa"/>
            <w:gridSpan w:val="3"/>
            <w:tcBorders>
              <w:top w:val="double" w:sz="4" w:space="0" w:color="auto"/>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134" w:type="dxa"/>
            <w:gridSpan w:val="8"/>
            <w:tcBorders>
              <w:top w:val="double" w:sz="4" w:space="0" w:color="auto"/>
              <w:left w:val="double" w:sz="4" w:space="0" w:color="auto"/>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268" w:type="dxa"/>
            <w:gridSpan w:val="12"/>
            <w:vMerge/>
            <w:tcBorders>
              <w:top w:val="nil"/>
              <w:left w:val="double" w:sz="4" w:space="0" w:color="auto"/>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559" w:type="dxa"/>
            <w:gridSpan w:val="5"/>
            <w:vMerge/>
            <w:tcBorders>
              <w:left w:val="double" w:sz="4" w:space="0" w:color="auto"/>
              <w:bottom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r>
      <w:tr w:rsidR="004616EA" w:rsidRPr="00475E67" w:rsidTr="007F3724">
        <w:trPr>
          <w:gridAfter w:val="1"/>
          <w:wAfter w:w="394" w:type="dxa"/>
          <w:trHeight w:hRule="exact" w:val="170"/>
          <w:jc w:val="center"/>
        </w:trPr>
        <w:tc>
          <w:tcPr>
            <w:tcW w:w="1701" w:type="dxa"/>
            <w:tcBorders>
              <w:top w:val="double" w:sz="4" w:space="0" w:color="auto"/>
              <w:left w:val="nil"/>
              <w:bottom w:val="nil"/>
            </w:tcBorders>
            <w:shd w:val="clear" w:color="auto" w:fill="FFFFFF"/>
          </w:tcPr>
          <w:p w:rsidR="004616EA" w:rsidRPr="00475E67" w:rsidRDefault="004616EA" w:rsidP="00FC7FE9">
            <w:pPr>
              <w:spacing w:after="0" w:line="240" w:lineRule="auto"/>
              <w:jc w:val="center"/>
              <w:rPr>
                <w:rFonts w:ascii="Times New Roman" w:hAnsi="Times New Roman"/>
                <w:sz w:val="24"/>
                <w:szCs w:val="24"/>
              </w:rPr>
            </w:pPr>
          </w:p>
          <w:p w:rsidR="004616EA" w:rsidRPr="00475E67" w:rsidRDefault="004616EA" w:rsidP="00FC7FE9">
            <w:pPr>
              <w:spacing w:after="0" w:line="240" w:lineRule="auto"/>
              <w:jc w:val="center"/>
              <w:rPr>
                <w:rFonts w:ascii="Times New Roman" w:hAnsi="Times New Roman"/>
                <w:sz w:val="24"/>
                <w:szCs w:val="24"/>
              </w:rPr>
            </w:pPr>
          </w:p>
        </w:tc>
        <w:tc>
          <w:tcPr>
            <w:tcW w:w="284" w:type="dxa"/>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709" w:type="dxa"/>
            <w:gridSpan w:val="3"/>
            <w:tcBorders>
              <w:top w:val="nil"/>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708" w:type="dxa"/>
            <w:gridSpan w:val="2"/>
            <w:tcBorders>
              <w:top w:val="nil"/>
              <w:lef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47" w:type="dxa"/>
            <w:gridSpan w:val="3"/>
            <w:tcBorders>
              <w:top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79" w:type="dxa"/>
            <w:gridSpan w:val="3"/>
            <w:tcBorders>
              <w:top w:val="nil"/>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268" w:type="dxa"/>
            <w:gridSpan w:val="12"/>
            <w:tcBorders>
              <w:top w:val="nil"/>
              <w:left w:val="double" w:sz="4" w:space="0" w:color="auto"/>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559" w:type="dxa"/>
            <w:gridSpan w:val="5"/>
            <w:tcBorders>
              <w:top w:val="nil"/>
              <w:left w:val="double" w:sz="4" w:space="0" w:color="auto"/>
              <w:bottom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r>
      <w:tr w:rsidR="004616EA" w:rsidRPr="00475E67" w:rsidTr="007F3724">
        <w:trPr>
          <w:gridAfter w:val="1"/>
          <w:wAfter w:w="394" w:type="dxa"/>
          <w:trHeight w:hRule="exact" w:val="134"/>
          <w:jc w:val="center"/>
        </w:trPr>
        <w:tc>
          <w:tcPr>
            <w:tcW w:w="1701" w:type="dxa"/>
            <w:vMerge w:val="restart"/>
            <w:tcBorders>
              <w:top w:val="nil"/>
              <w:left w:val="nil"/>
              <w:bottom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z w:val="24"/>
                <w:szCs w:val="24"/>
              </w:rPr>
              <w:t>I</w:t>
            </w:r>
          </w:p>
        </w:tc>
        <w:tc>
          <w:tcPr>
            <w:tcW w:w="284" w:type="dxa"/>
            <w:tcBorders>
              <w:top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709" w:type="dxa"/>
            <w:gridSpan w:val="3"/>
            <w:tcBorders>
              <w:top w:val="nil"/>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708" w:type="dxa"/>
            <w:gridSpan w:val="2"/>
            <w:tcBorders>
              <w:top w:val="nil"/>
              <w:lef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47" w:type="dxa"/>
            <w:gridSpan w:val="3"/>
            <w:tcBorders>
              <w:top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79" w:type="dxa"/>
            <w:gridSpan w:val="3"/>
            <w:tcBorders>
              <w:top w:val="nil"/>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268" w:type="dxa"/>
            <w:gridSpan w:val="12"/>
            <w:tcBorders>
              <w:top w:val="nil"/>
              <w:left w:val="double" w:sz="4" w:space="0" w:color="auto"/>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559" w:type="dxa"/>
            <w:gridSpan w:val="5"/>
            <w:tcBorders>
              <w:top w:val="nil"/>
              <w:left w:val="double" w:sz="4" w:space="0" w:color="auto"/>
              <w:bottom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r>
      <w:tr w:rsidR="004616EA" w:rsidRPr="00475E67" w:rsidTr="007F3724">
        <w:trPr>
          <w:gridAfter w:val="1"/>
          <w:wAfter w:w="394" w:type="dxa"/>
          <w:trHeight w:hRule="exact" w:val="134"/>
          <w:jc w:val="center"/>
        </w:trPr>
        <w:tc>
          <w:tcPr>
            <w:tcW w:w="1701" w:type="dxa"/>
            <w:vMerge/>
            <w:tcBorders>
              <w:top w:val="nil"/>
              <w:left w:val="nil"/>
              <w:bottom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84" w:type="dxa"/>
            <w:vMerge w:val="restart"/>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709" w:type="dxa"/>
            <w:gridSpan w:val="3"/>
            <w:tcBorders>
              <w:top w:val="nil"/>
              <w:bottom w:val="double" w:sz="4" w:space="0" w:color="auto"/>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708" w:type="dxa"/>
            <w:gridSpan w:val="2"/>
            <w:tcBorders>
              <w:left w:val="double" w:sz="4" w:space="0" w:color="auto"/>
              <w:bottom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47" w:type="dxa"/>
            <w:gridSpan w:val="3"/>
            <w:tcBorders>
              <w:bottom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79" w:type="dxa"/>
            <w:gridSpan w:val="3"/>
            <w:tcBorders>
              <w:top w:val="nil"/>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920" w:type="dxa"/>
            <w:gridSpan w:val="6"/>
            <w:tcBorders>
              <w:lef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624" w:type="dxa"/>
            <w:gridSpan w:val="4"/>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724" w:type="dxa"/>
            <w:gridSpan w:val="2"/>
            <w:tcBorders>
              <w:top w:val="nil"/>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z w:val="24"/>
                <w:szCs w:val="24"/>
              </w:rPr>
              <w:t xml:space="preserve">           </w:t>
            </w: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559" w:type="dxa"/>
            <w:gridSpan w:val="5"/>
            <w:tcBorders>
              <w:lef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z w:val="24"/>
                <w:szCs w:val="24"/>
              </w:rPr>
              <w:t xml:space="preserve">      </w:t>
            </w: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r>
      <w:tr w:rsidR="004616EA" w:rsidRPr="00475E67" w:rsidTr="00264D38">
        <w:trPr>
          <w:gridAfter w:val="1"/>
          <w:wAfter w:w="394" w:type="dxa"/>
          <w:trHeight w:hRule="exact" w:val="621"/>
          <w:jc w:val="center"/>
        </w:trPr>
        <w:tc>
          <w:tcPr>
            <w:tcW w:w="1701" w:type="dxa"/>
            <w:tcBorders>
              <w:top w:val="double" w:sz="4" w:space="0" w:color="auto"/>
              <w:bottom w:val="double" w:sz="4" w:space="0" w:color="auto"/>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pacing w:val="-3"/>
                <w:sz w:val="24"/>
                <w:szCs w:val="24"/>
              </w:rPr>
              <w:t>Управления, Комитеты</w:t>
            </w:r>
          </w:p>
        </w:tc>
        <w:tc>
          <w:tcPr>
            <w:tcW w:w="284" w:type="dxa"/>
            <w:vMerge/>
            <w:tcBorders>
              <w:left w:val="double" w:sz="4" w:space="0" w:color="auto"/>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417" w:type="dxa"/>
            <w:gridSpan w:val="5"/>
            <w:tcBorders>
              <w:top w:val="double" w:sz="4" w:space="0" w:color="auto"/>
              <w:left w:val="double" w:sz="4" w:space="0" w:color="auto"/>
              <w:bottom w:val="double" w:sz="4" w:space="0" w:color="auto"/>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pacing w:val="-3"/>
                <w:sz w:val="24"/>
                <w:szCs w:val="24"/>
              </w:rPr>
              <w:t>Управления, Комитеты</w:t>
            </w:r>
          </w:p>
        </w:tc>
        <w:tc>
          <w:tcPr>
            <w:tcW w:w="147" w:type="dxa"/>
            <w:gridSpan w:val="3"/>
            <w:tcBorders>
              <w:top w:val="nil"/>
              <w:left w:val="double" w:sz="4" w:space="0" w:color="auto"/>
              <w:bottom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79" w:type="dxa"/>
            <w:gridSpan w:val="3"/>
            <w:tcBorders>
              <w:top w:val="nil"/>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383" w:type="dxa"/>
            <w:gridSpan w:val="2"/>
            <w:tcBorders>
              <w:left w:val="double" w:sz="4" w:space="0" w:color="auto"/>
              <w:right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637" w:type="dxa"/>
            <w:gridSpan w:val="6"/>
            <w:tcBorders>
              <w:top w:val="nil"/>
              <w:left w:val="nil"/>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167" w:type="dxa"/>
            <w:gridSpan w:val="6"/>
            <w:tcBorders>
              <w:top w:val="double" w:sz="4" w:space="0" w:color="auto"/>
              <w:left w:val="double" w:sz="4" w:space="0" w:color="auto"/>
              <w:bottom w:val="double" w:sz="4" w:space="0" w:color="auto"/>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pacing w:val="-3"/>
                <w:sz w:val="24"/>
                <w:szCs w:val="24"/>
              </w:rPr>
              <w:t>Управления, Комитеты</w:t>
            </w:r>
          </w:p>
        </w:tc>
        <w:tc>
          <w:tcPr>
            <w:tcW w:w="640" w:type="dxa"/>
            <w:gridSpan w:val="3"/>
            <w:tcBorders>
              <w:lef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r>
      <w:tr w:rsidR="004616EA" w:rsidRPr="00475E67" w:rsidTr="007F3724">
        <w:trPr>
          <w:gridAfter w:val="1"/>
          <w:wAfter w:w="394" w:type="dxa"/>
          <w:trHeight w:hRule="exact" w:val="327"/>
          <w:jc w:val="center"/>
        </w:trPr>
        <w:tc>
          <w:tcPr>
            <w:tcW w:w="1701" w:type="dxa"/>
            <w:tcBorders>
              <w:top w:val="double" w:sz="4" w:space="0" w:color="auto"/>
              <w:left w:val="nil"/>
              <w:bottom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z w:val="24"/>
                <w:szCs w:val="24"/>
              </w:rPr>
              <w:t>I</w:t>
            </w:r>
          </w:p>
        </w:tc>
        <w:tc>
          <w:tcPr>
            <w:tcW w:w="284" w:type="dxa"/>
            <w:tcBorders>
              <w:bottom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417" w:type="dxa"/>
            <w:gridSpan w:val="5"/>
            <w:tcBorders>
              <w:top w:val="double" w:sz="4" w:space="0" w:color="auto"/>
              <w:bottom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z w:val="24"/>
                <w:szCs w:val="24"/>
              </w:rPr>
              <w:t>I</w:t>
            </w:r>
          </w:p>
        </w:tc>
        <w:tc>
          <w:tcPr>
            <w:tcW w:w="100" w:type="dxa"/>
            <w:gridSpan w:val="2"/>
            <w:tcBorders>
              <w:top w:val="nil"/>
              <w:bottom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54" w:type="dxa"/>
            <w:gridSpan w:val="3"/>
            <w:tcBorders>
              <w:bottom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72" w:type="dxa"/>
            <w:tcBorders>
              <w:top w:val="nil"/>
              <w:bottom w:val="double" w:sz="4" w:space="0" w:color="auto"/>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816" w:type="dxa"/>
            <w:gridSpan w:val="5"/>
            <w:tcBorders>
              <w:top w:val="nil"/>
              <w:left w:val="double" w:sz="4" w:space="0" w:color="auto"/>
              <w:bottom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11" w:type="dxa"/>
            <w:gridSpan w:val="4"/>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167" w:type="dxa"/>
            <w:gridSpan w:val="6"/>
            <w:tcBorders>
              <w:bottom w:val="nil"/>
            </w:tcBorders>
            <w:shd w:val="clear" w:color="auto" w:fill="FFFFFF"/>
          </w:tcPr>
          <w:p w:rsidR="004616EA" w:rsidRPr="00475E67" w:rsidRDefault="004616EA" w:rsidP="00FC7FE9">
            <w:pPr>
              <w:shd w:val="clear" w:color="auto" w:fill="FFFFFF"/>
              <w:spacing w:after="0" w:line="240" w:lineRule="auto"/>
              <w:rPr>
                <w:rFonts w:ascii="Times New Roman" w:hAnsi="Times New Roman"/>
                <w:sz w:val="24"/>
                <w:szCs w:val="24"/>
              </w:rPr>
            </w:pPr>
            <w:r w:rsidRPr="00475E67">
              <w:rPr>
                <w:rFonts w:ascii="Times New Roman" w:hAnsi="Times New Roman"/>
                <w:sz w:val="24"/>
                <w:szCs w:val="24"/>
              </w:rPr>
              <w:t xml:space="preserve">          I</w:t>
            </w:r>
          </w:p>
        </w:tc>
        <w:tc>
          <w:tcPr>
            <w:tcW w:w="633" w:type="dxa"/>
            <w:gridSpan w:val="2"/>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r>
      <w:tr w:rsidR="004616EA" w:rsidRPr="00475E67" w:rsidTr="00264D38">
        <w:trPr>
          <w:trHeight w:hRule="exact" w:val="565"/>
          <w:jc w:val="center"/>
        </w:trPr>
        <w:tc>
          <w:tcPr>
            <w:tcW w:w="1701" w:type="dxa"/>
            <w:tcBorders>
              <w:top w:val="double" w:sz="4" w:space="0" w:color="auto"/>
              <w:bottom w:val="double" w:sz="4" w:space="0" w:color="auto"/>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pacing w:val="-5"/>
                <w:sz w:val="24"/>
                <w:szCs w:val="24"/>
              </w:rPr>
            </w:pPr>
            <w:r w:rsidRPr="00475E67">
              <w:rPr>
                <w:rFonts w:ascii="Times New Roman" w:hAnsi="Times New Roman"/>
                <w:spacing w:val="-5"/>
                <w:sz w:val="24"/>
                <w:szCs w:val="24"/>
              </w:rPr>
              <w:t>Отделы</w:t>
            </w:r>
          </w:p>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pacing w:val="-5"/>
                <w:sz w:val="24"/>
                <w:szCs w:val="24"/>
              </w:rPr>
              <w:t>сектора</w:t>
            </w:r>
          </w:p>
        </w:tc>
        <w:tc>
          <w:tcPr>
            <w:tcW w:w="284" w:type="dxa"/>
            <w:tcBorders>
              <w:top w:val="nil"/>
              <w:left w:val="double" w:sz="4" w:space="0" w:color="auto"/>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417" w:type="dxa"/>
            <w:gridSpan w:val="5"/>
            <w:tcBorders>
              <w:top w:val="double" w:sz="4" w:space="0" w:color="auto"/>
              <w:left w:val="double" w:sz="4" w:space="0" w:color="auto"/>
              <w:bottom w:val="double" w:sz="4" w:space="0" w:color="auto"/>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pacing w:val="-5"/>
                <w:sz w:val="24"/>
                <w:szCs w:val="24"/>
              </w:rPr>
            </w:pPr>
            <w:r w:rsidRPr="00475E67">
              <w:rPr>
                <w:rFonts w:ascii="Times New Roman" w:hAnsi="Times New Roman"/>
                <w:spacing w:val="-5"/>
                <w:sz w:val="24"/>
                <w:szCs w:val="24"/>
              </w:rPr>
              <w:t>Отделы</w:t>
            </w:r>
          </w:p>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pacing w:val="-5"/>
                <w:sz w:val="24"/>
                <w:szCs w:val="24"/>
              </w:rPr>
              <w:t>сектора</w:t>
            </w:r>
          </w:p>
        </w:tc>
        <w:tc>
          <w:tcPr>
            <w:tcW w:w="147" w:type="dxa"/>
            <w:gridSpan w:val="3"/>
            <w:tcBorders>
              <w:top w:val="nil"/>
              <w:left w:val="double" w:sz="4" w:space="0" w:color="auto"/>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988" w:type="dxa"/>
            <w:gridSpan w:val="6"/>
            <w:tcBorders>
              <w:top w:val="double" w:sz="4" w:space="0" w:color="auto"/>
              <w:left w:val="double" w:sz="4" w:space="0" w:color="auto"/>
              <w:bottom w:val="double" w:sz="4" w:space="0" w:color="auto"/>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pacing w:val="-5"/>
                <w:sz w:val="24"/>
                <w:szCs w:val="24"/>
              </w:rPr>
            </w:pPr>
            <w:r w:rsidRPr="00475E67">
              <w:rPr>
                <w:rFonts w:ascii="Times New Roman" w:hAnsi="Times New Roman"/>
                <w:spacing w:val="-5"/>
                <w:sz w:val="24"/>
                <w:szCs w:val="24"/>
              </w:rPr>
              <w:t>Отделы</w:t>
            </w:r>
          </w:p>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pacing w:val="-5"/>
                <w:sz w:val="24"/>
                <w:szCs w:val="24"/>
              </w:rPr>
              <w:t>сектора</w:t>
            </w:r>
          </w:p>
        </w:tc>
        <w:tc>
          <w:tcPr>
            <w:tcW w:w="283" w:type="dxa"/>
            <w:gridSpan w:val="4"/>
            <w:tcBorders>
              <w:top w:val="nil"/>
              <w:left w:val="double" w:sz="4" w:space="0" w:color="auto"/>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095" w:type="dxa"/>
            <w:gridSpan w:val="6"/>
            <w:tcBorders>
              <w:top w:val="double" w:sz="4" w:space="0" w:color="auto"/>
              <w:left w:val="double" w:sz="4" w:space="0" w:color="auto"/>
              <w:bottom w:val="double" w:sz="4" w:space="0" w:color="auto"/>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pacing w:val="-5"/>
                <w:sz w:val="24"/>
                <w:szCs w:val="24"/>
              </w:rPr>
            </w:pPr>
            <w:r w:rsidRPr="00475E67">
              <w:rPr>
                <w:rFonts w:ascii="Times New Roman" w:hAnsi="Times New Roman"/>
                <w:spacing w:val="-5"/>
                <w:sz w:val="24"/>
                <w:szCs w:val="24"/>
              </w:rPr>
              <w:t>Отделы</w:t>
            </w:r>
          </w:p>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pacing w:val="-5"/>
                <w:sz w:val="24"/>
                <w:szCs w:val="24"/>
              </w:rPr>
              <w:t>сектора</w:t>
            </w:r>
          </w:p>
        </w:tc>
        <w:tc>
          <w:tcPr>
            <w:tcW w:w="144" w:type="dxa"/>
            <w:gridSpan w:val="3"/>
            <w:tcBorders>
              <w:top w:val="nil"/>
              <w:left w:val="double" w:sz="4" w:space="0" w:color="auto"/>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990" w:type="dxa"/>
            <w:gridSpan w:val="2"/>
            <w:tcBorders>
              <w:top w:val="double" w:sz="4" w:space="0" w:color="auto"/>
              <w:left w:val="double" w:sz="4" w:space="0" w:color="auto"/>
              <w:bottom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pacing w:val="-5"/>
                <w:sz w:val="24"/>
                <w:szCs w:val="24"/>
              </w:rPr>
            </w:pPr>
            <w:r w:rsidRPr="00475E67">
              <w:rPr>
                <w:rFonts w:ascii="Times New Roman" w:hAnsi="Times New Roman"/>
                <w:spacing w:val="-5"/>
                <w:sz w:val="24"/>
                <w:szCs w:val="24"/>
              </w:rPr>
              <w:t>Отделы</w:t>
            </w:r>
          </w:p>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pacing w:val="-5"/>
                <w:sz w:val="24"/>
                <w:szCs w:val="24"/>
              </w:rPr>
              <w:t>сектора</w:t>
            </w:r>
          </w:p>
        </w:tc>
      </w:tr>
    </w:tbl>
    <w:p w:rsidR="004616EA" w:rsidRPr="00675622" w:rsidRDefault="004616EA" w:rsidP="00675622">
      <w:pPr>
        <w:pStyle w:val="af1"/>
        <w:spacing w:after="0"/>
        <w:ind w:firstLine="709"/>
        <w:jc w:val="both"/>
        <w:rPr>
          <w:rFonts w:ascii="Times New Roman" w:hAnsi="Times New Roman"/>
          <w:b w:val="0"/>
          <w:color w:val="auto"/>
          <w:sz w:val="26"/>
          <w:szCs w:val="26"/>
        </w:rPr>
      </w:pPr>
      <w:bookmarkStart w:id="135" w:name="_Ref400620397"/>
      <w:r w:rsidRPr="00475E67">
        <w:rPr>
          <w:rFonts w:ascii="Times New Roman" w:hAnsi="Times New Roman"/>
          <w:b w:val="0"/>
          <w:color w:val="auto"/>
          <w:sz w:val="24"/>
          <w:szCs w:val="24"/>
        </w:rPr>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sidR="001977F4">
        <w:rPr>
          <w:rFonts w:ascii="Times New Roman" w:hAnsi="Times New Roman"/>
          <w:b w:val="0"/>
          <w:noProof/>
          <w:color w:val="auto"/>
          <w:sz w:val="24"/>
          <w:szCs w:val="24"/>
        </w:rPr>
        <w:t>52</w:t>
      </w:r>
      <w:r w:rsidRPr="00475E67">
        <w:rPr>
          <w:rFonts w:ascii="Times New Roman" w:hAnsi="Times New Roman"/>
          <w:b w:val="0"/>
          <w:color w:val="auto"/>
          <w:sz w:val="24"/>
          <w:szCs w:val="24"/>
        </w:rPr>
        <w:fldChar w:fldCharType="end"/>
      </w:r>
      <w:bookmarkEnd w:id="135"/>
      <w:r w:rsidRPr="00475E67">
        <w:rPr>
          <w:rFonts w:ascii="Times New Roman" w:hAnsi="Times New Roman"/>
          <w:b w:val="0"/>
          <w:color w:val="auto"/>
          <w:sz w:val="24"/>
          <w:szCs w:val="24"/>
        </w:rPr>
        <w:t xml:space="preserve"> - Четырехуровневая система, тип Б (подчинение структурных подразделений главе и его заместителям)</w:t>
      </w:r>
    </w:p>
    <w:p w:rsidR="004616EA" w:rsidRDefault="004616EA" w:rsidP="00675622">
      <w:pPr>
        <w:spacing w:after="0" w:line="240" w:lineRule="auto"/>
        <w:ind w:firstLine="709"/>
        <w:jc w:val="both"/>
        <w:rPr>
          <w:rFonts w:ascii="Times New Roman" w:hAnsi="Times New Roman"/>
          <w:sz w:val="26"/>
          <w:szCs w:val="26"/>
        </w:rPr>
      </w:pPr>
    </w:p>
    <w:p w:rsidR="004616EA" w:rsidRPr="00675622" w:rsidRDefault="004616EA" w:rsidP="00675622">
      <w:pPr>
        <w:spacing w:after="0" w:line="240" w:lineRule="auto"/>
        <w:ind w:firstLine="709"/>
        <w:jc w:val="both"/>
        <w:rPr>
          <w:rFonts w:ascii="Times New Roman" w:hAnsi="Times New Roman"/>
          <w:sz w:val="26"/>
          <w:szCs w:val="26"/>
        </w:rPr>
      </w:pPr>
      <w:r w:rsidRPr="00675622">
        <w:rPr>
          <w:rFonts w:ascii="Times New Roman" w:hAnsi="Times New Roman"/>
          <w:sz w:val="26"/>
          <w:szCs w:val="26"/>
        </w:rPr>
        <w:t>Указанная структура является наиболее распространенной. Анализ структур местных администраций различных муниципальных образований показывает довольно слабую зависимость количества уровней управ</w:t>
      </w:r>
      <w:r w:rsidRPr="00675622">
        <w:rPr>
          <w:rFonts w:ascii="Times New Roman" w:hAnsi="Times New Roman"/>
          <w:sz w:val="26"/>
          <w:szCs w:val="26"/>
        </w:rPr>
        <w:softHyphen/>
        <w:t xml:space="preserve">ления от численности населения в городе. Четырехуровневая система встречается зачастую в крупных городских округах России, а в средних и малых городах случается используют и более усложненную пятиуровневую систему. Вместе с тем следует стремиться к сокращению количества уровней управления, поскольку каждый дополнительный уровень вызывает усложнение общей системы и удлинение цепочки информационных потоков. </w:t>
      </w:r>
    </w:p>
    <w:p w:rsidR="004616EA" w:rsidRPr="00675622" w:rsidRDefault="004616EA" w:rsidP="00675622">
      <w:pPr>
        <w:spacing w:after="0" w:line="240" w:lineRule="auto"/>
        <w:ind w:firstLine="709"/>
        <w:jc w:val="both"/>
        <w:rPr>
          <w:rFonts w:ascii="Times New Roman" w:hAnsi="Times New Roman"/>
          <w:sz w:val="26"/>
          <w:szCs w:val="26"/>
        </w:rPr>
      </w:pPr>
      <w:r w:rsidRPr="00675622">
        <w:rPr>
          <w:rFonts w:ascii="Times New Roman" w:hAnsi="Times New Roman"/>
          <w:sz w:val="26"/>
          <w:szCs w:val="26"/>
        </w:rPr>
        <w:t>Увеличение или сокращение коли</w:t>
      </w:r>
      <w:r w:rsidRPr="00675622">
        <w:rPr>
          <w:rFonts w:ascii="Times New Roman" w:hAnsi="Times New Roman"/>
          <w:sz w:val="26"/>
          <w:szCs w:val="26"/>
        </w:rPr>
        <w:softHyphen/>
        <w:t>чества уровней управления должно быть связано с нормами управляемости. Оптималь</w:t>
      </w:r>
      <w:r w:rsidRPr="00675622">
        <w:rPr>
          <w:rFonts w:ascii="Times New Roman" w:hAnsi="Times New Roman"/>
          <w:sz w:val="26"/>
          <w:szCs w:val="26"/>
        </w:rPr>
        <w:softHyphen/>
        <w:t>ной признается норма в семь подчиненных структур у одного руководителя, хотя в за</w:t>
      </w:r>
      <w:r w:rsidRPr="00675622">
        <w:rPr>
          <w:rFonts w:ascii="Times New Roman" w:hAnsi="Times New Roman"/>
          <w:sz w:val="26"/>
          <w:szCs w:val="26"/>
        </w:rPr>
        <w:softHyphen/>
        <w:t>висимости от конкретных условий она может быть больше или меньше. Дополнительный уровень может вводиться в том случае, если эта норма оказывается существенно превышенной. Это особенно важно для главы администрации.</w:t>
      </w:r>
    </w:p>
    <w:p w:rsidR="004616EA" w:rsidRPr="00675622" w:rsidRDefault="004616EA" w:rsidP="00675622">
      <w:pPr>
        <w:spacing w:after="0" w:line="240" w:lineRule="auto"/>
        <w:ind w:firstLine="709"/>
        <w:jc w:val="both"/>
        <w:rPr>
          <w:rFonts w:ascii="Times New Roman" w:hAnsi="Times New Roman"/>
          <w:sz w:val="26"/>
          <w:szCs w:val="26"/>
        </w:rPr>
      </w:pPr>
      <w:r w:rsidRPr="00675622">
        <w:rPr>
          <w:rFonts w:ascii="Times New Roman" w:hAnsi="Times New Roman"/>
          <w:sz w:val="26"/>
          <w:szCs w:val="26"/>
        </w:rPr>
        <w:t>Распределение сфер ответственности между руководящим составом администрации городского округа город Когалым представляется оптимальным и выглядит следующим образом:</w:t>
      </w:r>
    </w:p>
    <w:p w:rsidR="004616EA" w:rsidRPr="00675622" w:rsidRDefault="004616EA" w:rsidP="00675622">
      <w:pPr>
        <w:numPr>
          <w:ilvl w:val="0"/>
          <w:numId w:val="95"/>
        </w:numPr>
        <w:tabs>
          <w:tab w:val="clear" w:pos="720"/>
          <w:tab w:val="num" w:pos="0"/>
        </w:tabs>
        <w:spacing w:after="0" w:line="240" w:lineRule="auto"/>
        <w:ind w:left="0" w:firstLine="709"/>
        <w:jc w:val="both"/>
        <w:rPr>
          <w:rFonts w:ascii="Times New Roman" w:hAnsi="Times New Roman"/>
          <w:sz w:val="26"/>
          <w:szCs w:val="26"/>
          <w:lang w:eastAsia="ru-RU"/>
        </w:rPr>
      </w:pPr>
      <w:r w:rsidRPr="00675622">
        <w:rPr>
          <w:rFonts w:ascii="Times New Roman" w:hAnsi="Times New Roman"/>
          <w:sz w:val="26"/>
          <w:szCs w:val="26"/>
          <w:lang w:eastAsia="ru-RU"/>
        </w:rPr>
        <w:t>Блок экономики и финансов, ответственный за прогнозирование и планирование социально-экономического развития городского округа, формирование и исполнение бюджета, взаимодействие с хозяйствующими субъектами, определяющими на</w:t>
      </w:r>
      <w:r w:rsidRPr="00675622">
        <w:rPr>
          <w:rFonts w:ascii="Times New Roman" w:hAnsi="Times New Roman"/>
          <w:sz w:val="26"/>
          <w:szCs w:val="26"/>
          <w:lang w:eastAsia="ru-RU"/>
        </w:rPr>
        <w:softHyphen/>
        <w:t>логовую базу бюджета и занятость населения территории (промышленная по</w:t>
      </w:r>
      <w:r w:rsidRPr="00675622">
        <w:rPr>
          <w:rFonts w:ascii="Times New Roman" w:hAnsi="Times New Roman"/>
          <w:sz w:val="26"/>
          <w:szCs w:val="26"/>
          <w:lang w:eastAsia="ru-RU"/>
        </w:rPr>
        <w:softHyphen/>
        <w:t>литика), с финансовыми структурами города, формирование и размещение в рамках расходной части бюджета сводного муниципального заказа, формиро</w:t>
      </w:r>
      <w:r w:rsidRPr="00675622">
        <w:rPr>
          <w:rFonts w:ascii="Times New Roman" w:hAnsi="Times New Roman"/>
          <w:sz w:val="26"/>
          <w:szCs w:val="26"/>
          <w:lang w:eastAsia="ru-RU"/>
        </w:rPr>
        <w:softHyphen/>
        <w:t xml:space="preserve">вание инвестиционной политики города. </w:t>
      </w:r>
      <w:r w:rsidRPr="00675622">
        <w:rPr>
          <w:rFonts w:ascii="Times New Roman" w:hAnsi="Times New Roman"/>
          <w:i/>
          <w:sz w:val="26"/>
          <w:szCs w:val="26"/>
          <w:lang w:eastAsia="ru-RU"/>
        </w:rPr>
        <w:t>В отдельных случаях, руководство составными частями этого блока может быть распределено между несколькими заместителями, а координацию работы блока в целом обеспечи</w:t>
      </w:r>
      <w:r w:rsidRPr="00675622">
        <w:rPr>
          <w:rFonts w:ascii="Times New Roman" w:hAnsi="Times New Roman"/>
          <w:i/>
          <w:sz w:val="26"/>
          <w:szCs w:val="26"/>
          <w:lang w:eastAsia="ru-RU"/>
        </w:rPr>
        <w:softHyphen/>
        <w:t>вает первый заместитель главы</w:t>
      </w:r>
      <w:r w:rsidRPr="00675622">
        <w:rPr>
          <w:rFonts w:ascii="Times New Roman" w:hAnsi="Times New Roman"/>
          <w:sz w:val="26"/>
          <w:szCs w:val="26"/>
          <w:lang w:eastAsia="ru-RU"/>
        </w:rPr>
        <w:t>;</w:t>
      </w:r>
    </w:p>
    <w:p w:rsidR="004616EA" w:rsidRPr="00675622" w:rsidRDefault="004616EA" w:rsidP="00675622">
      <w:pPr>
        <w:numPr>
          <w:ilvl w:val="0"/>
          <w:numId w:val="95"/>
        </w:numPr>
        <w:tabs>
          <w:tab w:val="clear" w:pos="720"/>
          <w:tab w:val="num" w:pos="0"/>
        </w:tabs>
        <w:spacing w:after="0" w:line="240" w:lineRule="auto"/>
        <w:ind w:left="0" w:firstLine="709"/>
        <w:jc w:val="both"/>
        <w:rPr>
          <w:rFonts w:ascii="Times New Roman" w:hAnsi="Times New Roman"/>
          <w:sz w:val="26"/>
          <w:szCs w:val="26"/>
          <w:lang w:eastAsia="ru-RU"/>
        </w:rPr>
      </w:pPr>
      <w:r w:rsidRPr="00675622">
        <w:rPr>
          <w:rFonts w:ascii="Times New Roman" w:hAnsi="Times New Roman"/>
          <w:sz w:val="26"/>
          <w:szCs w:val="26"/>
          <w:lang w:eastAsia="ru-RU"/>
        </w:rPr>
        <w:t>Блок управления недвижимостью, ответственный за эффективное использование муниципальной собственности, включая собственность на землю и местные при</w:t>
      </w:r>
      <w:r w:rsidRPr="00675622">
        <w:rPr>
          <w:rFonts w:ascii="Times New Roman" w:hAnsi="Times New Roman"/>
          <w:sz w:val="26"/>
          <w:szCs w:val="26"/>
          <w:lang w:eastAsia="ru-RU"/>
        </w:rPr>
        <w:softHyphen/>
        <w:t xml:space="preserve">родные ресурсы, и за формирование имущественной части доходов бюджета. </w:t>
      </w:r>
      <w:r w:rsidRPr="00675622">
        <w:rPr>
          <w:rFonts w:ascii="Times New Roman" w:hAnsi="Times New Roman"/>
          <w:i/>
          <w:sz w:val="26"/>
          <w:szCs w:val="26"/>
          <w:lang w:eastAsia="ru-RU"/>
        </w:rPr>
        <w:t>В менее крупных муниципальных образованиях соответствующие структурные подразделения могут входить в состав экономического блока</w:t>
      </w:r>
      <w:r w:rsidRPr="00675622">
        <w:rPr>
          <w:rFonts w:ascii="Times New Roman" w:hAnsi="Times New Roman"/>
          <w:sz w:val="26"/>
          <w:szCs w:val="26"/>
          <w:lang w:eastAsia="ru-RU"/>
        </w:rPr>
        <w:t>;</w:t>
      </w:r>
    </w:p>
    <w:p w:rsidR="004616EA" w:rsidRPr="00675622" w:rsidRDefault="004616EA" w:rsidP="00675622">
      <w:pPr>
        <w:numPr>
          <w:ilvl w:val="0"/>
          <w:numId w:val="95"/>
        </w:numPr>
        <w:tabs>
          <w:tab w:val="clear" w:pos="720"/>
          <w:tab w:val="num" w:pos="0"/>
        </w:tabs>
        <w:spacing w:after="0" w:line="240" w:lineRule="auto"/>
        <w:ind w:left="0" w:firstLine="709"/>
        <w:jc w:val="both"/>
        <w:rPr>
          <w:rFonts w:ascii="Times New Roman" w:hAnsi="Times New Roman"/>
          <w:i/>
          <w:sz w:val="26"/>
          <w:szCs w:val="26"/>
          <w:lang w:eastAsia="ru-RU"/>
        </w:rPr>
      </w:pPr>
      <w:r w:rsidRPr="00675622">
        <w:rPr>
          <w:rFonts w:ascii="Times New Roman" w:hAnsi="Times New Roman"/>
          <w:sz w:val="26"/>
          <w:szCs w:val="26"/>
          <w:lang w:eastAsia="ru-RU"/>
        </w:rPr>
        <w:t xml:space="preserve">Блок управления строительством и стратегическим развитием городской среды. </w:t>
      </w:r>
      <w:r w:rsidRPr="00675622">
        <w:rPr>
          <w:rFonts w:ascii="Times New Roman" w:hAnsi="Times New Roman"/>
          <w:i/>
          <w:sz w:val="26"/>
          <w:szCs w:val="26"/>
          <w:lang w:eastAsia="ru-RU"/>
        </w:rPr>
        <w:t xml:space="preserve">Городская архитектура и застройка тесно связаны с управлением городскими землями, особенно после разграничения собственности на землю между уровнями публичной власти. Органы архитектуры могут вносить немалый вклад в формирование имущественных доходов бюджета. Следовательно, в ряде муниципальных образований объединены в подчиненность одного лица вопросы архитектуры, строительства и управления имуществом муниципального образования. В этом случае программно-целевое структурное подразделение, нацеленное на решение стратегических задач может быть подчинено главе администрации. </w:t>
      </w:r>
    </w:p>
    <w:p w:rsidR="004616EA" w:rsidRPr="00675622" w:rsidRDefault="004616EA" w:rsidP="00675622">
      <w:pPr>
        <w:numPr>
          <w:ilvl w:val="0"/>
          <w:numId w:val="95"/>
        </w:numPr>
        <w:tabs>
          <w:tab w:val="clear" w:pos="720"/>
          <w:tab w:val="num" w:pos="0"/>
        </w:tabs>
        <w:spacing w:after="0" w:line="240" w:lineRule="auto"/>
        <w:ind w:left="0" w:firstLine="709"/>
        <w:jc w:val="both"/>
        <w:rPr>
          <w:rFonts w:ascii="Times New Roman" w:hAnsi="Times New Roman"/>
          <w:sz w:val="26"/>
          <w:szCs w:val="26"/>
          <w:lang w:eastAsia="ru-RU"/>
        </w:rPr>
      </w:pPr>
      <w:r w:rsidRPr="00675622">
        <w:rPr>
          <w:rFonts w:ascii="Times New Roman" w:hAnsi="Times New Roman"/>
          <w:sz w:val="26"/>
          <w:szCs w:val="26"/>
          <w:lang w:eastAsia="ru-RU"/>
        </w:rPr>
        <w:t xml:space="preserve">Блок управления городским хозяйством, ответственный за жизнеобеспечение города (ЖКХ, энергетика, транспорт, дороги, содержание территории и др.). </w:t>
      </w:r>
      <w:r w:rsidRPr="00675622">
        <w:rPr>
          <w:rFonts w:ascii="Times New Roman" w:hAnsi="Times New Roman"/>
          <w:i/>
          <w:sz w:val="26"/>
          <w:szCs w:val="26"/>
          <w:lang w:eastAsia="ru-RU"/>
        </w:rPr>
        <w:t>В отдельных случаях руководство данным блоком может быть распределено между несколькими заместителями при условии назначения единого коорди</w:t>
      </w:r>
      <w:r w:rsidRPr="00675622">
        <w:rPr>
          <w:rFonts w:ascii="Times New Roman" w:hAnsi="Times New Roman"/>
          <w:i/>
          <w:sz w:val="26"/>
          <w:szCs w:val="26"/>
          <w:lang w:eastAsia="ru-RU"/>
        </w:rPr>
        <w:softHyphen/>
        <w:t>натора в ранге не ниже первого заместителя главы.</w:t>
      </w:r>
      <w:r w:rsidRPr="00675622">
        <w:rPr>
          <w:rFonts w:ascii="Times New Roman" w:hAnsi="Times New Roman"/>
          <w:sz w:val="26"/>
          <w:szCs w:val="26"/>
          <w:lang w:eastAsia="ru-RU"/>
        </w:rPr>
        <w:t xml:space="preserve"> </w:t>
      </w:r>
    </w:p>
    <w:p w:rsidR="004616EA" w:rsidRPr="00675622" w:rsidRDefault="004616EA" w:rsidP="00675622">
      <w:pPr>
        <w:numPr>
          <w:ilvl w:val="0"/>
          <w:numId w:val="95"/>
        </w:numPr>
        <w:tabs>
          <w:tab w:val="clear" w:pos="720"/>
          <w:tab w:val="num" w:pos="0"/>
        </w:tabs>
        <w:spacing w:after="0" w:line="240" w:lineRule="auto"/>
        <w:ind w:left="0" w:firstLine="709"/>
        <w:jc w:val="both"/>
        <w:rPr>
          <w:rFonts w:ascii="Times New Roman" w:hAnsi="Times New Roman"/>
          <w:sz w:val="26"/>
          <w:szCs w:val="26"/>
        </w:rPr>
      </w:pPr>
      <w:r w:rsidRPr="00675622">
        <w:rPr>
          <w:rFonts w:ascii="Times New Roman" w:hAnsi="Times New Roman"/>
          <w:sz w:val="26"/>
          <w:szCs w:val="26"/>
          <w:lang w:eastAsia="ru-RU"/>
        </w:rPr>
        <w:t>Социальный блок, ответственный за все составные части социальной политики, за поддержание и наращивание человеческого потенциала города. </w:t>
      </w:r>
    </w:p>
    <w:p w:rsidR="004616EA" w:rsidRPr="00675622" w:rsidRDefault="004616EA" w:rsidP="00675622">
      <w:pPr>
        <w:numPr>
          <w:ilvl w:val="0"/>
          <w:numId w:val="95"/>
        </w:numPr>
        <w:tabs>
          <w:tab w:val="clear" w:pos="720"/>
          <w:tab w:val="num" w:pos="0"/>
        </w:tabs>
        <w:spacing w:after="0" w:line="240" w:lineRule="auto"/>
        <w:ind w:left="0" w:firstLine="709"/>
        <w:jc w:val="both"/>
        <w:rPr>
          <w:rFonts w:ascii="Times New Roman" w:hAnsi="Times New Roman"/>
          <w:b/>
          <w:sz w:val="26"/>
          <w:szCs w:val="26"/>
        </w:rPr>
      </w:pPr>
      <w:r w:rsidRPr="00675622">
        <w:rPr>
          <w:rFonts w:ascii="Times New Roman" w:hAnsi="Times New Roman"/>
          <w:sz w:val="26"/>
          <w:szCs w:val="26"/>
          <w:lang w:eastAsia="ru-RU"/>
        </w:rPr>
        <w:t>Блок общественной безопасности, защиты населения и территории от неблаго</w:t>
      </w:r>
      <w:r w:rsidRPr="00675622">
        <w:rPr>
          <w:rFonts w:ascii="Times New Roman" w:hAnsi="Times New Roman"/>
          <w:sz w:val="26"/>
          <w:szCs w:val="26"/>
          <w:lang w:eastAsia="ru-RU"/>
        </w:rPr>
        <w:softHyphen/>
        <w:t>приятных природных и техногенных воздействий, взаимодействия с правоох</w:t>
      </w:r>
      <w:r w:rsidRPr="00675622">
        <w:rPr>
          <w:rFonts w:ascii="Times New Roman" w:hAnsi="Times New Roman"/>
          <w:sz w:val="26"/>
          <w:szCs w:val="26"/>
          <w:lang w:eastAsia="ru-RU"/>
        </w:rPr>
        <w:softHyphen/>
        <w:t xml:space="preserve">ранительными органами. </w:t>
      </w:r>
      <w:r w:rsidRPr="00675622">
        <w:rPr>
          <w:rFonts w:ascii="Times New Roman" w:hAnsi="Times New Roman"/>
          <w:i/>
          <w:sz w:val="26"/>
          <w:szCs w:val="26"/>
          <w:lang w:eastAsia="ru-RU"/>
        </w:rPr>
        <w:t>Зачастую к этому блоку относят также вопросы взаимодействия с населением и структурами гражданского общества, организацию контрольной работы и др. В этот же блок могут входить юридическая, кадровая и информаци</w:t>
      </w:r>
      <w:r w:rsidRPr="00675622">
        <w:rPr>
          <w:rFonts w:ascii="Times New Roman" w:hAnsi="Times New Roman"/>
          <w:i/>
          <w:sz w:val="26"/>
          <w:szCs w:val="26"/>
          <w:lang w:eastAsia="ru-RU"/>
        </w:rPr>
        <w:softHyphen/>
        <w:t>онная службы.</w:t>
      </w:r>
    </w:p>
    <w:p w:rsidR="004616EA" w:rsidRPr="00475E67" w:rsidRDefault="004616EA" w:rsidP="00CB22CE">
      <w:pPr>
        <w:spacing w:after="0" w:line="360" w:lineRule="auto"/>
        <w:ind w:firstLine="567"/>
        <w:jc w:val="both"/>
        <w:rPr>
          <w:rFonts w:ascii="Times New Roman" w:hAnsi="Times New Roman"/>
        </w:rPr>
      </w:pPr>
    </w:p>
    <w:p w:rsidR="004616EA" w:rsidRPr="00475E67" w:rsidRDefault="004616EA" w:rsidP="007927E1">
      <w:pPr>
        <w:sectPr w:rsidR="004616EA" w:rsidRPr="00475E67" w:rsidSect="007666CD">
          <w:pgSz w:w="11906" w:h="16838"/>
          <w:pgMar w:top="1134" w:right="567" w:bottom="1134" w:left="2552" w:header="709" w:footer="709" w:gutter="0"/>
          <w:cols w:space="708"/>
          <w:docGrid w:linePitch="360"/>
        </w:sectPr>
      </w:pPr>
    </w:p>
    <w:p w:rsidR="004616EA" w:rsidRDefault="004616EA" w:rsidP="002962FE">
      <w:pPr>
        <w:pStyle w:val="1"/>
        <w:spacing w:before="0" w:after="0"/>
        <w:ind w:firstLine="709"/>
        <w:jc w:val="both"/>
        <w:rPr>
          <w:sz w:val="26"/>
          <w:szCs w:val="26"/>
        </w:rPr>
      </w:pPr>
      <w:bookmarkStart w:id="136" w:name="_Toc405805512"/>
      <w:r w:rsidRPr="002962FE">
        <w:rPr>
          <w:sz w:val="26"/>
          <w:szCs w:val="26"/>
        </w:rPr>
        <w:t xml:space="preserve">5 Результаты комплексной оценки проблем и перспектив развития </w:t>
      </w:r>
      <w:bookmarkEnd w:id="134"/>
      <w:r w:rsidRPr="002962FE">
        <w:rPr>
          <w:sz w:val="26"/>
          <w:szCs w:val="26"/>
        </w:rPr>
        <w:t>городского округа город Когалым</w:t>
      </w:r>
      <w:bookmarkEnd w:id="136"/>
    </w:p>
    <w:p w:rsidR="004616EA" w:rsidRPr="002962FE" w:rsidRDefault="004616EA" w:rsidP="002962FE">
      <w:pPr>
        <w:spacing w:after="0" w:line="240" w:lineRule="auto"/>
      </w:pPr>
    </w:p>
    <w:p w:rsidR="004616EA" w:rsidRPr="002962FE" w:rsidRDefault="004616EA" w:rsidP="002962FE">
      <w:pPr>
        <w:pStyle w:val="a7"/>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Проведенный комплексный анализ социально-экономического положения городского округа город Когалым позволил выявить ряд сильных сторон, ограничений и связанных с ними проблем развития.</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Как было установлено, городской округ обладает рядом сильных сторон и конкурентных преимуществ по сравнению с другими муниципальными образованиями Ханты-Мансийского автономного округа - Югры, что позволяет ему занимать существенное место в экономике всего региона. На сегодняшний день городской округ располагает экономическими преимуществами, которые обусловлены наличием нефтегазовых месторождений и крупных промышленных предприятий. Кроме того, к сильным сторонам городского округа, несомненно, необходимо отнести: низкий уровень безработицы, высокий уровень благоустройства жилищного фонда, наличие практически всех видов транспорта, социальную направленность бюджета городского округа.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Однако наличие ряда сильных сторон также сопряжено наличием системных проблем социально-экономического развития городского округа, выявленных на основе анализа слабых сторон, решение которых необходимо для сохранения своего статуса в структуре экономики Ханты-Мансийского автономного округа - Югры и повышения показателей экономического развития.</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В городском округе город Когалым было проведено социологическое исследование, включающее в себя несколько этапов. На первом этапе было проведено полуструктурированное интервью с экспертами города, которые выделили ряд проблем и перспектив развития территории. На втором этапе параллельно было проведено два опроса населения. В качестве опросных методов были выбраны опросы по анкете. Опрос по анкете предполагает жестко фиксированный порядок, содержание и форму вопросов, ясное указание способов ответа. Анкета в принципе считается наиболее оперативным видом опроса. Одно анкетирование проводилось методом прямого опроса, то есть в присутствии анкетера, в наиболее людных общественных местах города. Второе анкетирование проводилось методом заочного опроса – интернет-опроса, когда опрашиваемый наедине с самим собой заполняет анкету, на платформе сайта ООО «ИТП «Град».</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Объем выборки опроса по анкете был определен заранее, он составил 500 человек. Такой объем выборки считается оптимальным для исследований такого типа, так как он дает достаточную репрезентативность результатов.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При формировании выборки важно обращать внимание на соотношение мужчин и женщин. Согласно данным Ханты-Мансийскстата, в городском округе город Когалым на 01.01.2014 года проживало 61146 человек. При этом соотношение мужчин и женщин составляет 50% и 50% соответственно. Таким образом, из выборки в 500 человек необходимо опросить 250 мужчин и 250 женщин.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В результате было опрошено 280 мужчин, что составляет 56%, и 220 женщин, что составляет 44%.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Возрастной состав респондентов также должен соответствовать возрастному составу населения. В городе Когалыме преобладает население в возрасте от 25 до 29 лет (10,7% от всего населения). Доля населения трудоспособного возраста на начало 2013 года составила порядка 70,3%.</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Участие принимали респонденты в возрасте от 18 лет и старше, разделенные по возрастным категориям. Большую часть опрошенных составляет население в возрасте от 18 до 22 лет (28%), следующая группа по количеству опрошенных - это население в возрасте от 23 до 25 лет (21%) и от 26 до 30 лет (20%).</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Распределение респондентов по социальному статусу также должно соответствовать известным статистическим данным. Так, численность занятых в экономике в 2013 году - 37,3 тыс. человек, что составляет 99,7% от численности экономически активного населения (37,4 тыс. чел.). Порядка 27% экономически активного населения занято в промышленном комплексе, при этом более 60% занятых в данной отрасли экономики приходится на предприятия по добыче полезных ископаемых.</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Согласно статистическим данным на конец 2013 года среднемесячный доход на душу населения составляет порядка 37863,8 рублей.</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По данным опроса большее число респондентов отметили, что среднемесячный доход на одного члена семьи составляет 15000 - 21000 рублей (39%).</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Таким образом, приведенные данные показывают, что выборка является представительной, следовательно, результаты анализа можно рассматривать как репрезентативные.</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Целью анкетирования являлось выявление предпочтений граждан по развитию территорий городского округа.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Респондентам было задано 37 вопросов. Вопросы касались жилищных условий, обустройства дворовых территорий, объектов социального-культурно-бытового обслуживания, транспортной инфраструктуры, экологической обстановки, в целом проблем города и перспектив его развития.</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В качестве проблем большинство респондентов отметили отсутствие крупных торговых центров, кафе, садиков, мест для прогулки, наличие большого пустого пространства, плохую экологию, отсутствие санаторно-курортных учреждений, плохие дороги (</w:t>
      </w:r>
      <w:r w:rsidR="001977F4">
        <w:fldChar w:fldCharType="begin"/>
      </w:r>
      <w:r w:rsidR="001977F4">
        <w:instrText xml:space="preserve"> REF _Ref400803098 \h  \* MERGEFORMAT </w:instrText>
      </w:r>
      <w:r w:rsidR="001977F4">
        <w:fldChar w:fldCharType="separate"/>
      </w:r>
      <w:r w:rsidR="001977F4" w:rsidRPr="001977F4">
        <w:rPr>
          <w:rFonts w:ascii="Times New Roman" w:hAnsi="Times New Roman"/>
          <w:sz w:val="26"/>
          <w:szCs w:val="26"/>
        </w:rPr>
        <w:t xml:space="preserve">Рисунок </w:t>
      </w:r>
      <w:r w:rsidR="001977F4" w:rsidRPr="001977F4">
        <w:rPr>
          <w:rFonts w:ascii="Times New Roman" w:hAnsi="Times New Roman"/>
          <w:noProof/>
          <w:sz w:val="26"/>
          <w:szCs w:val="26"/>
        </w:rPr>
        <w:t>53</w:t>
      </w:r>
      <w:r w:rsidR="001977F4">
        <w:fldChar w:fldCharType="end"/>
      </w:r>
      <w:r w:rsidRPr="002962FE">
        <w:rPr>
          <w:rFonts w:ascii="Times New Roman" w:hAnsi="Times New Roman"/>
          <w:sz w:val="26"/>
          <w:szCs w:val="26"/>
        </w:rPr>
        <w:t>).</w:t>
      </w:r>
    </w:p>
    <w:p w:rsidR="004616EA" w:rsidRPr="00475E67" w:rsidRDefault="00E70A58" w:rsidP="00AF6B36">
      <w:pPr>
        <w:keepNext/>
        <w:spacing w:after="0" w:line="360" w:lineRule="auto"/>
        <w:jc w:val="center"/>
      </w:pPr>
      <w:r>
        <w:rPr>
          <w:rFonts w:ascii="Times New Roman" w:hAnsi="Times New Roman"/>
          <w:noProof/>
          <w:sz w:val="24"/>
          <w:szCs w:val="24"/>
          <w:lang w:eastAsia="ru-RU"/>
        </w:rPr>
        <w:drawing>
          <wp:inline distT="0" distB="0" distL="0" distR="0">
            <wp:extent cx="4678680" cy="2072640"/>
            <wp:effectExtent l="0" t="0" r="7620" b="3810"/>
            <wp:docPr id="50" name="Рисунок 46" descr="Рисуно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Рисунок2"/>
                    <pic:cNvPicPr>
                      <a:picLocks noChangeAspect="1" noChangeArrowheads="1"/>
                    </pic:cNvPicPr>
                  </pic:nvPicPr>
                  <pic:blipFill>
                    <a:blip r:embed="rId85">
                      <a:extLst>
                        <a:ext uri="{28A0092B-C50C-407E-A947-70E740481C1C}">
                          <a14:useLocalDpi xmlns:a14="http://schemas.microsoft.com/office/drawing/2010/main" val="0"/>
                        </a:ext>
                      </a:extLst>
                    </a:blip>
                    <a:srcRect t="8250"/>
                    <a:stretch>
                      <a:fillRect/>
                    </a:stretch>
                  </pic:blipFill>
                  <pic:spPr bwMode="auto">
                    <a:xfrm>
                      <a:off x="0" y="0"/>
                      <a:ext cx="4678680" cy="2072640"/>
                    </a:xfrm>
                    <a:prstGeom prst="rect">
                      <a:avLst/>
                    </a:prstGeom>
                    <a:noFill/>
                    <a:ln>
                      <a:noFill/>
                    </a:ln>
                  </pic:spPr>
                </pic:pic>
              </a:graphicData>
            </a:graphic>
          </wp:inline>
        </w:drawing>
      </w:r>
    </w:p>
    <w:p w:rsidR="004616EA" w:rsidRPr="00475E67" w:rsidRDefault="004616EA" w:rsidP="00AF6B36">
      <w:pPr>
        <w:pStyle w:val="af1"/>
        <w:jc w:val="center"/>
        <w:rPr>
          <w:rFonts w:ascii="Times New Roman" w:hAnsi="Times New Roman"/>
          <w:b w:val="0"/>
          <w:color w:val="auto"/>
          <w:sz w:val="24"/>
          <w:szCs w:val="24"/>
        </w:rPr>
      </w:pPr>
      <w:bookmarkStart w:id="137" w:name="_Ref400803098"/>
      <w:r w:rsidRPr="00475E67">
        <w:rPr>
          <w:rFonts w:ascii="Times New Roman" w:hAnsi="Times New Roman"/>
          <w:b w:val="0"/>
          <w:color w:val="auto"/>
          <w:sz w:val="24"/>
          <w:szCs w:val="24"/>
        </w:rPr>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sidR="001977F4">
        <w:rPr>
          <w:rFonts w:ascii="Times New Roman" w:hAnsi="Times New Roman"/>
          <w:b w:val="0"/>
          <w:noProof/>
          <w:color w:val="auto"/>
          <w:sz w:val="24"/>
          <w:szCs w:val="24"/>
        </w:rPr>
        <w:t>53</w:t>
      </w:r>
      <w:r w:rsidRPr="00475E67">
        <w:rPr>
          <w:rFonts w:ascii="Times New Roman" w:hAnsi="Times New Roman"/>
          <w:b w:val="0"/>
          <w:color w:val="auto"/>
          <w:sz w:val="24"/>
          <w:szCs w:val="24"/>
        </w:rPr>
        <w:fldChar w:fldCharType="end"/>
      </w:r>
      <w:bookmarkEnd w:id="137"/>
      <w:r w:rsidRPr="00475E67">
        <w:rPr>
          <w:rFonts w:ascii="Times New Roman" w:hAnsi="Times New Roman"/>
          <w:b w:val="0"/>
          <w:color w:val="auto"/>
          <w:sz w:val="24"/>
          <w:szCs w:val="24"/>
        </w:rPr>
        <w:t xml:space="preserve"> - Общее восприятие жителями города Когалыма качества жизни</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Суммируя результаты проведенного социологического исследования и комплексного анализа социально-экономического положения, можно выделить конкретные проблемы развития городского округа город Когалым.</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Проблемы, формирующие ограничения в развитии городского округа и снижающие возможности реализации перспективных направлений социально-экономического развития, представлены ниже (</w:t>
      </w:r>
      <w:r w:rsidR="001977F4">
        <w:fldChar w:fldCharType="begin"/>
      </w:r>
      <w:r w:rsidR="001977F4">
        <w:instrText xml:space="preserve"> REF _Ref397080322 \h  \* MERGEFORMAT </w:instrText>
      </w:r>
      <w:r w:rsidR="001977F4">
        <w:fldChar w:fldCharType="separate"/>
      </w:r>
      <w:r w:rsidR="001977F4" w:rsidRPr="002962FE">
        <w:rPr>
          <w:rFonts w:ascii="Times New Roman" w:hAnsi="Times New Roman"/>
          <w:sz w:val="26"/>
          <w:szCs w:val="26"/>
        </w:rPr>
        <w:t xml:space="preserve">Таблица </w:t>
      </w:r>
      <w:r w:rsidR="001977F4" w:rsidRPr="001977F4">
        <w:rPr>
          <w:rFonts w:ascii="Times New Roman" w:hAnsi="Times New Roman"/>
          <w:sz w:val="26"/>
          <w:szCs w:val="26"/>
        </w:rPr>
        <w:t>9</w:t>
      </w:r>
      <w:r w:rsidR="001977F4">
        <w:fldChar w:fldCharType="end"/>
      </w:r>
      <w:r w:rsidRPr="002962FE">
        <w:rPr>
          <w:rFonts w:ascii="Times New Roman" w:hAnsi="Times New Roman"/>
          <w:sz w:val="26"/>
          <w:szCs w:val="26"/>
        </w:rPr>
        <w:t xml:space="preserve">). </w:t>
      </w:r>
    </w:p>
    <w:p w:rsidR="004616EA" w:rsidRPr="002962FE" w:rsidRDefault="004616EA" w:rsidP="002962FE">
      <w:pPr>
        <w:spacing w:after="0" w:line="240" w:lineRule="auto"/>
        <w:ind w:firstLine="709"/>
        <w:jc w:val="both"/>
        <w:rPr>
          <w:rFonts w:ascii="Times New Roman" w:hAnsi="Times New Roman"/>
          <w:sz w:val="26"/>
          <w:szCs w:val="26"/>
        </w:rPr>
      </w:pPr>
    </w:p>
    <w:p w:rsidR="004616EA" w:rsidRPr="002962FE" w:rsidRDefault="004616EA" w:rsidP="002962FE">
      <w:pPr>
        <w:pStyle w:val="af1"/>
        <w:keepNext/>
        <w:spacing w:after="0"/>
        <w:ind w:firstLine="709"/>
        <w:jc w:val="both"/>
        <w:rPr>
          <w:rFonts w:ascii="Times New Roman" w:hAnsi="Times New Roman"/>
          <w:b w:val="0"/>
          <w:color w:val="auto"/>
          <w:sz w:val="26"/>
          <w:szCs w:val="26"/>
        </w:rPr>
      </w:pPr>
      <w:bookmarkStart w:id="138" w:name="_Ref397080322"/>
      <w:r w:rsidRPr="002962FE">
        <w:rPr>
          <w:rFonts w:ascii="Times New Roman" w:hAnsi="Times New Roman"/>
          <w:b w:val="0"/>
          <w:color w:val="auto"/>
          <w:sz w:val="26"/>
          <w:szCs w:val="26"/>
        </w:rPr>
        <w:t xml:space="preserve">Таблица </w:t>
      </w:r>
      <w:r w:rsidRPr="002962FE">
        <w:rPr>
          <w:rFonts w:ascii="Times New Roman" w:hAnsi="Times New Roman"/>
          <w:b w:val="0"/>
          <w:color w:val="auto"/>
          <w:sz w:val="26"/>
          <w:szCs w:val="26"/>
        </w:rPr>
        <w:fldChar w:fldCharType="begin"/>
      </w:r>
      <w:r w:rsidRPr="002962FE">
        <w:rPr>
          <w:rFonts w:ascii="Times New Roman" w:hAnsi="Times New Roman"/>
          <w:b w:val="0"/>
          <w:color w:val="auto"/>
          <w:sz w:val="26"/>
          <w:szCs w:val="26"/>
        </w:rPr>
        <w:instrText xml:space="preserve"> SEQ Таблица \* ARABIC </w:instrText>
      </w:r>
      <w:r w:rsidRPr="002962FE">
        <w:rPr>
          <w:rFonts w:ascii="Times New Roman" w:hAnsi="Times New Roman"/>
          <w:b w:val="0"/>
          <w:color w:val="auto"/>
          <w:sz w:val="26"/>
          <w:szCs w:val="26"/>
        </w:rPr>
        <w:fldChar w:fldCharType="separate"/>
      </w:r>
      <w:r w:rsidR="001977F4">
        <w:rPr>
          <w:rFonts w:ascii="Times New Roman" w:hAnsi="Times New Roman"/>
          <w:b w:val="0"/>
          <w:noProof/>
          <w:color w:val="auto"/>
          <w:sz w:val="26"/>
          <w:szCs w:val="26"/>
        </w:rPr>
        <w:t>9</w:t>
      </w:r>
      <w:r w:rsidRPr="002962FE">
        <w:rPr>
          <w:rFonts w:ascii="Times New Roman" w:hAnsi="Times New Roman"/>
          <w:b w:val="0"/>
          <w:color w:val="auto"/>
          <w:sz w:val="26"/>
          <w:szCs w:val="26"/>
        </w:rPr>
        <w:fldChar w:fldCharType="end"/>
      </w:r>
      <w:bookmarkEnd w:id="138"/>
      <w:r w:rsidRPr="002962FE">
        <w:rPr>
          <w:rFonts w:ascii="Times New Roman" w:hAnsi="Times New Roman"/>
          <w:b w:val="0"/>
          <w:color w:val="auto"/>
          <w:sz w:val="26"/>
          <w:szCs w:val="26"/>
        </w:rPr>
        <w:t xml:space="preserve"> - Проблемы социально-экономического развития города Когалыма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8"/>
        <w:gridCol w:w="6635"/>
      </w:tblGrid>
      <w:tr w:rsidR="004616EA" w:rsidRPr="002962FE" w:rsidTr="002C30E2">
        <w:trPr>
          <w:trHeight w:val="315"/>
          <w:tblHeader/>
        </w:trPr>
        <w:tc>
          <w:tcPr>
            <w:tcW w:w="1315" w:type="pct"/>
            <w:noWrap/>
            <w:vAlign w:val="center"/>
          </w:tcPr>
          <w:p w:rsidR="004616EA" w:rsidRPr="002962FE" w:rsidRDefault="004616EA" w:rsidP="004E5F17">
            <w:pPr>
              <w:spacing w:after="0"/>
              <w:jc w:val="center"/>
              <w:rPr>
                <w:rFonts w:ascii="Times New Roman" w:hAnsi="Times New Roman"/>
                <w:b/>
                <w:sz w:val="26"/>
                <w:szCs w:val="26"/>
              </w:rPr>
            </w:pPr>
            <w:r w:rsidRPr="002962FE">
              <w:rPr>
                <w:rFonts w:ascii="Times New Roman" w:hAnsi="Times New Roman"/>
                <w:b/>
                <w:sz w:val="26"/>
                <w:szCs w:val="26"/>
              </w:rPr>
              <w:t>Ограничения</w:t>
            </w:r>
          </w:p>
        </w:tc>
        <w:tc>
          <w:tcPr>
            <w:tcW w:w="3685" w:type="pct"/>
            <w:noWrap/>
            <w:vAlign w:val="center"/>
          </w:tcPr>
          <w:p w:rsidR="004616EA" w:rsidRPr="002962FE" w:rsidRDefault="004616EA" w:rsidP="004E5F17">
            <w:pPr>
              <w:spacing w:after="0"/>
              <w:jc w:val="center"/>
              <w:rPr>
                <w:rFonts w:ascii="Times New Roman" w:hAnsi="Times New Roman"/>
                <w:b/>
                <w:sz w:val="26"/>
                <w:szCs w:val="26"/>
              </w:rPr>
            </w:pPr>
            <w:r w:rsidRPr="002962FE">
              <w:rPr>
                <w:rFonts w:ascii="Times New Roman" w:hAnsi="Times New Roman"/>
                <w:b/>
                <w:sz w:val="26"/>
                <w:szCs w:val="26"/>
              </w:rPr>
              <w:t>Проблемы</w:t>
            </w:r>
          </w:p>
        </w:tc>
      </w:tr>
      <w:tr w:rsidR="004616EA" w:rsidRPr="002962FE" w:rsidTr="002C30E2">
        <w:trPr>
          <w:trHeight w:val="575"/>
        </w:trPr>
        <w:tc>
          <w:tcPr>
            <w:tcW w:w="1315" w:type="pct"/>
            <w:vMerge w:val="restar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 xml:space="preserve">Слабая интеграция городского округа в структуре перерабатывающих отраслей нефтегазового кластера </w:t>
            </w:r>
            <w:r w:rsidRPr="002962FE">
              <w:rPr>
                <w:rFonts w:ascii="Times New Roman" w:hAnsi="Times New Roman"/>
                <w:sz w:val="26"/>
                <w:szCs w:val="26"/>
              </w:rPr>
              <w:t>Ханты-Мансийского автономного округа</w:t>
            </w:r>
            <w:r w:rsidRPr="002962FE">
              <w:rPr>
                <w:rFonts w:ascii="Times New Roman" w:hAnsi="Times New Roman"/>
                <w:sz w:val="26"/>
                <w:szCs w:val="26"/>
                <w:lang w:eastAsia="ru-RU"/>
              </w:rPr>
              <w:t xml:space="preserve"> - Югры</w:t>
            </w: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Высокая степень выработки запасов месторождений</w:t>
            </w:r>
          </w:p>
        </w:tc>
      </w:tr>
      <w:tr w:rsidR="004616EA" w:rsidRPr="002962FE" w:rsidTr="002C30E2">
        <w:trPr>
          <w:trHeight w:val="323"/>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8E0DAB">
            <w:pPr>
              <w:spacing w:after="0"/>
              <w:jc w:val="both"/>
              <w:rPr>
                <w:rFonts w:ascii="Times New Roman" w:hAnsi="Times New Roman"/>
                <w:sz w:val="26"/>
                <w:szCs w:val="26"/>
                <w:lang w:eastAsia="ru-RU"/>
              </w:rPr>
            </w:pPr>
            <w:r w:rsidRPr="002962FE">
              <w:rPr>
                <w:rFonts w:ascii="Times New Roman" w:hAnsi="Times New Roman"/>
                <w:sz w:val="26"/>
                <w:szCs w:val="26"/>
                <w:lang w:eastAsia="ru-RU"/>
              </w:rPr>
              <w:t>Наличие в городском округе всего одного нефтеперерабатывающего завода</w:t>
            </w:r>
          </w:p>
        </w:tc>
      </w:tr>
      <w:tr w:rsidR="004616EA" w:rsidRPr="002962FE" w:rsidTr="002C30E2">
        <w:trPr>
          <w:trHeight w:val="359"/>
        </w:trPr>
        <w:tc>
          <w:tcPr>
            <w:tcW w:w="1315" w:type="pct"/>
            <w:vMerge w:val="restar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Низкий уровень диверсификации экономики</w:t>
            </w:r>
          </w:p>
        </w:tc>
        <w:tc>
          <w:tcPr>
            <w:tcW w:w="3685" w:type="pct"/>
            <w:vAlign w:val="center"/>
          </w:tcPr>
          <w:p w:rsidR="004616EA" w:rsidRPr="00FF6DF6" w:rsidRDefault="004616EA" w:rsidP="00486727">
            <w:pPr>
              <w:pStyle w:val="a9"/>
              <w:tabs>
                <w:tab w:val="left" w:pos="0"/>
              </w:tabs>
              <w:spacing w:after="0"/>
              <w:rPr>
                <w:snapToGrid w:val="0"/>
                <w:sz w:val="26"/>
                <w:szCs w:val="26"/>
              </w:rPr>
            </w:pPr>
            <w:r w:rsidRPr="00FF6DF6">
              <w:rPr>
                <w:snapToGrid w:val="0"/>
                <w:sz w:val="26"/>
                <w:szCs w:val="26"/>
              </w:rPr>
              <w:t xml:space="preserve">Неравномерное развитие экономики городского округа, низкий уровень диверсификации экономики </w:t>
            </w:r>
          </w:p>
        </w:tc>
      </w:tr>
      <w:tr w:rsidR="004616EA" w:rsidRPr="002962FE" w:rsidTr="002C30E2">
        <w:trPr>
          <w:trHeight w:val="451"/>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Высокая зависимость социально-экономического развития городского округа от нефтегазодобывающей отрасли</w:t>
            </w:r>
          </w:p>
        </w:tc>
      </w:tr>
      <w:tr w:rsidR="004616EA" w:rsidRPr="002962FE" w:rsidTr="002C30E2">
        <w:trPr>
          <w:trHeight w:val="132"/>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 xml:space="preserve">Ограниченность ресурсов (за исключением нефти) для развития обрабатывающих отраслей </w:t>
            </w:r>
          </w:p>
        </w:tc>
      </w:tr>
      <w:tr w:rsidR="004616EA" w:rsidRPr="002962FE" w:rsidTr="002C30E2">
        <w:trPr>
          <w:trHeight w:val="177"/>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Распространение низкоплодородных почв, малопригодных для ведения сельского хозяйства</w:t>
            </w:r>
          </w:p>
        </w:tc>
      </w:tr>
      <w:tr w:rsidR="004616EA" w:rsidRPr="002962FE" w:rsidTr="002C30E2">
        <w:trPr>
          <w:trHeight w:val="351"/>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C06E3B">
            <w:pPr>
              <w:spacing w:after="0"/>
              <w:jc w:val="both"/>
              <w:rPr>
                <w:rFonts w:ascii="Times New Roman" w:hAnsi="Times New Roman"/>
                <w:sz w:val="26"/>
                <w:szCs w:val="26"/>
                <w:lang w:eastAsia="ru-RU"/>
              </w:rPr>
            </w:pPr>
            <w:r w:rsidRPr="002962FE">
              <w:rPr>
                <w:rFonts w:ascii="Times New Roman" w:hAnsi="Times New Roman"/>
                <w:sz w:val="26"/>
                <w:szCs w:val="26"/>
                <w:lang w:eastAsia="ru-RU"/>
              </w:rPr>
              <w:t>Слабое использование возможностей территории, в частности строительных материалов (песка, торфа) и пищевых лесных ресурсов (дикоросов)</w:t>
            </w:r>
          </w:p>
        </w:tc>
      </w:tr>
      <w:tr w:rsidR="004616EA" w:rsidRPr="002962FE" w:rsidTr="002C30E2">
        <w:trPr>
          <w:trHeight w:val="63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Суровые природно-климатические условия, усложняющие ведение строительства объектов (низкий температурный режим, заболоченность) и развитие агропромышленного комплекса</w:t>
            </w:r>
          </w:p>
        </w:tc>
      </w:tr>
      <w:tr w:rsidR="004616EA" w:rsidRPr="002962FE" w:rsidTr="002C30E2">
        <w:trPr>
          <w:trHeight w:val="630"/>
        </w:trPr>
        <w:tc>
          <w:tcPr>
            <w:tcW w:w="1315" w:type="pct"/>
            <w:vMerge w:val="restar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Низкий уровень развития малого предпринимательства и сферы услуг</w:t>
            </w:r>
          </w:p>
        </w:tc>
        <w:tc>
          <w:tcPr>
            <w:tcW w:w="3685" w:type="pct"/>
            <w:vAlign w:val="center"/>
          </w:tcPr>
          <w:p w:rsidR="004616EA" w:rsidRPr="002962FE" w:rsidRDefault="004616EA" w:rsidP="005C356C">
            <w:pPr>
              <w:spacing w:after="0"/>
              <w:jc w:val="both"/>
              <w:rPr>
                <w:rFonts w:ascii="Times New Roman" w:hAnsi="Times New Roman"/>
                <w:sz w:val="26"/>
                <w:szCs w:val="26"/>
                <w:lang w:eastAsia="ru-RU"/>
              </w:rPr>
            </w:pPr>
            <w:r w:rsidRPr="002962FE">
              <w:rPr>
                <w:rFonts w:ascii="Times New Roman" w:hAnsi="Times New Roman"/>
                <w:sz w:val="26"/>
                <w:szCs w:val="26"/>
                <w:lang w:eastAsia="ru-RU"/>
              </w:rPr>
              <w:t>«Оттягивание» инвестиционных и трудовых ресурсов, потребительского спроса, транспортных потоков и пр. в более крупные города Сургут, Нижневартовск</w:t>
            </w:r>
          </w:p>
        </w:tc>
      </w:tr>
      <w:tr w:rsidR="004616EA" w:rsidRPr="002962FE" w:rsidTr="002C30E2">
        <w:trPr>
          <w:trHeight w:val="326"/>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Слабый уровень развития малого предпринимательства и сферы предоставления услуг населению</w:t>
            </w:r>
          </w:p>
        </w:tc>
      </w:tr>
      <w:tr w:rsidR="004616EA" w:rsidRPr="002962FE" w:rsidTr="002C30E2">
        <w:trPr>
          <w:trHeight w:val="276"/>
        </w:trPr>
        <w:tc>
          <w:tcPr>
            <w:tcW w:w="1315" w:type="pct"/>
            <w:vMerge/>
            <w:vAlign w:val="center"/>
          </w:tcPr>
          <w:p w:rsidR="004616EA" w:rsidRPr="002962FE" w:rsidRDefault="004616EA" w:rsidP="004E5F17">
            <w:pPr>
              <w:widowControl w:val="0"/>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Низкое качество имеющейся материально-технической базы торговой деятельности</w:t>
            </w:r>
          </w:p>
        </w:tc>
      </w:tr>
      <w:tr w:rsidR="004616EA" w:rsidRPr="002962FE" w:rsidTr="002C30E2">
        <w:trPr>
          <w:trHeight w:val="276"/>
        </w:trPr>
        <w:tc>
          <w:tcPr>
            <w:tcW w:w="1315" w:type="pct"/>
            <w:vMerge/>
            <w:vAlign w:val="center"/>
          </w:tcPr>
          <w:p w:rsidR="004616EA" w:rsidRPr="002962FE" w:rsidRDefault="004616EA" w:rsidP="004E5F17">
            <w:pPr>
              <w:widowControl w:val="0"/>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Дефицит помещений, подходящих для осуществления предпринимательской деятельности</w:t>
            </w:r>
          </w:p>
        </w:tc>
      </w:tr>
      <w:tr w:rsidR="004616EA" w:rsidRPr="002962FE" w:rsidTr="002C30E2">
        <w:trPr>
          <w:trHeight w:val="276"/>
        </w:trPr>
        <w:tc>
          <w:tcPr>
            <w:tcW w:w="1315" w:type="pct"/>
            <w:vMerge/>
            <w:vAlign w:val="center"/>
          </w:tcPr>
          <w:p w:rsidR="004616EA" w:rsidRPr="002962FE" w:rsidRDefault="004616EA" w:rsidP="004E5F17">
            <w:pPr>
              <w:widowControl w:val="0"/>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Ограниченность доступа субъектов малого и среднего предпринимательства к финансовым ресурсам на всех стадиях развития бизнеса</w:t>
            </w:r>
          </w:p>
        </w:tc>
      </w:tr>
      <w:tr w:rsidR="004616EA" w:rsidRPr="002962FE" w:rsidTr="002C30E2">
        <w:trPr>
          <w:trHeight w:val="276"/>
        </w:trPr>
        <w:tc>
          <w:tcPr>
            <w:tcW w:w="1315" w:type="pct"/>
            <w:vMerge w:val="restart"/>
            <w:vAlign w:val="center"/>
          </w:tcPr>
          <w:p w:rsidR="004616EA" w:rsidRPr="002962FE" w:rsidRDefault="004616EA" w:rsidP="004E5F17">
            <w:pPr>
              <w:widowControl w:val="0"/>
              <w:spacing w:after="0"/>
              <w:jc w:val="center"/>
              <w:rPr>
                <w:rFonts w:ascii="Times New Roman" w:hAnsi="Times New Roman"/>
                <w:sz w:val="26"/>
                <w:szCs w:val="26"/>
                <w:lang w:eastAsia="ru-RU"/>
              </w:rPr>
            </w:pPr>
            <w:r w:rsidRPr="002962FE">
              <w:rPr>
                <w:rFonts w:ascii="Times New Roman" w:hAnsi="Times New Roman"/>
                <w:sz w:val="26"/>
                <w:szCs w:val="26"/>
                <w:lang w:eastAsia="ru-RU"/>
              </w:rPr>
              <w:t>Низкий уровень инвестиционной привлекательности городского округа</w:t>
            </w: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Недостаточный уровень инвестиций в основные фонды несырьевых секторов экономики</w:t>
            </w:r>
          </w:p>
        </w:tc>
      </w:tr>
      <w:tr w:rsidR="004616EA" w:rsidRPr="002962FE" w:rsidTr="002C30E2">
        <w:trPr>
          <w:trHeight w:val="226"/>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rPr>
              <w:t>Недостаточно разветвленная сеть финансовых институтов</w:t>
            </w:r>
          </w:p>
        </w:tc>
      </w:tr>
      <w:tr w:rsidR="004616EA" w:rsidRPr="002962FE" w:rsidTr="002C30E2">
        <w:trPr>
          <w:trHeight w:val="545"/>
        </w:trPr>
        <w:tc>
          <w:tcPr>
            <w:tcW w:w="1315" w:type="pct"/>
            <w:vMerge w:val="restar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Негативные тенденции в динамике численности населения</w:t>
            </w: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Высокий уровень расторжения браков</w:t>
            </w:r>
          </w:p>
        </w:tc>
      </w:tr>
      <w:tr w:rsidR="004616EA" w:rsidRPr="002962FE" w:rsidTr="002C30E2">
        <w:trPr>
          <w:trHeight w:val="545"/>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Наметившаяся тенденция демографического старения населения</w:t>
            </w:r>
          </w:p>
        </w:tc>
      </w:tr>
      <w:tr w:rsidR="004616EA" w:rsidRPr="002962FE" w:rsidTr="002C30E2">
        <w:trPr>
          <w:trHeight w:val="545"/>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Интенсивные миграционные процессы</w:t>
            </w:r>
          </w:p>
        </w:tc>
      </w:tr>
      <w:tr w:rsidR="004616EA" w:rsidRPr="002962FE" w:rsidTr="002C30E2">
        <w:trPr>
          <w:trHeight w:val="413"/>
        </w:trPr>
        <w:tc>
          <w:tcPr>
            <w:tcW w:w="1315" w:type="pct"/>
            <w:vMerge w:val="restar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Диспропорции в структуре занятости населения и уровне оплаты труда по отраслям, недостаточная кадровая обеспеченность</w:t>
            </w: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Преобладание в отраслевой структуре занятости населения, занятого в промышленной сфере</w:t>
            </w:r>
          </w:p>
        </w:tc>
      </w:tr>
      <w:tr w:rsidR="004616EA" w:rsidRPr="002962FE" w:rsidTr="002C30E2">
        <w:trPr>
          <w:trHeight w:val="377"/>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Профессионально-квалификационное несоответствие спроса и предложения рабочей силы</w:t>
            </w:r>
          </w:p>
        </w:tc>
      </w:tr>
      <w:tr w:rsidR="004616EA" w:rsidRPr="002962FE" w:rsidTr="002C30E2">
        <w:trPr>
          <w:trHeight w:val="7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EB1198">
            <w:pPr>
              <w:spacing w:after="0"/>
              <w:jc w:val="both"/>
              <w:rPr>
                <w:rFonts w:ascii="Times New Roman" w:hAnsi="Times New Roman"/>
                <w:sz w:val="26"/>
                <w:szCs w:val="26"/>
                <w:lang w:eastAsia="ru-RU"/>
              </w:rPr>
            </w:pPr>
            <w:r w:rsidRPr="002962FE">
              <w:rPr>
                <w:rFonts w:ascii="Times New Roman" w:hAnsi="Times New Roman"/>
                <w:sz w:val="26"/>
                <w:szCs w:val="26"/>
                <w:lang w:eastAsia="ru-RU"/>
              </w:rPr>
              <w:t>Существенная дифференциация в уровне оплаты труда по отраслям экономики</w:t>
            </w:r>
          </w:p>
        </w:tc>
      </w:tr>
      <w:tr w:rsidR="004616EA" w:rsidRPr="002962FE" w:rsidTr="002C30E2">
        <w:trPr>
          <w:trHeight w:val="93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Недостаточная развитость профессионального образования в городском округе</w:t>
            </w:r>
          </w:p>
        </w:tc>
      </w:tr>
      <w:tr w:rsidR="004616EA" w:rsidRPr="002962FE" w:rsidTr="002C30E2">
        <w:trPr>
          <w:trHeight w:val="1269"/>
        </w:trPr>
        <w:tc>
          <w:tcPr>
            <w:tcW w:w="1315" w:type="pct"/>
            <w:vMerge w:val="restar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Недостаточный уровень обеспеченности населения объектами социального-культурно-бытового обслуживания</w:t>
            </w:r>
          </w:p>
        </w:tc>
        <w:tc>
          <w:tcPr>
            <w:tcW w:w="3685" w:type="pct"/>
            <w:vAlign w:val="center"/>
          </w:tcPr>
          <w:p w:rsidR="004616EA" w:rsidRPr="002962FE" w:rsidRDefault="004616EA" w:rsidP="009C0669">
            <w:pPr>
              <w:spacing w:after="0"/>
              <w:jc w:val="both"/>
              <w:rPr>
                <w:rFonts w:ascii="Times New Roman" w:hAnsi="Times New Roman"/>
                <w:sz w:val="26"/>
                <w:szCs w:val="26"/>
                <w:lang w:eastAsia="ru-RU"/>
              </w:rPr>
            </w:pPr>
            <w:r w:rsidRPr="002962FE">
              <w:rPr>
                <w:rFonts w:ascii="Times New Roman" w:hAnsi="Times New Roman"/>
                <w:sz w:val="26"/>
                <w:szCs w:val="26"/>
                <w:lang w:eastAsia="ru-RU"/>
              </w:rPr>
              <w:t>Недостаточная обеспеченность населения общеобразовательными организациями, организациями дополнительного образования детей</w:t>
            </w:r>
          </w:p>
        </w:tc>
      </w:tr>
      <w:tr w:rsidR="004616EA" w:rsidRPr="002962FE" w:rsidTr="002C30E2">
        <w:trPr>
          <w:trHeight w:val="104"/>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Недостаточный уровень обеспеченности лечебно-профилактическими организациями, оказывающих медицинскую помощь в стационарных условиях</w:t>
            </w:r>
          </w:p>
        </w:tc>
      </w:tr>
      <w:tr w:rsidR="004616EA" w:rsidRPr="002962FE" w:rsidTr="002C30E2">
        <w:trPr>
          <w:trHeight w:val="24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2558A5">
            <w:pPr>
              <w:keepNext/>
              <w:keepLines/>
              <w:tabs>
                <w:tab w:val="left" w:pos="0"/>
              </w:tabs>
              <w:spacing w:after="0" w:line="360" w:lineRule="auto"/>
              <w:jc w:val="both"/>
              <w:rPr>
                <w:rFonts w:ascii="Times New Roman" w:hAnsi="Times New Roman"/>
                <w:sz w:val="26"/>
                <w:szCs w:val="26"/>
                <w:lang w:eastAsia="ru-RU"/>
              </w:rPr>
            </w:pPr>
            <w:r w:rsidRPr="002962FE">
              <w:rPr>
                <w:rFonts w:ascii="Times New Roman" w:hAnsi="Times New Roman"/>
                <w:sz w:val="26"/>
                <w:szCs w:val="26"/>
              </w:rPr>
              <w:t>Низкий уровень обеспеченности учреждениями культуры и искусства</w:t>
            </w:r>
          </w:p>
        </w:tc>
      </w:tr>
      <w:tr w:rsidR="004616EA" w:rsidRPr="002962FE" w:rsidTr="002C30E2">
        <w:trPr>
          <w:trHeight w:val="7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Низкий уровень обеспеченности физкультурно-спортивными сооружениями</w:t>
            </w:r>
          </w:p>
        </w:tc>
      </w:tr>
      <w:tr w:rsidR="004616EA" w:rsidRPr="002962FE" w:rsidTr="002C30E2">
        <w:trPr>
          <w:trHeight w:val="378"/>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Низкий уровень обеспеченности учреждениями молодёжной политики</w:t>
            </w:r>
          </w:p>
        </w:tc>
      </w:tr>
      <w:tr w:rsidR="004616EA" w:rsidRPr="002962FE" w:rsidTr="002C30E2">
        <w:trPr>
          <w:trHeight w:val="378"/>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Недостаточный уровень доступности объектов социальной инфраструктуры для инвалидов и других маломобильных групп населения</w:t>
            </w:r>
          </w:p>
        </w:tc>
      </w:tr>
      <w:tr w:rsidR="004616EA" w:rsidRPr="002962FE" w:rsidTr="002C30E2">
        <w:trPr>
          <w:trHeight w:val="7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Неполное соответствие нормативному уровню обеспеченности мощностей дошкольных образовательных организаций</w:t>
            </w:r>
          </w:p>
        </w:tc>
      </w:tr>
      <w:tr w:rsidR="004616EA" w:rsidRPr="002962FE" w:rsidTr="002C30E2">
        <w:trPr>
          <w:trHeight w:val="7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Отсутствие санаторно-курортных учреждений</w:t>
            </w:r>
          </w:p>
        </w:tc>
      </w:tr>
      <w:tr w:rsidR="004616EA" w:rsidRPr="002962FE" w:rsidTr="002C30E2">
        <w:trPr>
          <w:trHeight w:val="7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Низкая обеспеченность населения торговыми объектами</w:t>
            </w:r>
          </w:p>
        </w:tc>
      </w:tr>
      <w:tr w:rsidR="004616EA" w:rsidRPr="002962FE" w:rsidTr="002C30E2">
        <w:trPr>
          <w:trHeight w:val="7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Недостаточная развитость предприятий общественного питания</w:t>
            </w:r>
          </w:p>
        </w:tc>
      </w:tr>
      <w:tr w:rsidR="004616EA" w:rsidRPr="002962FE" w:rsidTr="002C30E2">
        <w:trPr>
          <w:trHeight w:val="623"/>
        </w:trPr>
        <w:tc>
          <w:tcPr>
            <w:tcW w:w="1315" w:type="pct"/>
            <w:vMerge w:val="restar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Ухудшение экологической обстановки</w:t>
            </w:r>
          </w:p>
        </w:tc>
        <w:tc>
          <w:tcPr>
            <w:tcW w:w="3685" w:type="pct"/>
            <w:vAlign w:val="center"/>
          </w:tcPr>
          <w:p w:rsidR="004616EA" w:rsidRPr="002962FE" w:rsidRDefault="004616EA" w:rsidP="00F33B6C">
            <w:pPr>
              <w:spacing w:after="0"/>
              <w:jc w:val="both"/>
              <w:rPr>
                <w:rFonts w:ascii="Times New Roman" w:hAnsi="Times New Roman"/>
                <w:sz w:val="26"/>
                <w:szCs w:val="26"/>
                <w:lang w:eastAsia="ru-RU"/>
              </w:rPr>
            </w:pPr>
            <w:r w:rsidRPr="002962FE">
              <w:rPr>
                <w:rFonts w:ascii="Times New Roman" w:hAnsi="Times New Roman"/>
                <w:sz w:val="26"/>
                <w:szCs w:val="26"/>
              </w:rPr>
              <w:t>Загрязнение водных объектов недостаточно очищенными сточными водами</w:t>
            </w:r>
          </w:p>
        </w:tc>
      </w:tr>
      <w:tr w:rsidR="004616EA" w:rsidRPr="002962FE" w:rsidTr="002C30E2">
        <w:trPr>
          <w:trHeight w:val="622"/>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sz w:val="26"/>
                <w:szCs w:val="26"/>
              </w:rPr>
            </w:pPr>
            <w:r w:rsidRPr="002962FE">
              <w:rPr>
                <w:rFonts w:ascii="Times New Roman" w:hAnsi="Times New Roman"/>
                <w:sz w:val="26"/>
                <w:szCs w:val="26"/>
                <w:lang w:eastAsia="ru-RU"/>
              </w:rPr>
              <w:t>Вырубка лесных насаждений и разрушение почвенного покрова в результате обустройства и эксплуатации нефтепромыслов</w:t>
            </w:r>
          </w:p>
        </w:tc>
      </w:tr>
      <w:tr w:rsidR="004616EA" w:rsidRPr="002962FE" w:rsidTr="002C30E2">
        <w:trPr>
          <w:trHeight w:val="182"/>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Загрязнение почв, поверхностных и подземных вод нефтепродуктами, тяжелыми металлами и фенолами в основном вследствие производственных и аварийных разливов нефти при ее добыче и транспортировке, сжигания попутного нефтяного газа</w:t>
            </w:r>
          </w:p>
        </w:tc>
      </w:tr>
      <w:tr w:rsidR="004616EA" w:rsidRPr="002962FE" w:rsidTr="002C30E2">
        <w:trPr>
          <w:trHeight w:val="182"/>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Отсутствие санкционированных мест размещения отходов производства и потребления</w:t>
            </w:r>
          </w:p>
        </w:tc>
      </w:tr>
      <w:tr w:rsidR="004616EA" w:rsidRPr="002962FE" w:rsidTr="002C30E2">
        <w:trPr>
          <w:trHeight w:val="182"/>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Загрязнение городских лесов отходами производства и потребления</w:t>
            </w:r>
          </w:p>
        </w:tc>
      </w:tr>
      <w:tr w:rsidR="004616EA" w:rsidRPr="002962FE" w:rsidTr="002C30E2">
        <w:trPr>
          <w:trHeight w:val="182"/>
        </w:trPr>
        <w:tc>
          <w:tcPr>
            <w:tcW w:w="1315" w:type="pct"/>
            <w:vMerge w:val="restar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Низкий уровень качества жилищного фонда и предоставляемых жилищно-коммунальных услуг</w:t>
            </w: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Наличие непригодного для проживания жилищного фонда (ветхого и аварийного)</w:t>
            </w:r>
          </w:p>
        </w:tc>
      </w:tr>
      <w:tr w:rsidR="004616EA" w:rsidRPr="002962FE" w:rsidTr="002C30E2">
        <w:trPr>
          <w:trHeight w:val="85"/>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Невысокие темпы жилищного строительства</w:t>
            </w:r>
          </w:p>
        </w:tc>
      </w:tr>
      <w:tr w:rsidR="004616EA" w:rsidRPr="002962FE" w:rsidTr="002C30E2">
        <w:trPr>
          <w:trHeight w:val="7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574699">
            <w:pPr>
              <w:spacing w:after="0"/>
              <w:jc w:val="both"/>
              <w:rPr>
                <w:rFonts w:ascii="Times New Roman" w:hAnsi="Times New Roman"/>
                <w:sz w:val="26"/>
                <w:szCs w:val="26"/>
                <w:lang w:eastAsia="ru-RU"/>
              </w:rPr>
            </w:pPr>
            <w:r w:rsidRPr="002962FE">
              <w:rPr>
                <w:rFonts w:ascii="Times New Roman" w:hAnsi="Times New Roman"/>
                <w:sz w:val="26"/>
                <w:szCs w:val="26"/>
                <w:lang w:eastAsia="ru-RU"/>
              </w:rPr>
              <w:t>Доступность жилья для молодых семей</w:t>
            </w:r>
          </w:p>
        </w:tc>
      </w:tr>
      <w:tr w:rsidR="004616EA" w:rsidRPr="002962FE" w:rsidTr="002C30E2">
        <w:trPr>
          <w:trHeight w:val="7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Низкий уровень жилищной обеспеченности</w:t>
            </w:r>
          </w:p>
        </w:tc>
      </w:tr>
      <w:tr w:rsidR="004616EA" w:rsidRPr="002962FE" w:rsidTr="002C30E2">
        <w:trPr>
          <w:trHeight w:val="21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Низкая доля семей, получивших жилье и улучшивших жилищные условия по договорам социального найма</w:t>
            </w:r>
          </w:p>
        </w:tc>
      </w:tr>
      <w:tr w:rsidR="004616EA" w:rsidRPr="002962FE" w:rsidTr="002C30E2">
        <w:trPr>
          <w:trHeight w:val="56"/>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Низкий уровень удовлетворенности населения жилищно-коммунальными услугами</w:t>
            </w:r>
          </w:p>
        </w:tc>
      </w:tr>
      <w:tr w:rsidR="004616EA" w:rsidRPr="002962FE" w:rsidTr="002C30E2">
        <w:trPr>
          <w:trHeight w:val="70"/>
        </w:trPr>
        <w:tc>
          <w:tcPr>
            <w:tcW w:w="1315" w:type="pct"/>
            <w:vMerge w:val="restart"/>
            <w:vAlign w:val="center"/>
          </w:tcPr>
          <w:p w:rsidR="004616EA" w:rsidRPr="002962FE" w:rsidRDefault="004616EA" w:rsidP="004E5F17">
            <w:pPr>
              <w:widowControl w:val="0"/>
              <w:spacing w:after="0"/>
              <w:jc w:val="center"/>
              <w:rPr>
                <w:rFonts w:ascii="Times New Roman" w:hAnsi="Times New Roman"/>
                <w:sz w:val="26"/>
                <w:szCs w:val="26"/>
                <w:lang w:eastAsia="ru-RU"/>
              </w:rPr>
            </w:pPr>
            <w:r w:rsidRPr="002962FE">
              <w:rPr>
                <w:rFonts w:ascii="Times New Roman" w:hAnsi="Times New Roman"/>
                <w:sz w:val="26"/>
                <w:szCs w:val="26"/>
                <w:lang w:eastAsia="ru-RU"/>
              </w:rPr>
              <w:t>Нерациональная организация использования территорий городского округа</w:t>
            </w:r>
          </w:p>
        </w:tc>
        <w:tc>
          <w:tcPr>
            <w:tcW w:w="3685" w:type="pct"/>
            <w:vAlign w:val="center"/>
          </w:tcPr>
          <w:p w:rsidR="004616EA" w:rsidRPr="002962FE" w:rsidRDefault="004616EA" w:rsidP="008E7ABA">
            <w:pPr>
              <w:spacing w:after="0"/>
              <w:jc w:val="both"/>
              <w:rPr>
                <w:rFonts w:ascii="Times New Roman" w:hAnsi="Times New Roman"/>
                <w:sz w:val="26"/>
                <w:szCs w:val="26"/>
              </w:rPr>
            </w:pPr>
            <w:r w:rsidRPr="002962FE">
              <w:rPr>
                <w:rFonts w:ascii="Times New Roman" w:hAnsi="Times New Roman"/>
                <w:sz w:val="26"/>
                <w:szCs w:val="26"/>
                <w:lang w:eastAsia="ru-RU"/>
              </w:rPr>
              <w:t>Недостаток общественных центров и пространств в населенных пунктах городского округа (эспланад, общегородских площадей, скверов и т.д.), дефицит рекреационных зон на территории городского округа</w:t>
            </w:r>
          </w:p>
        </w:tc>
      </w:tr>
      <w:tr w:rsidR="004616EA" w:rsidRPr="002962FE" w:rsidTr="002C30E2">
        <w:trPr>
          <w:trHeight w:val="70"/>
        </w:trPr>
        <w:tc>
          <w:tcPr>
            <w:tcW w:w="1315" w:type="pct"/>
            <w:vMerge/>
            <w:vAlign w:val="center"/>
          </w:tcPr>
          <w:p w:rsidR="004616EA" w:rsidRPr="002962FE" w:rsidRDefault="004616EA" w:rsidP="004E5F17">
            <w:pPr>
              <w:widowControl w:val="0"/>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rPr>
            </w:pPr>
            <w:r w:rsidRPr="002962FE">
              <w:rPr>
                <w:rFonts w:ascii="Times New Roman" w:hAnsi="Times New Roman"/>
                <w:sz w:val="26"/>
                <w:szCs w:val="26"/>
                <w:lang w:eastAsia="ru-RU"/>
              </w:rPr>
              <w:t>Наличие ограничений территориального развития</w:t>
            </w:r>
          </w:p>
        </w:tc>
      </w:tr>
      <w:tr w:rsidR="004616EA" w:rsidRPr="002962FE" w:rsidTr="002C30E2">
        <w:trPr>
          <w:trHeight w:val="234"/>
        </w:trPr>
        <w:tc>
          <w:tcPr>
            <w:tcW w:w="1315" w:type="pct"/>
            <w:vMerge w:val="restar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Повышенный износ инженерной инфраструктуры</w:t>
            </w:r>
          </w:p>
        </w:tc>
        <w:tc>
          <w:tcPr>
            <w:tcW w:w="3685" w:type="pct"/>
            <w:vAlign w:val="center"/>
          </w:tcPr>
          <w:p w:rsidR="004616EA" w:rsidRPr="002962FE" w:rsidRDefault="004616EA" w:rsidP="00B32325">
            <w:pPr>
              <w:spacing w:after="0"/>
              <w:jc w:val="both"/>
              <w:rPr>
                <w:rFonts w:ascii="Times New Roman" w:hAnsi="Times New Roman"/>
                <w:sz w:val="26"/>
                <w:szCs w:val="26"/>
                <w:lang w:eastAsia="ru-RU"/>
              </w:rPr>
            </w:pPr>
            <w:r w:rsidRPr="002962FE">
              <w:rPr>
                <w:rFonts w:ascii="Times New Roman" w:hAnsi="Times New Roman"/>
                <w:sz w:val="26"/>
                <w:szCs w:val="26"/>
                <w:lang w:eastAsia="ru-RU"/>
              </w:rPr>
              <w:t>Повышенный износ инженерных сооружений и сетей</w:t>
            </w:r>
          </w:p>
        </w:tc>
      </w:tr>
      <w:tr w:rsidR="004616EA" w:rsidRPr="002962FE" w:rsidTr="002C30E2">
        <w:trPr>
          <w:trHeight w:val="185"/>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Значительный износ источников теплоснабжения</w:t>
            </w:r>
          </w:p>
        </w:tc>
      </w:tr>
      <w:tr w:rsidR="004616EA" w:rsidRPr="002962FE" w:rsidTr="002C30E2">
        <w:trPr>
          <w:trHeight w:val="136"/>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Высокий уровень потерь воды питьевого качества при транспортировке</w:t>
            </w:r>
          </w:p>
        </w:tc>
      </w:tr>
      <w:tr w:rsidR="004616EA" w:rsidRPr="002962FE" w:rsidTr="002C30E2">
        <w:trPr>
          <w:trHeight w:val="136"/>
        </w:trPr>
        <w:tc>
          <w:tcPr>
            <w:tcW w:w="1315" w:type="pct"/>
            <w:vMerge w:val="restar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Несоответствие мощностей головных объектов инженерной инфраструктуры потребностям города и низкая эффективность их работы</w:t>
            </w:r>
          </w:p>
        </w:tc>
        <w:tc>
          <w:tcPr>
            <w:tcW w:w="3685" w:type="pct"/>
            <w:vAlign w:val="center"/>
          </w:tcPr>
          <w:p w:rsidR="004616EA" w:rsidRPr="002962FE" w:rsidRDefault="004616EA" w:rsidP="008A610E">
            <w:pPr>
              <w:spacing w:after="0"/>
              <w:jc w:val="both"/>
              <w:rPr>
                <w:rFonts w:ascii="Times New Roman" w:hAnsi="Times New Roman"/>
                <w:strike/>
                <w:sz w:val="26"/>
                <w:szCs w:val="26"/>
                <w:lang w:eastAsia="ru-RU"/>
              </w:rPr>
            </w:pPr>
            <w:r w:rsidRPr="002962FE">
              <w:rPr>
                <w:rFonts w:ascii="Times New Roman" w:hAnsi="Times New Roman"/>
                <w:sz w:val="26"/>
                <w:szCs w:val="26"/>
                <w:lang w:eastAsia="ru-RU"/>
              </w:rPr>
              <w:t xml:space="preserve">Дефицит мощности городских КОС </w:t>
            </w:r>
          </w:p>
        </w:tc>
      </w:tr>
      <w:tr w:rsidR="004616EA" w:rsidRPr="002962FE" w:rsidTr="002C30E2">
        <w:trPr>
          <w:trHeight w:val="677"/>
        </w:trPr>
        <w:tc>
          <w:tcPr>
            <w:tcW w:w="1315" w:type="pct"/>
            <w:vMerge/>
            <w:vAlign w:val="center"/>
          </w:tcPr>
          <w:p w:rsidR="004616EA" w:rsidRPr="002962FE" w:rsidRDefault="004616EA" w:rsidP="004E5F17">
            <w:pPr>
              <w:spacing w:after="0"/>
              <w:jc w:val="center"/>
              <w:rPr>
                <w:rFonts w:ascii="Times New Roman" w:hAnsi="Times New Roman"/>
                <w:strike/>
                <w:sz w:val="26"/>
                <w:szCs w:val="26"/>
                <w:lang w:eastAsia="ru-RU"/>
              </w:rPr>
            </w:pPr>
          </w:p>
        </w:tc>
        <w:tc>
          <w:tcPr>
            <w:tcW w:w="3685" w:type="pct"/>
            <w:vAlign w:val="center"/>
          </w:tcPr>
          <w:p w:rsidR="004616EA" w:rsidRPr="00FF6DF6" w:rsidRDefault="004616EA" w:rsidP="00667142">
            <w:pPr>
              <w:pStyle w:val="a9"/>
              <w:snapToGrid w:val="0"/>
              <w:spacing w:after="0" w:line="360" w:lineRule="auto"/>
              <w:rPr>
                <w:snapToGrid w:val="0"/>
                <w:sz w:val="26"/>
                <w:szCs w:val="26"/>
              </w:rPr>
            </w:pPr>
            <w:r w:rsidRPr="00FF6DF6">
              <w:rPr>
                <w:snapToGrid w:val="0"/>
                <w:sz w:val="26"/>
                <w:szCs w:val="26"/>
              </w:rPr>
              <w:t>Низкое качество очистки сточных вод</w:t>
            </w:r>
          </w:p>
        </w:tc>
      </w:tr>
      <w:tr w:rsidR="004616EA" w:rsidRPr="002962FE" w:rsidTr="002C30E2">
        <w:trPr>
          <w:trHeight w:val="677"/>
        </w:trPr>
        <w:tc>
          <w:tcPr>
            <w:tcW w:w="1315" w:type="pct"/>
            <w:vMerge/>
            <w:vAlign w:val="center"/>
          </w:tcPr>
          <w:p w:rsidR="004616EA" w:rsidRPr="002962FE" w:rsidRDefault="004616EA" w:rsidP="004E5F17">
            <w:pPr>
              <w:spacing w:after="0"/>
              <w:jc w:val="center"/>
              <w:rPr>
                <w:rFonts w:ascii="Times New Roman" w:hAnsi="Times New Roman"/>
                <w:strike/>
                <w:sz w:val="26"/>
                <w:szCs w:val="26"/>
                <w:lang w:eastAsia="ru-RU"/>
              </w:rPr>
            </w:pPr>
          </w:p>
        </w:tc>
        <w:tc>
          <w:tcPr>
            <w:tcW w:w="3685" w:type="pct"/>
            <w:vAlign w:val="center"/>
          </w:tcPr>
          <w:p w:rsidR="004616EA" w:rsidRPr="00FF6DF6" w:rsidRDefault="004616EA" w:rsidP="00667142">
            <w:pPr>
              <w:pStyle w:val="a9"/>
              <w:snapToGrid w:val="0"/>
              <w:spacing w:after="0" w:line="360" w:lineRule="auto"/>
              <w:rPr>
                <w:snapToGrid w:val="0"/>
                <w:sz w:val="26"/>
                <w:szCs w:val="26"/>
              </w:rPr>
            </w:pPr>
            <w:r w:rsidRPr="00FF6DF6">
              <w:rPr>
                <w:snapToGrid w:val="0"/>
                <w:sz w:val="26"/>
                <w:szCs w:val="26"/>
              </w:rPr>
              <w:t>Проблема утилизации активного ила</w:t>
            </w:r>
          </w:p>
        </w:tc>
      </w:tr>
      <w:tr w:rsidR="004616EA" w:rsidRPr="002962FE" w:rsidTr="002C30E2">
        <w:trPr>
          <w:trHeight w:val="172"/>
        </w:trPr>
        <w:tc>
          <w:tcPr>
            <w:tcW w:w="1315" w:type="pct"/>
            <w:vMerge w:val="restar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Недостаточное развитие улично-дорожной сети</w:t>
            </w: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Отсутствие дорог с капитальным покрытием в районах индивидуальной и малоэтажной застройки</w:t>
            </w:r>
          </w:p>
        </w:tc>
      </w:tr>
      <w:tr w:rsidR="004616EA" w:rsidRPr="002962FE" w:rsidTr="002C30E2">
        <w:trPr>
          <w:trHeight w:val="76"/>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Хроническое недофинансирование дорожного строительства и ремонта</w:t>
            </w:r>
          </w:p>
        </w:tc>
      </w:tr>
      <w:tr w:rsidR="004616EA" w:rsidRPr="002962FE" w:rsidTr="002C30E2">
        <w:trPr>
          <w:trHeight w:val="264"/>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Сложные природные условия при строительстве автомобильных дорог</w:t>
            </w:r>
          </w:p>
        </w:tc>
      </w:tr>
      <w:tr w:rsidR="004616EA" w:rsidRPr="002962FE" w:rsidTr="002C30E2">
        <w:trPr>
          <w:trHeight w:val="72"/>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Растущий уровень аварийности на дорогах</w:t>
            </w:r>
          </w:p>
        </w:tc>
      </w:tr>
      <w:tr w:rsidR="004616EA" w:rsidRPr="002962FE" w:rsidTr="002C30E2">
        <w:trPr>
          <w:trHeight w:val="118"/>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Ускоренный износ дорог обусловлен высокими темпами роста парка автотранспортных средств и интенсивностью движения</w:t>
            </w:r>
          </w:p>
        </w:tc>
      </w:tr>
      <w:tr w:rsidR="004616EA" w:rsidRPr="002962FE" w:rsidTr="002C30E2">
        <w:trPr>
          <w:trHeight w:val="114"/>
        </w:trPr>
        <w:tc>
          <w:tcPr>
            <w:tcW w:w="1315" w:type="pct"/>
            <w:vMerge w:val="restar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 xml:space="preserve">Низкий уровень собственных доходов бюджета и зависимость от трансфертов из бюджета </w:t>
            </w:r>
            <w:r w:rsidRPr="002962FE">
              <w:rPr>
                <w:rFonts w:ascii="Times New Roman" w:hAnsi="Times New Roman"/>
                <w:sz w:val="26"/>
                <w:szCs w:val="26"/>
              </w:rPr>
              <w:t>Ханты-Мансийского автономного округа</w:t>
            </w:r>
            <w:r w:rsidRPr="002962FE">
              <w:rPr>
                <w:rFonts w:ascii="Times New Roman" w:hAnsi="Times New Roman"/>
                <w:sz w:val="26"/>
                <w:szCs w:val="26"/>
                <w:lang w:eastAsia="ru-RU"/>
              </w:rPr>
              <w:t xml:space="preserve"> - Югры</w:t>
            </w: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Низкий уровень финансовой самостоятельности</w:t>
            </w:r>
          </w:p>
        </w:tc>
      </w:tr>
      <w:tr w:rsidR="004616EA" w:rsidRPr="002962FE" w:rsidTr="002C30E2">
        <w:trPr>
          <w:trHeight w:val="22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Низкий уровень диверсификации налоговых и неналоговых доходов</w:t>
            </w:r>
          </w:p>
        </w:tc>
      </w:tr>
      <w:tr w:rsidR="004616EA" w:rsidRPr="002962FE" w:rsidTr="002C30E2">
        <w:trPr>
          <w:trHeight w:val="89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Незначительная доля расходов бюджета города Когалыма на развитие реального сектора экономики</w:t>
            </w:r>
          </w:p>
        </w:tc>
      </w:tr>
      <w:tr w:rsidR="004616EA" w:rsidRPr="002962FE" w:rsidTr="002C30E2">
        <w:trPr>
          <w:trHeight w:val="611"/>
        </w:trPr>
        <w:tc>
          <w:tcPr>
            <w:tcW w:w="1315" w:type="pc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Недостаточный уровень развития кадрового потенциала органов местного самоуправления</w:t>
            </w:r>
          </w:p>
        </w:tc>
        <w:tc>
          <w:tcPr>
            <w:tcW w:w="3685" w:type="pct"/>
            <w:noWrap/>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Недостаточный уровень развития кадрового потенциала</w:t>
            </w:r>
          </w:p>
        </w:tc>
      </w:tr>
      <w:tr w:rsidR="004616EA" w:rsidRPr="002962FE" w:rsidTr="00831E11">
        <w:trPr>
          <w:trHeight w:val="2230"/>
        </w:trPr>
        <w:tc>
          <w:tcPr>
            <w:tcW w:w="1315" w:type="pc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Низкий уровень использования историко-культурного потенциала территории</w:t>
            </w:r>
          </w:p>
        </w:tc>
        <w:tc>
          <w:tcPr>
            <w:tcW w:w="3685" w:type="pct"/>
            <w:noWrap/>
            <w:vAlign w:val="center"/>
          </w:tcPr>
          <w:p w:rsidR="004616EA" w:rsidRPr="002962FE" w:rsidRDefault="004616EA" w:rsidP="005C356C">
            <w:pPr>
              <w:jc w:val="both"/>
              <w:rPr>
                <w:rFonts w:ascii="Times New Roman" w:hAnsi="Times New Roman"/>
                <w:strike/>
                <w:sz w:val="26"/>
                <w:szCs w:val="26"/>
                <w:lang w:eastAsia="ru-RU"/>
              </w:rPr>
            </w:pPr>
            <w:r w:rsidRPr="002962FE">
              <w:rPr>
                <w:rFonts w:ascii="Times New Roman" w:hAnsi="Times New Roman"/>
                <w:sz w:val="26"/>
                <w:szCs w:val="26"/>
                <w:lang w:eastAsia="ru-RU"/>
              </w:rPr>
              <w:t>Уменьшение численности коренных малочисленных народов Севера, в том числе в связи с недостаточной поддержкой семей КМНС</w:t>
            </w:r>
          </w:p>
        </w:tc>
      </w:tr>
    </w:tbl>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Наличие ограничений в одних сферах усиливает проблемы в других и оказывает негативное влияние на положения дел в экономике городского округа в целом. Таким образом, множество обозначенных ограничений, обусловлено взаимосвязью проблем, накопленных в городском округе город Когалым.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Исходя из этого, формирование целей и задач развития городского округа, должно учитывать необходимость преодоления выявленных ограничений и их влияние на дальнейшее развитие, что позволит изменить ситуацию в городском округе. Основными перспективными направлениями развития городского округа являются:</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интеграция городского округа в нефтегазодобывающий, агропромышленный, строительный и медицинский кластеры Ханты-Мансийского автономного округа - Югры;</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повышение уровня диверсификации экономики за счет развития обрабатывающих отраслей;</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увеличение финансовой поддержки малого и среднего бизнеса;</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расширение практики привлечения средств автономного округа на реализацию проектов, направленных на развитие территорий;</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снижение миграционного оттока населения, а также сохранение устойчивой положительной динамики в процессах естественного движения населения за счет формирования конкурентоспособных условий уровня жизни;</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привлечение высококвалифицированных специалистов в городской округ с целью обеспечения существующих и новых производств;</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усиление политики занятости населения;</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повышение качества социального обслуживания населения за счет реализации социальных проектов;</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повышение уровня благоустройства территории;</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улучшение экологической обстановки;</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развитие рынка жилья;</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повышение энергоэффективности инженерных систем городского округа;</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эффективное согласование интересов власти, бизнеса и населения;</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развитие транспортной инфраструктуры;</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повышение собственных доходов бюджета;</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рост эффективности деятельности органов местного самоуправления</w:t>
      </w:r>
      <w:r w:rsidRPr="002962FE">
        <w:rPr>
          <w:rFonts w:ascii="Times New Roman" w:hAnsi="Times New Roman"/>
          <w:sz w:val="26"/>
          <w:szCs w:val="26"/>
          <w:shd w:val="clear" w:color="auto" w:fill="FFFFFF"/>
        </w:rPr>
        <w:t>, в том числе за счет обеспечения полноты и достоверности открытой информации о современном состоянии и использовании территории городского округа, а также о планируемых преобразованиях</w:t>
      </w:r>
      <w:r w:rsidRPr="002962FE">
        <w:rPr>
          <w:rFonts w:ascii="Times New Roman" w:hAnsi="Times New Roman"/>
          <w:sz w:val="26"/>
          <w:szCs w:val="26"/>
        </w:rPr>
        <w:t>.</w:t>
      </w:r>
    </w:p>
    <w:p w:rsidR="004616EA" w:rsidRPr="00475E67" w:rsidRDefault="004616EA" w:rsidP="00DB70C4">
      <w:pPr>
        <w:pStyle w:val="11"/>
      </w:pPr>
    </w:p>
    <w:p w:rsidR="004616EA" w:rsidRPr="00475E67" w:rsidRDefault="004616EA" w:rsidP="007927E1">
      <w:pPr>
        <w:spacing w:after="0"/>
        <w:ind w:left="1429"/>
        <w:jc w:val="both"/>
        <w:rPr>
          <w:rFonts w:ascii="Times New Roman" w:hAnsi="Times New Roman"/>
          <w:sz w:val="24"/>
        </w:rPr>
        <w:sectPr w:rsidR="004616EA" w:rsidRPr="00475E67" w:rsidSect="00675622">
          <w:pgSz w:w="11906" w:h="16838"/>
          <w:pgMar w:top="1134" w:right="567" w:bottom="1134" w:left="2552" w:header="709" w:footer="709" w:gutter="0"/>
          <w:cols w:space="708"/>
          <w:docGrid w:linePitch="360"/>
        </w:sectPr>
      </w:pPr>
    </w:p>
    <w:p w:rsidR="004616EA" w:rsidRDefault="004616EA" w:rsidP="002962FE">
      <w:pPr>
        <w:pStyle w:val="1"/>
        <w:spacing w:before="0" w:after="0"/>
        <w:ind w:firstLine="709"/>
        <w:rPr>
          <w:sz w:val="26"/>
          <w:szCs w:val="26"/>
        </w:rPr>
      </w:pPr>
      <w:bookmarkStart w:id="139" w:name="_Toc405805513"/>
      <w:r w:rsidRPr="002962FE">
        <w:rPr>
          <w:sz w:val="26"/>
          <w:szCs w:val="26"/>
        </w:rPr>
        <w:t>6 анализ мер по улучшению социально-экономического положения городского округа город когалым, осуществляемых в рамках государственных и муниципальных программ</w:t>
      </w:r>
      <w:bookmarkEnd w:id="139"/>
    </w:p>
    <w:p w:rsidR="004616EA" w:rsidRPr="002962FE" w:rsidRDefault="004616EA" w:rsidP="002962FE">
      <w:pPr>
        <w:spacing w:after="0" w:line="240" w:lineRule="auto"/>
        <w:ind w:firstLine="709"/>
        <w:jc w:val="both"/>
      </w:pPr>
    </w:p>
    <w:p w:rsidR="004616EA" w:rsidRPr="002962FE" w:rsidRDefault="004616EA" w:rsidP="002962FE">
      <w:pPr>
        <w:pStyle w:val="3"/>
        <w:spacing w:line="240" w:lineRule="auto"/>
        <w:ind w:firstLine="709"/>
        <w:rPr>
          <w:sz w:val="26"/>
        </w:rPr>
      </w:pPr>
      <w:bookmarkStart w:id="140" w:name="_Toc387239008"/>
      <w:bookmarkStart w:id="141" w:name="_Toc389051095"/>
      <w:bookmarkStart w:id="142" w:name="_Toc405805514"/>
      <w:r w:rsidRPr="002962FE">
        <w:rPr>
          <w:sz w:val="26"/>
        </w:rPr>
        <w:t xml:space="preserve">6.1 Анализ существующих государственных программ, государственных программ Ханты-Мансийского автономного округа - Югры, муниципальных программ </w:t>
      </w:r>
      <w:bookmarkEnd w:id="140"/>
      <w:bookmarkEnd w:id="141"/>
      <w:bookmarkEnd w:id="142"/>
    </w:p>
    <w:p w:rsidR="004616EA" w:rsidRPr="002962FE" w:rsidRDefault="004616EA" w:rsidP="002962FE">
      <w:pPr>
        <w:autoSpaceDE w:val="0"/>
        <w:autoSpaceDN w:val="0"/>
        <w:adjustRightInd w:val="0"/>
        <w:spacing w:after="0" w:line="240" w:lineRule="auto"/>
        <w:ind w:firstLine="709"/>
        <w:jc w:val="both"/>
        <w:rPr>
          <w:rFonts w:ascii="Times New Roman" w:hAnsi="Times New Roman"/>
          <w:b/>
          <w:i/>
          <w:sz w:val="26"/>
          <w:szCs w:val="26"/>
          <w:lang w:eastAsia="ru-RU"/>
        </w:rPr>
      </w:pPr>
      <w:r w:rsidRPr="002962FE">
        <w:rPr>
          <w:rFonts w:ascii="Times New Roman" w:hAnsi="Times New Roman"/>
          <w:b/>
          <w:i/>
          <w:sz w:val="26"/>
          <w:szCs w:val="26"/>
          <w:lang w:val="en-US" w:eastAsia="ru-RU"/>
        </w:rPr>
        <w:t>I</w:t>
      </w:r>
      <w:r w:rsidRPr="002962FE">
        <w:rPr>
          <w:rFonts w:ascii="Times New Roman" w:hAnsi="Times New Roman"/>
          <w:b/>
          <w:i/>
          <w:sz w:val="26"/>
          <w:szCs w:val="26"/>
          <w:lang w:eastAsia="ru-RU"/>
        </w:rPr>
        <w:t>. Федеральный уровень</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i/>
          <w:sz w:val="26"/>
          <w:szCs w:val="26"/>
          <w:lang w:eastAsia="ru-RU"/>
        </w:rPr>
        <w:t>1</w:t>
      </w:r>
      <w:r w:rsidRPr="002962FE">
        <w:rPr>
          <w:rFonts w:ascii="Times New Roman" w:hAnsi="Times New Roman"/>
          <w:sz w:val="26"/>
          <w:szCs w:val="26"/>
          <w:lang w:eastAsia="ru-RU"/>
        </w:rPr>
        <w:t xml:space="preserve">. </w:t>
      </w:r>
      <w:r w:rsidRPr="002962FE">
        <w:rPr>
          <w:rFonts w:ascii="Times New Roman" w:hAnsi="Times New Roman"/>
          <w:i/>
          <w:sz w:val="26"/>
          <w:szCs w:val="26"/>
          <w:lang w:eastAsia="ru-RU"/>
        </w:rPr>
        <w:t>Приоритетный национальный проект «Образование»</w:t>
      </w:r>
      <w:r w:rsidRPr="002962FE">
        <w:rPr>
          <w:rFonts w:ascii="Times New Roman" w:hAnsi="Times New Roman"/>
          <w:sz w:val="26"/>
          <w:szCs w:val="26"/>
          <w:lang w:eastAsia="ru-RU"/>
        </w:rPr>
        <w:t xml:space="preserve"> (далее также – ПНП «Образование») призван ускорить модернизацию российского образования путем применения эффективных механизмов стимулирования необходимых системных изменений в указанной сфере в целях достижения современного качества образования, адекватного меняющимся запросам общества и социально-экономическим условиям.</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sz w:val="26"/>
          <w:szCs w:val="26"/>
          <w:lang w:eastAsia="ru-RU"/>
        </w:rPr>
        <w:t xml:space="preserve">Задачи, направления, порядок реализации отдельных мероприятий в рамках каждого из направлений ПНП «Образование» заложены в ряде документов федерального уровня: </w:t>
      </w:r>
    </w:p>
    <w:p w:rsidR="004616EA" w:rsidRPr="002962FE" w:rsidRDefault="004616EA" w:rsidP="002962FE">
      <w:pPr>
        <w:pStyle w:val="a7"/>
        <w:numPr>
          <w:ilvl w:val="0"/>
          <w:numId w:val="65"/>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Послание Президента РФ Федеральному Собранию от 10.05.2006 «Послание Президента России Владимира Путина Федеральному Собранию РФ»;</w:t>
      </w:r>
    </w:p>
    <w:p w:rsidR="004616EA" w:rsidRPr="002962FE" w:rsidRDefault="004616EA" w:rsidP="002962FE">
      <w:pPr>
        <w:pStyle w:val="a7"/>
        <w:numPr>
          <w:ilvl w:val="0"/>
          <w:numId w:val="65"/>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Постановление Правительства РФ от 07.02.2011 №61 </w:t>
      </w:r>
      <w:r>
        <w:rPr>
          <w:rFonts w:ascii="Times New Roman" w:hAnsi="Times New Roman"/>
          <w:sz w:val="26"/>
          <w:szCs w:val="26"/>
        </w:rPr>
        <w:t xml:space="preserve">                       </w:t>
      </w:r>
      <w:r w:rsidRPr="002962FE">
        <w:rPr>
          <w:rFonts w:ascii="Times New Roman" w:hAnsi="Times New Roman"/>
          <w:sz w:val="26"/>
          <w:szCs w:val="26"/>
        </w:rPr>
        <w:t>«О Федеральной целевой программе развития образования на 2011 - 2015 годы»;</w:t>
      </w:r>
    </w:p>
    <w:p w:rsidR="004616EA" w:rsidRPr="002962FE" w:rsidRDefault="004616EA" w:rsidP="002962FE">
      <w:pPr>
        <w:pStyle w:val="a7"/>
        <w:numPr>
          <w:ilvl w:val="0"/>
          <w:numId w:val="65"/>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Распоряжение Правительства РФ от 19.01.2006 №38-р </w:t>
      </w:r>
      <w:r>
        <w:rPr>
          <w:rFonts w:ascii="Times New Roman" w:hAnsi="Times New Roman"/>
          <w:sz w:val="26"/>
          <w:szCs w:val="26"/>
        </w:rPr>
        <w:t xml:space="preserve">                   </w:t>
      </w:r>
      <w:r w:rsidRPr="002962FE">
        <w:rPr>
          <w:rFonts w:ascii="Times New Roman" w:hAnsi="Times New Roman"/>
          <w:sz w:val="26"/>
          <w:szCs w:val="26"/>
        </w:rPr>
        <w:t>«О Программе социально-экономического развития Российской Федерации на среднесрочную перспективу (2006 - 2008 годы)»;</w:t>
      </w:r>
    </w:p>
    <w:p w:rsidR="004616EA" w:rsidRPr="002962FE" w:rsidRDefault="004616EA" w:rsidP="002962FE">
      <w:pPr>
        <w:pStyle w:val="a7"/>
        <w:numPr>
          <w:ilvl w:val="0"/>
          <w:numId w:val="65"/>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Распоряжение Правительства РФ от 17.11.2008 №1662-р </w:t>
      </w:r>
      <w:r>
        <w:rPr>
          <w:rFonts w:ascii="Times New Roman" w:hAnsi="Times New Roman"/>
          <w:sz w:val="26"/>
          <w:szCs w:val="26"/>
        </w:rPr>
        <w:t xml:space="preserve">                 </w:t>
      </w:r>
      <w:r w:rsidRPr="002962FE">
        <w:rPr>
          <w:rFonts w:ascii="Times New Roman" w:hAnsi="Times New Roman"/>
          <w:sz w:val="26"/>
          <w:szCs w:val="26"/>
        </w:rPr>
        <w:t>«О Концепции долгосрочного социально-экономического развития Российской Федерации на период до 2020 года»;</w:t>
      </w:r>
    </w:p>
    <w:p w:rsidR="004616EA" w:rsidRPr="002962FE" w:rsidRDefault="004616EA" w:rsidP="002962FE">
      <w:pPr>
        <w:pStyle w:val="a7"/>
        <w:numPr>
          <w:ilvl w:val="0"/>
          <w:numId w:val="65"/>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Распоряжение Правительства РФ от 07.09.2010 №1507-р </w:t>
      </w:r>
      <w:r>
        <w:rPr>
          <w:rFonts w:ascii="Times New Roman" w:hAnsi="Times New Roman"/>
          <w:sz w:val="26"/>
          <w:szCs w:val="26"/>
        </w:rPr>
        <w:t xml:space="preserve">                 </w:t>
      </w:r>
      <w:r w:rsidRPr="002962FE">
        <w:rPr>
          <w:rFonts w:ascii="Times New Roman" w:hAnsi="Times New Roman"/>
          <w:sz w:val="26"/>
          <w:szCs w:val="26"/>
        </w:rPr>
        <w:t>«О реализации национальной образовательной инициативы «Наша новая школа»;</w:t>
      </w:r>
    </w:p>
    <w:p w:rsidR="004616EA" w:rsidRPr="002962FE" w:rsidRDefault="004616EA" w:rsidP="002962FE">
      <w:pPr>
        <w:pStyle w:val="a7"/>
        <w:numPr>
          <w:ilvl w:val="0"/>
          <w:numId w:val="65"/>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Распоряжение Правительства РФ от 15.05.2013 №792-р</w:t>
      </w:r>
      <w:r>
        <w:rPr>
          <w:rFonts w:ascii="Times New Roman" w:hAnsi="Times New Roman"/>
          <w:sz w:val="26"/>
          <w:szCs w:val="26"/>
        </w:rPr>
        <w:t xml:space="preserve">               </w:t>
      </w:r>
      <w:r w:rsidRPr="002962FE">
        <w:rPr>
          <w:rFonts w:ascii="Times New Roman" w:hAnsi="Times New Roman"/>
          <w:sz w:val="26"/>
          <w:szCs w:val="26"/>
        </w:rPr>
        <w:t xml:space="preserve"> «Об утверждении государственной программы Российской Федерации «Развитие образования» на 2013 - 2020 годы»;</w:t>
      </w:r>
    </w:p>
    <w:p w:rsidR="004616EA" w:rsidRPr="002962FE" w:rsidRDefault="004616EA" w:rsidP="002962FE">
      <w:pPr>
        <w:pStyle w:val="a7"/>
        <w:numPr>
          <w:ilvl w:val="0"/>
          <w:numId w:val="65"/>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«Прогноз социально-экономического развития Российской Федерации на 2014 год и плановый период 2015 - 2016 годов»;</w:t>
      </w:r>
    </w:p>
    <w:p w:rsidR="004616EA" w:rsidRPr="002962FE" w:rsidRDefault="004616EA" w:rsidP="002962FE">
      <w:pPr>
        <w:pStyle w:val="a7"/>
        <w:numPr>
          <w:ilvl w:val="0"/>
          <w:numId w:val="65"/>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Письмо Минобрнауки РФ от 07.09.2007 №03-1924 </w:t>
      </w:r>
      <w:r>
        <w:rPr>
          <w:rFonts w:ascii="Times New Roman" w:hAnsi="Times New Roman"/>
          <w:sz w:val="26"/>
          <w:szCs w:val="26"/>
        </w:rPr>
        <w:t xml:space="preserve">                          </w:t>
      </w:r>
      <w:r w:rsidRPr="002962FE">
        <w:rPr>
          <w:rFonts w:ascii="Times New Roman" w:hAnsi="Times New Roman"/>
          <w:sz w:val="26"/>
          <w:szCs w:val="26"/>
        </w:rPr>
        <w:t>«Об аттестации лучших учителей - победителей конкурса в рамках приоритетного национального проекта «Образование».</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i/>
          <w:sz w:val="26"/>
          <w:szCs w:val="26"/>
          <w:lang w:eastAsia="ru-RU"/>
        </w:rPr>
        <w:t>2. Приоритетный национальный проект «Здоровье»</w:t>
      </w:r>
      <w:r w:rsidRPr="002962FE">
        <w:rPr>
          <w:rFonts w:ascii="Times New Roman" w:hAnsi="Times New Roman"/>
          <w:sz w:val="26"/>
          <w:szCs w:val="26"/>
          <w:lang w:eastAsia="ru-RU"/>
        </w:rPr>
        <w:t xml:space="preserve"> (далее также – ПНП «Здоровье») призван укрепить здоровье населения, снизить уровень заболеваемости, инвалидности, смертности; повысить доступность и качество медицинской помощи; создать условия для оказания эффективной медицинской помощи на догоспитальном этапе; удовлетворить потребности населения в высокотехнологичных видах медицинской помощи.</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sz w:val="26"/>
          <w:szCs w:val="26"/>
          <w:lang w:eastAsia="ru-RU"/>
        </w:rPr>
        <w:t>Задачи, направления, порядок реализации отдельных мероприятий в рамках каждого из направлений ПНП «Здоровье» заложены в ряде документов федерального уровня:</w:t>
      </w:r>
    </w:p>
    <w:p w:rsidR="004616EA" w:rsidRPr="002962FE" w:rsidRDefault="004616EA" w:rsidP="002962FE">
      <w:pPr>
        <w:pStyle w:val="a7"/>
        <w:numPr>
          <w:ilvl w:val="0"/>
          <w:numId w:val="66"/>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Постановление Правительства РФ от 17.02.2011 №91 </w:t>
      </w:r>
      <w:r>
        <w:rPr>
          <w:rFonts w:ascii="Times New Roman" w:hAnsi="Times New Roman"/>
          <w:sz w:val="26"/>
          <w:szCs w:val="26"/>
        </w:rPr>
        <w:t xml:space="preserve">                      </w:t>
      </w:r>
      <w:r w:rsidRPr="002962FE">
        <w:rPr>
          <w:rFonts w:ascii="Times New Roman" w:hAnsi="Times New Roman"/>
          <w:sz w:val="26"/>
          <w:szCs w:val="26"/>
        </w:rPr>
        <w:t>«О федеральной целевой программе «Развитие фармацевтической и медицинской промышленности Российской Федерации на период до 2020 года и дальнейшую перспективу»;</w:t>
      </w:r>
    </w:p>
    <w:p w:rsidR="004616EA" w:rsidRPr="002962FE" w:rsidRDefault="004616EA" w:rsidP="002962FE">
      <w:pPr>
        <w:pStyle w:val="a7"/>
        <w:numPr>
          <w:ilvl w:val="0"/>
          <w:numId w:val="66"/>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Распоряжение Правительства РФ от 17.11.2008 №1662-р</w:t>
      </w:r>
      <w:r>
        <w:rPr>
          <w:rFonts w:ascii="Times New Roman" w:hAnsi="Times New Roman"/>
          <w:sz w:val="26"/>
          <w:szCs w:val="26"/>
        </w:rPr>
        <w:t xml:space="preserve">                </w:t>
      </w:r>
      <w:r w:rsidRPr="002962FE">
        <w:rPr>
          <w:rFonts w:ascii="Times New Roman" w:hAnsi="Times New Roman"/>
          <w:sz w:val="26"/>
          <w:szCs w:val="26"/>
        </w:rPr>
        <w:t xml:space="preserve"> «О Концепции долгосрочного социально-экономического развития Российской Федерации на период до 2020 года»;</w:t>
      </w:r>
    </w:p>
    <w:p w:rsidR="004616EA" w:rsidRPr="002962FE" w:rsidRDefault="004616EA" w:rsidP="002962FE">
      <w:pPr>
        <w:pStyle w:val="a7"/>
        <w:numPr>
          <w:ilvl w:val="0"/>
          <w:numId w:val="66"/>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Распоряжение Правительства РФ от 24.12.2012 №2511-р </w:t>
      </w:r>
      <w:r>
        <w:rPr>
          <w:rFonts w:ascii="Times New Roman" w:hAnsi="Times New Roman"/>
          <w:sz w:val="26"/>
          <w:szCs w:val="26"/>
        </w:rPr>
        <w:t xml:space="preserve">                 </w:t>
      </w:r>
      <w:r w:rsidRPr="002962FE">
        <w:rPr>
          <w:rFonts w:ascii="Times New Roman" w:hAnsi="Times New Roman"/>
          <w:sz w:val="26"/>
          <w:szCs w:val="26"/>
        </w:rPr>
        <w:t>«Об утверждении государственной программы Российской Федерации «Развитие здравоохранения»;</w:t>
      </w:r>
    </w:p>
    <w:p w:rsidR="004616EA" w:rsidRPr="002962FE" w:rsidRDefault="004616EA" w:rsidP="002962FE">
      <w:pPr>
        <w:pStyle w:val="a7"/>
        <w:numPr>
          <w:ilvl w:val="0"/>
          <w:numId w:val="66"/>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Распоряжение Правительства РФ от 27.12.2012 №2553-р </w:t>
      </w:r>
      <w:r>
        <w:rPr>
          <w:rFonts w:ascii="Times New Roman" w:hAnsi="Times New Roman"/>
          <w:sz w:val="26"/>
          <w:szCs w:val="26"/>
        </w:rPr>
        <w:t xml:space="preserve">                </w:t>
      </w:r>
      <w:r w:rsidRPr="002962FE">
        <w:rPr>
          <w:rFonts w:ascii="Times New Roman" w:hAnsi="Times New Roman"/>
          <w:sz w:val="26"/>
          <w:szCs w:val="26"/>
        </w:rPr>
        <w:t>«Об утверждении государственной программы Российской Федерации «Социальная поддержка граждан»;</w:t>
      </w:r>
    </w:p>
    <w:p w:rsidR="004616EA" w:rsidRPr="002962FE" w:rsidRDefault="004616EA" w:rsidP="002962FE">
      <w:pPr>
        <w:pStyle w:val="a7"/>
        <w:numPr>
          <w:ilvl w:val="0"/>
          <w:numId w:val="66"/>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«Прогноз социально-экономического развития Российской Федерации на 2013 год и плановый период 2014 - 2015 годов»;</w:t>
      </w:r>
    </w:p>
    <w:p w:rsidR="004616EA" w:rsidRPr="002962FE" w:rsidRDefault="004616EA" w:rsidP="002962FE">
      <w:pPr>
        <w:pStyle w:val="a7"/>
        <w:numPr>
          <w:ilvl w:val="0"/>
          <w:numId w:val="66"/>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Приказ Минздравсоцразвития России от 28.04.2011 №364 </w:t>
      </w:r>
      <w:r>
        <w:rPr>
          <w:rFonts w:ascii="Times New Roman" w:hAnsi="Times New Roman"/>
          <w:sz w:val="26"/>
          <w:szCs w:val="26"/>
        </w:rPr>
        <w:t xml:space="preserve">              </w:t>
      </w:r>
      <w:r w:rsidRPr="002962FE">
        <w:rPr>
          <w:rFonts w:ascii="Times New Roman" w:hAnsi="Times New Roman"/>
          <w:sz w:val="26"/>
          <w:szCs w:val="26"/>
        </w:rPr>
        <w:t>«Об утверждении Концепции создания единой государственной информационной системы в сфере здравоохранения».</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i/>
          <w:sz w:val="26"/>
          <w:szCs w:val="26"/>
          <w:lang w:eastAsia="ru-RU"/>
        </w:rPr>
        <w:t>3. Приоритетный национальный проект «Доступное жилье»</w:t>
      </w:r>
      <w:r w:rsidRPr="002962FE">
        <w:rPr>
          <w:rFonts w:ascii="Times New Roman" w:hAnsi="Times New Roman"/>
          <w:sz w:val="26"/>
          <w:szCs w:val="26"/>
          <w:lang w:eastAsia="ru-RU"/>
        </w:rPr>
        <w:t xml:space="preserve"> (далее также – ПНП «Доступное жилье») призван сформировать рынок доступного жилья и обеспечить комфортные условия проживания граждан.</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sz w:val="26"/>
          <w:szCs w:val="26"/>
          <w:lang w:eastAsia="ru-RU"/>
        </w:rPr>
        <w:t>Задачи, направления, порядок реализации отдельных мероприятий в рамках каждого из направлений ПНП «Доступное жилье» заложены в ряде документов федерального уровня:</w:t>
      </w:r>
    </w:p>
    <w:p w:rsidR="004616EA" w:rsidRPr="002962FE" w:rsidRDefault="004616EA" w:rsidP="002962FE">
      <w:pPr>
        <w:pStyle w:val="a7"/>
        <w:numPr>
          <w:ilvl w:val="0"/>
          <w:numId w:val="67"/>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Постановление Правительства РФ от 17.12.2010 №1050 </w:t>
      </w:r>
      <w:r>
        <w:rPr>
          <w:rFonts w:ascii="Times New Roman" w:hAnsi="Times New Roman"/>
          <w:sz w:val="26"/>
          <w:szCs w:val="26"/>
        </w:rPr>
        <w:t xml:space="preserve">                   </w:t>
      </w:r>
      <w:r w:rsidRPr="002962FE">
        <w:rPr>
          <w:rFonts w:ascii="Times New Roman" w:hAnsi="Times New Roman"/>
          <w:sz w:val="26"/>
          <w:szCs w:val="26"/>
        </w:rPr>
        <w:t>«О федеральной целевой программе «Жилище» на 2011 - 2015 годы»;</w:t>
      </w:r>
    </w:p>
    <w:p w:rsidR="004616EA" w:rsidRPr="002962FE" w:rsidRDefault="004616EA" w:rsidP="002962FE">
      <w:pPr>
        <w:pStyle w:val="a7"/>
        <w:numPr>
          <w:ilvl w:val="0"/>
          <w:numId w:val="67"/>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Распоряжение Правительства РФ от 19.01.2006 №38-р </w:t>
      </w:r>
      <w:r>
        <w:rPr>
          <w:rFonts w:ascii="Times New Roman" w:hAnsi="Times New Roman"/>
          <w:sz w:val="26"/>
          <w:szCs w:val="26"/>
        </w:rPr>
        <w:t xml:space="preserve">                     </w:t>
      </w:r>
      <w:r w:rsidRPr="002962FE">
        <w:rPr>
          <w:rFonts w:ascii="Times New Roman" w:hAnsi="Times New Roman"/>
          <w:sz w:val="26"/>
          <w:szCs w:val="26"/>
        </w:rPr>
        <w:t>«О Программе социально-экономического развития Российской Федерации на среднесрочную перспективу (2006 - 2008 годы)»;</w:t>
      </w:r>
    </w:p>
    <w:p w:rsidR="004616EA" w:rsidRPr="002962FE" w:rsidRDefault="004616EA" w:rsidP="002962FE">
      <w:pPr>
        <w:pStyle w:val="a7"/>
        <w:numPr>
          <w:ilvl w:val="0"/>
          <w:numId w:val="67"/>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Распоряжение Правительства РФ от 30.11.2012 №2227-р </w:t>
      </w:r>
      <w:r>
        <w:rPr>
          <w:rFonts w:ascii="Times New Roman" w:hAnsi="Times New Roman"/>
          <w:sz w:val="26"/>
          <w:szCs w:val="26"/>
        </w:rPr>
        <w:t xml:space="preserve">               </w:t>
      </w:r>
      <w:r w:rsidRPr="002962FE">
        <w:rPr>
          <w:rFonts w:ascii="Times New Roman" w:hAnsi="Times New Roman"/>
          <w:sz w:val="26"/>
          <w:szCs w:val="26"/>
        </w:rPr>
        <w:t>«Об утверждении государственной программы Российской Федерации «Обеспечение доступным и комфортным жильем и коммунальными услугами граждан Российской Федерации»;</w:t>
      </w:r>
    </w:p>
    <w:p w:rsidR="004616EA" w:rsidRPr="002962FE" w:rsidRDefault="004616EA" w:rsidP="002962FE">
      <w:pPr>
        <w:pStyle w:val="a7"/>
        <w:numPr>
          <w:ilvl w:val="0"/>
          <w:numId w:val="67"/>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«Прогноз социально-экономического развития Российской Федерации на 2014 год и плановый период 2015 и 2016 годов»;</w:t>
      </w:r>
    </w:p>
    <w:p w:rsidR="004616EA" w:rsidRPr="002962FE" w:rsidRDefault="004616EA" w:rsidP="002962FE">
      <w:pPr>
        <w:pStyle w:val="a7"/>
        <w:numPr>
          <w:ilvl w:val="0"/>
          <w:numId w:val="67"/>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Приказ Минрегиона РФ от 28.12.2010 №802 «Об утверждении Методических рекомендаций по разработке региональных программ развития жилищного строительства»;</w:t>
      </w:r>
    </w:p>
    <w:p w:rsidR="004616EA" w:rsidRPr="002962FE" w:rsidRDefault="004616EA" w:rsidP="002962FE">
      <w:pPr>
        <w:pStyle w:val="a7"/>
        <w:numPr>
          <w:ilvl w:val="0"/>
          <w:numId w:val="67"/>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Приказ Минрегиона РФ от 21.03.2011 №101 «Об утверждении Методических рекомендаций по разработке подпрограмм кадрового обеспечения задач строительства региональных программ развития жилищного строительства».</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i/>
          <w:sz w:val="26"/>
          <w:szCs w:val="26"/>
          <w:lang w:eastAsia="ru-RU"/>
        </w:rPr>
        <w:t>4. Приоритетный национальный проект «Развитие агропромышленного комплекса»</w:t>
      </w:r>
      <w:r w:rsidRPr="002962FE">
        <w:rPr>
          <w:rFonts w:ascii="Times New Roman" w:hAnsi="Times New Roman"/>
          <w:sz w:val="26"/>
          <w:szCs w:val="26"/>
          <w:lang w:eastAsia="ru-RU"/>
        </w:rPr>
        <w:t xml:space="preserve"> (далее также – ПНП «Развитие агропромышленного комплекса») призван предоставить хорошие стартовые возможности для качественного прорыва в хозяйствовании, внедрении современных технологий, развитии бизнеса.</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sz w:val="26"/>
          <w:szCs w:val="26"/>
          <w:lang w:eastAsia="ru-RU"/>
        </w:rPr>
        <w:t>Задачи, направления, порядок реализации отдельных мероприятий в рамках каждого из направлений ПНП «Развитие агропромышленного комплекса» заложены в ряде документов федерального уровня:</w:t>
      </w:r>
    </w:p>
    <w:p w:rsidR="004616EA" w:rsidRPr="002962FE" w:rsidRDefault="004616EA" w:rsidP="002962FE">
      <w:pPr>
        <w:pStyle w:val="a7"/>
        <w:numPr>
          <w:ilvl w:val="0"/>
          <w:numId w:val="68"/>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Постановление Правительства РФ от 14.07.2012 №717 </w:t>
      </w:r>
      <w:r>
        <w:rPr>
          <w:rFonts w:ascii="Times New Roman" w:hAnsi="Times New Roman"/>
          <w:sz w:val="26"/>
          <w:szCs w:val="26"/>
        </w:rPr>
        <w:t xml:space="preserve">                    </w:t>
      </w:r>
      <w:r w:rsidRPr="002962FE">
        <w:rPr>
          <w:rFonts w:ascii="Times New Roman" w:hAnsi="Times New Roman"/>
          <w:sz w:val="26"/>
          <w:szCs w:val="26"/>
        </w:rPr>
        <w:t>«О Государственной программе развития сельского хозяйства и регулирования рынков сельскохозяйственной продукции, сырья и продовольствия на 2013 - 2020 годы»;</w:t>
      </w:r>
    </w:p>
    <w:p w:rsidR="004616EA" w:rsidRPr="002962FE" w:rsidRDefault="004616EA" w:rsidP="002962FE">
      <w:pPr>
        <w:pStyle w:val="a7"/>
        <w:numPr>
          <w:ilvl w:val="0"/>
          <w:numId w:val="68"/>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Распоряжение Правительства РФ от 19.01.2006 №38-р</w:t>
      </w:r>
      <w:r>
        <w:rPr>
          <w:rFonts w:ascii="Times New Roman" w:hAnsi="Times New Roman"/>
          <w:sz w:val="26"/>
          <w:szCs w:val="26"/>
        </w:rPr>
        <w:t xml:space="preserve">                     </w:t>
      </w:r>
      <w:r w:rsidRPr="002962FE">
        <w:rPr>
          <w:rFonts w:ascii="Times New Roman" w:hAnsi="Times New Roman"/>
          <w:sz w:val="26"/>
          <w:szCs w:val="26"/>
        </w:rPr>
        <w:t xml:space="preserve"> «О Программе социально-экономического развития Российской Федерации на среднесрочную перспективу (2006 - 2008 годы)»;</w:t>
      </w:r>
    </w:p>
    <w:p w:rsidR="004616EA" w:rsidRPr="002962FE" w:rsidRDefault="004616EA" w:rsidP="002962FE">
      <w:pPr>
        <w:pStyle w:val="a7"/>
        <w:numPr>
          <w:ilvl w:val="0"/>
          <w:numId w:val="68"/>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Распоряжение Правительства РФ от 17.04.2012 №559-р </w:t>
      </w:r>
      <w:r>
        <w:rPr>
          <w:rFonts w:ascii="Times New Roman" w:hAnsi="Times New Roman"/>
          <w:sz w:val="26"/>
          <w:szCs w:val="26"/>
        </w:rPr>
        <w:t xml:space="preserve">               </w:t>
      </w:r>
      <w:r w:rsidRPr="002962FE">
        <w:rPr>
          <w:rFonts w:ascii="Times New Roman" w:hAnsi="Times New Roman"/>
          <w:sz w:val="26"/>
          <w:szCs w:val="26"/>
        </w:rPr>
        <w:t>«Об утверждении Стратегии развития пищевой и перерабатывающей промышленности Российской Федерации на период до 2020 года».</w:t>
      </w:r>
    </w:p>
    <w:p w:rsidR="004616EA" w:rsidRPr="002962FE" w:rsidRDefault="004616EA" w:rsidP="002962FE">
      <w:pPr>
        <w:autoSpaceDE w:val="0"/>
        <w:autoSpaceDN w:val="0"/>
        <w:adjustRightInd w:val="0"/>
        <w:spacing w:after="0" w:line="240" w:lineRule="auto"/>
        <w:ind w:firstLine="709"/>
        <w:jc w:val="both"/>
        <w:rPr>
          <w:rFonts w:ascii="Times New Roman" w:hAnsi="Times New Roman"/>
          <w:b/>
          <w:i/>
          <w:sz w:val="26"/>
          <w:szCs w:val="26"/>
          <w:lang w:eastAsia="ru-RU"/>
        </w:rPr>
      </w:pPr>
      <w:r w:rsidRPr="002962FE">
        <w:rPr>
          <w:rFonts w:ascii="Times New Roman" w:hAnsi="Times New Roman"/>
          <w:b/>
          <w:i/>
          <w:sz w:val="26"/>
          <w:szCs w:val="26"/>
          <w:lang w:val="en-US" w:eastAsia="ru-RU"/>
        </w:rPr>
        <w:t>II</w:t>
      </w:r>
      <w:r w:rsidRPr="002962FE">
        <w:rPr>
          <w:rFonts w:ascii="Times New Roman" w:hAnsi="Times New Roman"/>
          <w:b/>
          <w:i/>
          <w:sz w:val="26"/>
          <w:szCs w:val="26"/>
          <w:lang w:eastAsia="ru-RU"/>
        </w:rPr>
        <w:t>. Региональный уровень</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sz w:val="26"/>
          <w:szCs w:val="26"/>
          <w:lang w:eastAsia="ru-RU"/>
        </w:rPr>
        <w:t xml:space="preserve">1. В </w:t>
      </w:r>
      <w:r w:rsidRPr="002962FE">
        <w:rPr>
          <w:rFonts w:ascii="Times New Roman" w:hAnsi="Times New Roman"/>
          <w:sz w:val="26"/>
          <w:szCs w:val="26"/>
        </w:rPr>
        <w:t>Ханты-Мансийском автономном округе</w:t>
      </w:r>
      <w:r w:rsidRPr="002962FE">
        <w:rPr>
          <w:rFonts w:ascii="Times New Roman" w:hAnsi="Times New Roman"/>
          <w:sz w:val="26"/>
          <w:szCs w:val="26"/>
          <w:lang w:eastAsia="ru-RU"/>
        </w:rPr>
        <w:t xml:space="preserve"> - Югре разрабатываются и утверждаются нормативные правовые акты, обеспечивающие реализацию направлений и мероприятий национальных проектов на региональном уровне. В 2013 году приоритетные национальные проекты в </w:t>
      </w:r>
      <w:r w:rsidRPr="002962FE">
        <w:rPr>
          <w:rFonts w:ascii="Times New Roman" w:hAnsi="Times New Roman"/>
          <w:sz w:val="26"/>
          <w:szCs w:val="26"/>
        </w:rPr>
        <w:t>Ханты-Мансийском автономном округе</w:t>
      </w:r>
      <w:r w:rsidRPr="002962FE">
        <w:rPr>
          <w:rFonts w:ascii="Times New Roman" w:hAnsi="Times New Roman"/>
          <w:sz w:val="26"/>
          <w:szCs w:val="26"/>
          <w:lang w:eastAsia="ru-RU"/>
        </w:rPr>
        <w:t xml:space="preserve"> - Югре реализовывались в соответствии с принятыми программами, соглашениями с федеральными органами исполнительной власти и органами местного самоуправления городского округа город Когалым. Реализация мероприятий приоритетных национальных проектов осуществлялась и осуществляется в плановом режиме, в соответствии с годовым сетевым графиком.</w:t>
      </w:r>
    </w:p>
    <w:p w:rsidR="004616EA" w:rsidRPr="002962FE" w:rsidRDefault="004616EA" w:rsidP="002962FE">
      <w:pPr>
        <w:autoSpaceDE w:val="0"/>
        <w:autoSpaceDN w:val="0"/>
        <w:adjustRightInd w:val="0"/>
        <w:spacing w:after="0" w:line="240" w:lineRule="auto"/>
        <w:ind w:firstLine="709"/>
        <w:jc w:val="both"/>
        <w:rPr>
          <w:rFonts w:ascii="Times New Roman" w:hAnsi="Times New Roman"/>
          <w:strike/>
          <w:sz w:val="26"/>
          <w:szCs w:val="26"/>
          <w:lang w:eastAsia="ru-RU"/>
        </w:rPr>
      </w:pPr>
      <w:r w:rsidRPr="002962FE">
        <w:rPr>
          <w:rFonts w:ascii="Times New Roman" w:hAnsi="Times New Roman"/>
          <w:i/>
          <w:sz w:val="26"/>
          <w:szCs w:val="26"/>
          <w:lang w:eastAsia="ru-RU"/>
        </w:rPr>
        <w:t>1.1. ПНП «Образование».</w:t>
      </w:r>
      <w:r w:rsidRPr="002962FE">
        <w:rPr>
          <w:rFonts w:ascii="Times New Roman" w:hAnsi="Times New Roman"/>
          <w:sz w:val="26"/>
          <w:szCs w:val="26"/>
          <w:lang w:eastAsia="ru-RU"/>
        </w:rPr>
        <w:t xml:space="preserve"> В целях обеспечения реализации ПНП «Образование» национальной образовательной инициативы «Наша новая школа», утвержденной Президентом РФ от 04.02.2009 (Пр-271), Постановлением Правительства </w:t>
      </w:r>
      <w:r w:rsidRPr="002962FE">
        <w:rPr>
          <w:rFonts w:ascii="Times New Roman" w:hAnsi="Times New Roman"/>
          <w:sz w:val="26"/>
          <w:szCs w:val="26"/>
        </w:rPr>
        <w:t>Ханты-Мансийского автономного округа</w:t>
      </w:r>
      <w:r w:rsidRPr="002962FE">
        <w:rPr>
          <w:rFonts w:ascii="Times New Roman" w:hAnsi="Times New Roman"/>
          <w:sz w:val="26"/>
          <w:szCs w:val="26"/>
          <w:lang w:eastAsia="ru-RU"/>
        </w:rPr>
        <w:t xml:space="preserve"> - Югры принята государственная программа «Развитие образования в Ханты-Мансийском автономном округе - Югре на 2014-2020 годы», которая направлена на обеспечение доступности качественного образования, соответствующего требованиям инновационного развития экономики, современным потребностям общества и каждого жителя автономного округа; повышение эффективности реализации молодежной политики в интересах инновационного социально ориентированного развития </w:t>
      </w:r>
      <w:r w:rsidRPr="002962FE">
        <w:rPr>
          <w:rFonts w:ascii="Times New Roman" w:hAnsi="Times New Roman"/>
          <w:sz w:val="26"/>
          <w:szCs w:val="26"/>
        </w:rPr>
        <w:t>Ханты-Мансийского автономного округа</w:t>
      </w:r>
      <w:r w:rsidRPr="002962FE">
        <w:rPr>
          <w:rFonts w:ascii="Times New Roman" w:hAnsi="Times New Roman"/>
          <w:sz w:val="26"/>
          <w:szCs w:val="26"/>
          <w:lang w:eastAsia="ru-RU"/>
        </w:rPr>
        <w:t xml:space="preserve"> – Югры.</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i/>
          <w:sz w:val="26"/>
          <w:szCs w:val="26"/>
          <w:lang w:eastAsia="ru-RU"/>
        </w:rPr>
        <w:t xml:space="preserve">1.2. ПНП «Здоровье». </w:t>
      </w:r>
      <w:r w:rsidRPr="002962FE">
        <w:rPr>
          <w:rFonts w:ascii="Times New Roman" w:hAnsi="Times New Roman"/>
          <w:sz w:val="26"/>
          <w:szCs w:val="26"/>
          <w:lang w:eastAsia="ru-RU"/>
        </w:rPr>
        <w:t xml:space="preserve">В целях обеспечения реализации данного проекта Постановлением Правительства </w:t>
      </w:r>
      <w:r w:rsidRPr="002962FE">
        <w:rPr>
          <w:rFonts w:ascii="Times New Roman" w:hAnsi="Times New Roman"/>
          <w:sz w:val="26"/>
          <w:szCs w:val="26"/>
        </w:rPr>
        <w:t>Ханты-Мансийского автономного округа</w:t>
      </w:r>
      <w:r w:rsidRPr="002962FE">
        <w:rPr>
          <w:rFonts w:ascii="Times New Roman" w:hAnsi="Times New Roman"/>
          <w:sz w:val="26"/>
          <w:szCs w:val="26"/>
          <w:lang w:eastAsia="ru-RU"/>
        </w:rPr>
        <w:t xml:space="preserve"> – Югры принята государственная программа «Развитие здравоохранения в Ханты-Мансийском автономном округе - Югре на 2014-2020 годы», которая направлена на повышение качества и доступности медицинской помощи; снижение уровня заболеваемости, инвалидности и смертности; увеличение продолжительности жизни населения автономного округа.</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i/>
          <w:sz w:val="26"/>
          <w:szCs w:val="26"/>
          <w:lang w:eastAsia="ru-RU"/>
        </w:rPr>
        <w:t>1.3. ПНП «Доступное жилье».</w:t>
      </w:r>
      <w:r w:rsidRPr="002962FE">
        <w:rPr>
          <w:rFonts w:ascii="Times New Roman" w:hAnsi="Times New Roman"/>
          <w:sz w:val="26"/>
          <w:szCs w:val="26"/>
          <w:lang w:eastAsia="ru-RU"/>
        </w:rPr>
        <w:t xml:space="preserve"> В целях обеспечения реализации ПНП «Доступное жилье» Постановлением Правительства </w:t>
      </w:r>
      <w:r w:rsidRPr="002962FE">
        <w:rPr>
          <w:rFonts w:ascii="Times New Roman" w:hAnsi="Times New Roman"/>
          <w:sz w:val="26"/>
          <w:szCs w:val="26"/>
        </w:rPr>
        <w:t>Ханты-Мансийского автономного округа</w:t>
      </w:r>
      <w:r w:rsidRPr="002962FE">
        <w:rPr>
          <w:rFonts w:ascii="Times New Roman" w:hAnsi="Times New Roman"/>
          <w:sz w:val="26"/>
          <w:szCs w:val="26"/>
          <w:lang w:eastAsia="ru-RU"/>
        </w:rPr>
        <w:t xml:space="preserve"> – Югры принята государственная программа «Обеспечение доступным и комфортным жильем жителей Ханты-Мансийском автономном округа - Югры в 2014-2020 годах», которая направлена на создание условий и механизмов для увеличения объемов жилищного строительства, способствующих повышению доступности жилья, улучшению жилищных условий и качества жилищного обеспечения населения автономного округа.</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i/>
          <w:sz w:val="26"/>
          <w:szCs w:val="26"/>
          <w:lang w:eastAsia="ru-RU"/>
        </w:rPr>
        <w:t>1.4. ПНП «Развитие агропромышленного комплекса».</w:t>
      </w:r>
      <w:r w:rsidRPr="002962FE">
        <w:rPr>
          <w:rFonts w:ascii="Times New Roman" w:hAnsi="Times New Roman"/>
          <w:sz w:val="26"/>
          <w:szCs w:val="26"/>
          <w:lang w:eastAsia="ru-RU"/>
        </w:rPr>
        <w:t xml:space="preserve"> В целях обеспечения реализации данного проекта Постановлением Правительства </w:t>
      </w:r>
      <w:r w:rsidRPr="002962FE">
        <w:rPr>
          <w:rFonts w:ascii="Times New Roman" w:hAnsi="Times New Roman"/>
          <w:sz w:val="26"/>
          <w:szCs w:val="26"/>
        </w:rPr>
        <w:t>Ханты-Мансийского автономного округа</w:t>
      </w:r>
      <w:r w:rsidRPr="002962FE">
        <w:rPr>
          <w:rFonts w:ascii="Times New Roman" w:hAnsi="Times New Roman"/>
          <w:sz w:val="26"/>
          <w:szCs w:val="26"/>
          <w:lang w:eastAsia="ru-RU"/>
        </w:rPr>
        <w:t xml:space="preserve"> – Югры принята государственная программа «Развитие агропромышленного комплекса и рынков сельскохозяйственной продукции, сырья и продовольствия в Ханты-Мансийском автономном округе - Югре в 2014-2020 годах», которая направленна на устойчивое развитие агропромышленного комплекса и сельских территорий; повышение конкурентоспособности продукции, произведенной на территории автономного округа.</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sz w:val="26"/>
          <w:szCs w:val="26"/>
          <w:lang w:eastAsia="ru-RU"/>
        </w:rPr>
        <w:t xml:space="preserve">2. Городской округ город Когалым имеет возможность участвовать в отборах на предоставление субсидий из регионального бюджета на софинансирование расходов по муниципальным программам социально-экономического развития территории в рамках реализации следующих государственных программ </w:t>
      </w:r>
      <w:r w:rsidRPr="002962FE">
        <w:rPr>
          <w:rFonts w:ascii="Times New Roman" w:hAnsi="Times New Roman"/>
          <w:sz w:val="26"/>
          <w:szCs w:val="26"/>
        </w:rPr>
        <w:t>Ханты-Мансийского автономного округа</w:t>
      </w:r>
      <w:r w:rsidRPr="002962FE">
        <w:rPr>
          <w:rFonts w:ascii="Times New Roman" w:hAnsi="Times New Roman"/>
          <w:sz w:val="26"/>
          <w:szCs w:val="26"/>
          <w:lang w:eastAsia="ru-RU"/>
        </w:rPr>
        <w:t xml:space="preserve"> - Югры:</w:t>
      </w:r>
    </w:p>
    <w:p w:rsidR="004616EA" w:rsidRPr="002962FE" w:rsidRDefault="004616EA" w:rsidP="002962FE">
      <w:pPr>
        <w:pStyle w:val="a7"/>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автономного округа - Югры от 09.10.2013 №413-п «О государственной программе Ханты-Мансийского автономного округа - Югры «Развитие образования в Ханты-Мансийском автономном округе - Югре на 2014-2020 годы»;</w:t>
      </w:r>
    </w:p>
    <w:p w:rsidR="004616EA" w:rsidRPr="002962FE" w:rsidRDefault="004616EA" w:rsidP="002962FE">
      <w:pPr>
        <w:pStyle w:val="a7"/>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w:t>
      </w:r>
      <w:r>
        <w:rPr>
          <w:rFonts w:ascii="Times New Roman" w:hAnsi="Times New Roman"/>
          <w:sz w:val="26"/>
          <w:szCs w:val="26"/>
        </w:rPr>
        <w:t>о округа - Югры от 09.10.2013 №</w:t>
      </w:r>
      <w:r w:rsidRPr="002962FE">
        <w:rPr>
          <w:rFonts w:ascii="Times New Roman" w:hAnsi="Times New Roman"/>
          <w:sz w:val="26"/>
          <w:szCs w:val="26"/>
        </w:rPr>
        <w:t>414-п «О государственной программе Ханты-Мансийского автономного округа - Югры «Развитие здравоохранения на 2014 - 2020 годы»;</w:t>
      </w:r>
    </w:p>
    <w:p w:rsidR="004616EA" w:rsidRPr="002962FE" w:rsidRDefault="004616EA" w:rsidP="002962FE">
      <w:pPr>
        <w:pStyle w:val="a7"/>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автономного округа - Югры от 09.10.2013 №408-п «О государственной программе Ханты-Мансийского автономного округа - Югры «Обеспечение доступным и комфортным жильем жителей Ханты-Мансийского автономного округа - Югры в 2014 - 2020 годах»;</w:t>
      </w:r>
    </w:p>
    <w:p w:rsidR="004616EA" w:rsidRPr="002962FE" w:rsidRDefault="004616EA" w:rsidP="002962FE">
      <w:pPr>
        <w:pStyle w:val="a7"/>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автономного округа - Югры от 09.10.2013 №420-п «Развитие агропромышленного комплекса и рынков сельскохозяйственной продукции, сырья и продовольствия в Ханты-Мансийском автономном округе - Югре в 2014-2020 годах»;</w:t>
      </w:r>
    </w:p>
    <w:p w:rsidR="004616EA" w:rsidRPr="002962FE" w:rsidRDefault="004616EA" w:rsidP="002962FE">
      <w:pPr>
        <w:pStyle w:val="a7"/>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автономного округа - Югры от 09.10.2013 №425-п «О государственной программе Ханты-Мансийского автономного округа – Югры «Развитие лесного хозяйства и лесопромышленного комплекса Ханты-Мансийского автономного округа – Югры на 2014-2020 годы»;</w:t>
      </w:r>
    </w:p>
    <w:p w:rsidR="004616EA" w:rsidRPr="002962FE" w:rsidRDefault="004616EA" w:rsidP="002962FE">
      <w:pPr>
        <w:pStyle w:val="a7"/>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автономного округа - Югры от 09.10.2013 №419-п «О государственной программе Ханты-Мансийского автономного округа - Югры «Социально-экономическое развитие, инвестиции и инновации Ханты-Мансийского автономного округа - Югры на 2014 - 2020 годы»;</w:t>
      </w:r>
    </w:p>
    <w:p w:rsidR="004616EA" w:rsidRPr="002962FE" w:rsidRDefault="004616EA" w:rsidP="002962FE">
      <w:pPr>
        <w:pStyle w:val="a7"/>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автономного округа - Югры от 09.10.2013 №423-п «О государственной программе Ханты-Мансийского автономного округа – Югры «Развитие жилищно-коммунального комплекса и повышение энергетической эффективности в Ханты-Мансийском автономном округе на 2014-2020 годы»;</w:t>
      </w:r>
    </w:p>
    <w:p w:rsidR="004616EA" w:rsidRPr="002962FE" w:rsidRDefault="004616EA" w:rsidP="002962FE">
      <w:pPr>
        <w:pStyle w:val="a7"/>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автономного округа - Югры от 09.10.2013 №427-п «О государственной программе Ханты-Мансийского автономного округа – Югры «Развитие культуры и туризма в Ханты-Мансийском автономном округе на 2014-2020 годы»;</w:t>
      </w:r>
    </w:p>
    <w:p w:rsidR="004616EA" w:rsidRPr="002962FE" w:rsidRDefault="004616EA" w:rsidP="002962FE">
      <w:pPr>
        <w:pStyle w:val="a7"/>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автономного округа - Югры от 09.10.2013 №421-п «О государственной программе Ханты-Мансийского автономного округа – Югры «Социальная поддержка жителей Ханты-Мансийского автономного округа – Югры на 2014 - 2020 годы»;</w:t>
      </w:r>
    </w:p>
    <w:p w:rsidR="004616EA" w:rsidRPr="002962FE" w:rsidRDefault="004616EA" w:rsidP="002962FE">
      <w:pPr>
        <w:pStyle w:val="a7"/>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автономного округа - Югры от 09.10.2013 №422-п «О государственной программе Ханты-Мансийского автономного округа – Югры «Развитие физической культуры и спорта в Ханты-Мансийском округе на 2014-2020 годы»;</w:t>
      </w:r>
    </w:p>
    <w:p w:rsidR="004616EA" w:rsidRPr="002962FE" w:rsidRDefault="004616EA" w:rsidP="002962FE">
      <w:pPr>
        <w:pStyle w:val="a7"/>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автономного округа - Югры от 09.10.2013 №428-п «О государственной программе Ханты-Мансийского автономного округа - Югры «Обеспечение прав и законных интересов населения Ханты-Мансийского автономного округа - Югры в отдельных сферах жизнедеятельности в 2014 - 2020 годах»;</w:t>
      </w:r>
    </w:p>
    <w:p w:rsidR="004616EA" w:rsidRPr="002962FE" w:rsidRDefault="004616EA" w:rsidP="002962FE">
      <w:pPr>
        <w:pStyle w:val="a7"/>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Постановление Правительства Ханты-Мансийского автономного округа - Югры от 09.10.2013 </w:t>
      </w:r>
      <w:r>
        <w:rPr>
          <w:rFonts w:ascii="Times New Roman" w:hAnsi="Times New Roman"/>
          <w:sz w:val="26"/>
          <w:szCs w:val="26"/>
        </w:rPr>
        <w:t>№</w:t>
      </w:r>
      <w:r w:rsidRPr="002962FE">
        <w:rPr>
          <w:rFonts w:ascii="Times New Roman" w:hAnsi="Times New Roman"/>
          <w:sz w:val="26"/>
          <w:szCs w:val="26"/>
        </w:rPr>
        <w:t>426-п «О государственной программе Ханты-Мансийского автономного округа - Югры «Обеспечение экологической безопасности Ханты-Мансийского автономного округа - Югры на 2014 - 2020 годы»;</w:t>
      </w:r>
    </w:p>
    <w:p w:rsidR="004616EA" w:rsidRPr="002962FE" w:rsidRDefault="004616EA" w:rsidP="002962FE">
      <w:pPr>
        <w:pStyle w:val="a7"/>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автономного округа - Югры от 09.10.2013 №411-п «О государственной программе Ханты-Мансийского автономного округа – Югры «Защита населений и территорий от чрезвычайных ситуаций, обеспечение пожарной безопасности в Ханты-Мансийском автономном округе на 2014 – 2020 годы»;</w:t>
      </w:r>
    </w:p>
    <w:p w:rsidR="004616EA" w:rsidRPr="002962FE" w:rsidRDefault="004616EA" w:rsidP="002962FE">
      <w:pPr>
        <w:pStyle w:val="a7"/>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w:t>
      </w:r>
      <w:r>
        <w:rPr>
          <w:rFonts w:ascii="Times New Roman" w:hAnsi="Times New Roman"/>
          <w:sz w:val="26"/>
          <w:szCs w:val="26"/>
        </w:rPr>
        <w:t>о округа - Югры от 09.10.2013 №</w:t>
      </w:r>
      <w:r w:rsidRPr="002962FE">
        <w:rPr>
          <w:rFonts w:ascii="Times New Roman" w:hAnsi="Times New Roman"/>
          <w:sz w:val="26"/>
          <w:szCs w:val="26"/>
        </w:rPr>
        <w:t>418-п «О государственной программе Ханты-Мансийского автономного округа – Югры «Развитие транспортной системы Ханты-Мансийского автономного округа на 2014-2020 годы»;</w:t>
      </w:r>
    </w:p>
    <w:p w:rsidR="004616EA" w:rsidRPr="002962FE" w:rsidRDefault="004616EA" w:rsidP="002962FE">
      <w:pPr>
        <w:pStyle w:val="a7"/>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w:t>
      </w:r>
      <w:r>
        <w:rPr>
          <w:rFonts w:ascii="Times New Roman" w:hAnsi="Times New Roman"/>
          <w:sz w:val="26"/>
          <w:szCs w:val="26"/>
        </w:rPr>
        <w:t>о округа - Югры от 09.10.2013 №</w:t>
      </w:r>
      <w:r w:rsidRPr="002962FE">
        <w:rPr>
          <w:rFonts w:ascii="Times New Roman" w:hAnsi="Times New Roman"/>
          <w:sz w:val="26"/>
          <w:szCs w:val="26"/>
        </w:rPr>
        <w:t xml:space="preserve">416-п «О государственной программе Ханты-Мансийского автономного округа – Югры </w:t>
      </w:r>
      <w:r w:rsidRPr="002962FE">
        <w:rPr>
          <w:rFonts w:ascii="Times New Roman" w:hAnsi="Times New Roman"/>
          <w:b/>
          <w:sz w:val="26"/>
          <w:szCs w:val="26"/>
        </w:rPr>
        <w:t>«</w:t>
      </w:r>
      <w:r w:rsidRPr="002962FE">
        <w:rPr>
          <w:rStyle w:val="CharStyle8"/>
          <w:rFonts w:ascii="Times New Roman" w:hAnsi="Times New Roman"/>
          <w:b w:val="0"/>
          <w:bCs/>
          <w:sz w:val="26"/>
          <w:szCs w:val="26"/>
        </w:rPr>
        <w:t>Создание условий для эффективного и ответственного управления муниципальными финансами, повышения устойчивости местных бюджетов</w:t>
      </w:r>
      <w:r w:rsidRPr="002962FE">
        <w:rPr>
          <w:rStyle w:val="CharStyle8"/>
          <w:rFonts w:ascii="Times New Roman" w:hAnsi="Times New Roman"/>
          <w:bCs/>
          <w:sz w:val="26"/>
          <w:szCs w:val="26"/>
        </w:rPr>
        <w:t xml:space="preserve"> </w:t>
      </w:r>
      <w:r w:rsidRPr="002962FE">
        <w:rPr>
          <w:rFonts w:ascii="Times New Roman" w:hAnsi="Times New Roman"/>
          <w:sz w:val="26"/>
          <w:szCs w:val="26"/>
        </w:rPr>
        <w:t>Ханты-Мансийского автономного округа – Югры на 2014 - 2020 годы».</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sz w:val="26"/>
          <w:szCs w:val="26"/>
          <w:lang w:eastAsia="ru-RU"/>
        </w:rPr>
        <w:t xml:space="preserve">Участие в государственных программах </w:t>
      </w:r>
      <w:r w:rsidRPr="002962FE">
        <w:rPr>
          <w:rFonts w:ascii="Times New Roman" w:hAnsi="Times New Roman"/>
          <w:sz w:val="26"/>
          <w:szCs w:val="26"/>
        </w:rPr>
        <w:t>Ханты-Мансийского автономного округа</w:t>
      </w:r>
      <w:r w:rsidRPr="002962FE">
        <w:rPr>
          <w:rFonts w:ascii="Times New Roman" w:hAnsi="Times New Roman"/>
          <w:sz w:val="26"/>
          <w:szCs w:val="26"/>
          <w:lang w:eastAsia="ru-RU"/>
        </w:rPr>
        <w:t xml:space="preserve"> - Югры городскому округу город Когалым позволяет привлечь финансовые ресурсы из окружного бюджета и объединить усилия региональных органов власти, органов местного самоуправления и частного сектора экономики для решения проблем социально-экономического развития городского округа. </w:t>
      </w:r>
    </w:p>
    <w:p w:rsidR="004616EA" w:rsidRPr="002962FE" w:rsidRDefault="004616EA" w:rsidP="002962FE">
      <w:pPr>
        <w:autoSpaceDE w:val="0"/>
        <w:autoSpaceDN w:val="0"/>
        <w:adjustRightInd w:val="0"/>
        <w:spacing w:after="0" w:line="240" w:lineRule="auto"/>
        <w:ind w:firstLine="709"/>
        <w:jc w:val="both"/>
        <w:rPr>
          <w:rFonts w:ascii="Times New Roman" w:hAnsi="Times New Roman"/>
          <w:b/>
          <w:i/>
          <w:sz w:val="26"/>
          <w:szCs w:val="26"/>
          <w:lang w:eastAsia="ru-RU"/>
        </w:rPr>
      </w:pPr>
      <w:r w:rsidRPr="002962FE">
        <w:rPr>
          <w:rFonts w:ascii="Times New Roman" w:hAnsi="Times New Roman"/>
          <w:b/>
          <w:i/>
          <w:sz w:val="26"/>
          <w:szCs w:val="26"/>
          <w:lang w:val="en-US" w:eastAsia="ru-RU"/>
        </w:rPr>
        <w:t>III</w:t>
      </w:r>
      <w:r w:rsidRPr="002962FE">
        <w:rPr>
          <w:rFonts w:ascii="Times New Roman" w:hAnsi="Times New Roman"/>
          <w:b/>
          <w:i/>
          <w:sz w:val="26"/>
          <w:szCs w:val="26"/>
          <w:lang w:eastAsia="ru-RU"/>
        </w:rPr>
        <w:t>. Муниципальный уровень</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sz w:val="26"/>
          <w:szCs w:val="26"/>
          <w:lang w:eastAsia="ru-RU"/>
        </w:rPr>
        <w:t xml:space="preserve">Муниципальные программы представляют собой комплекс мероприятий, обеспечивающий эффективное решение проблем образования, здравоохранения, общественной безопасности, жилищного строительства и жилищно-коммунального комплекса, поддержки и развития малого и среднего предпринимательства городского округа. </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sz w:val="26"/>
          <w:szCs w:val="26"/>
          <w:lang w:eastAsia="ru-RU"/>
        </w:rPr>
        <w:t xml:space="preserve">До 1 января 2014 года на территории городского округа осуществлялась реализация долгосрочных целевых программ, которые утратили свое действие в связи со вступлением в силу изменений в статью 179 Бюджетного кодекса Российской Федерации. </w:t>
      </w:r>
      <w:r w:rsidRPr="002962FE">
        <w:rPr>
          <w:rFonts w:ascii="Times New Roman" w:hAnsi="Times New Roman"/>
          <w:sz w:val="26"/>
          <w:szCs w:val="26"/>
        </w:rPr>
        <w:t>Результаты проведенного анализа реализации долгосрочных целевых программ города Когалыма по итогам 2013 года представлены в Приложении В.</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sz w:val="26"/>
          <w:szCs w:val="26"/>
          <w:lang w:eastAsia="ru-RU"/>
        </w:rPr>
        <w:t>Муниципальные программы, реализуемые в настоящее время на территории городского округа, отражают приоритетные направления политики в конкретных сферах деятельности Администрации города Когалыма:</w:t>
      </w:r>
    </w:p>
    <w:p w:rsidR="004616EA" w:rsidRPr="002962FE" w:rsidRDefault="004616EA" w:rsidP="002962FE">
      <w:pPr>
        <w:numPr>
          <w:ilvl w:val="0"/>
          <w:numId w:val="96"/>
        </w:numPr>
        <w:autoSpaceDE w:val="0"/>
        <w:autoSpaceDN w:val="0"/>
        <w:adjustRightInd w:val="0"/>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 xml:space="preserve">развитие сферы жилищного строительства и жилищно-коммунального комплекса; </w:t>
      </w:r>
    </w:p>
    <w:p w:rsidR="004616EA" w:rsidRPr="002962FE" w:rsidRDefault="004616EA" w:rsidP="002962FE">
      <w:pPr>
        <w:numPr>
          <w:ilvl w:val="0"/>
          <w:numId w:val="96"/>
        </w:numPr>
        <w:autoSpaceDE w:val="0"/>
        <w:autoSpaceDN w:val="0"/>
        <w:adjustRightInd w:val="0"/>
        <w:spacing w:after="0" w:line="240" w:lineRule="auto"/>
        <w:ind w:left="0" w:firstLine="709"/>
        <w:jc w:val="both"/>
        <w:rPr>
          <w:rFonts w:ascii="Times New Roman" w:hAnsi="Times New Roman"/>
          <w:sz w:val="26"/>
          <w:szCs w:val="26"/>
        </w:rPr>
      </w:pPr>
      <w:r w:rsidRPr="002962FE">
        <w:rPr>
          <w:rFonts w:ascii="Times New Roman" w:hAnsi="Times New Roman"/>
          <w:sz w:val="26"/>
          <w:szCs w:val="26"/>
        </w:rPr>
        <w:t xml:space="preserve">развитие сферы образования; </w:t>
      </w:r>
    </w:p>
    <w:p w:rsidR="004616EA" w:rsidRPr="002962FE" w:rsidRDefault="004616EA" w:rsidP="002962FE">
      <w:pPr>
        <w:numPr>
          <w:ilvl w:val="0"/>
          <w:numId w:val="96"/>
        </w:numPr>
        <w:autoSpaceDE w:val="0"/>
        <w:autoSpaceDN w:val="0"/>
        <w:adjustRightInd w:val="0"/>
        <w:spacing w:after="0" w:line="240" w:lineRule="auto"/>
        <w:ind w:left="0" w:firstLine="709"/>
        <w:jc w:val="both"/>
        <w:rPr>
          <w:rFonts w:ascii="Times New Roman" w:hAnsi="Times New Roman"/>
          <w:sz w:val="26"/>
          <w:szCs w:val="26"/>
        </w:rPr>
      </w:pPr>
      <w:r w:rsidRPr="002962FE">
        <w:rPr>
          <w:rFonts w:ascii="Times New Roman" w:hAnsi="Times New Roman"/>
          <w:sz w:val="26"/>
          <w:szCs w:val="26"/>
        </w:rPr>
        <w:t>развитие физической культуры и спорта;</w:t>
      </w:r>
    </w:p>
    <w:p w:rsidR="004616EA" w:rsidRPr="002962FE" w:rsidRDefault="004616EA" w:rsidP="002962FE">
      <w:pPr>
        <w:numPr>
          <w:ilvl w:val="0"/>
          <w:numId w:val="96"/>
        </w:numPr>
        <w:autoSpaceDE w:val="0"/>
        <w:autoSpaceDN w:val="0"/>
        <w:adjustRightInd w:val="0"/>
        <w:spacing w:after="0" w:line="240" w:lineRule="auto"/>
        <w:ind w:left="0" w:firstLine="709"/>
        <w:jc w:val="both"/>
        <w:rPr>
          <w:rFonts w:ascii="Times New Roman" w:hAnsi="Times New Roman"/>
          <w:sz w:val="26"/>
          <w:szCs w:val="26"/>
        </w:rPr>
      </w:pPr>
      <w:r w:rsidRPr="002962FE">
        <w:rPr>
          <w:rFonts w:ascii="Times New Roman" w:hAnsi="Times New Roman"/>
          <w:sz w:val="26"/>
          <w:szCs w:val="26"/>
        </w:rPr>
        <w:t>развитие молодёжной политики;</w:t>
      </w:r>
    </w:p>
    <w:p w:rsidR="004616EA" w:rsidRPr="002962FE" w:rsidRDefault="004616EA" w:rsidP="002962FE">
      <w:pPr>
        <w:numPr>
          <w:ilvl w:val="0"/>
          <w:numId w:val="96"/>
        </w:numPr>
        <w:autoSpaceDE w:val="0"/>
        <w:autoSpaceDN w:val="0"/>
        <w:adjustRightInd w:val="0"/>
        <w:spacing w:after="0" w:line="240" w:lineRule="auto"/>
        <w:ind w:left="0" w:firstLine="709"/>
        <w:jc w:val="both"/>
        <w:rPr>
          <w:rFonts w:ascii="Times New Roman" w:hAnsi="Times New Roman"/>
          <w:sz w:val="26"/>
          <w:szCs w:val="26"/>
        </w:rPr>
      </w:pPr>
      <w:r w:rsidRPr="002962FE">
        <w:rPr>
          <w:rFonts w:ascii="Times New Roman" w:hAnsi="Times New Roman"/>
          <w:sz w:val="26"/>
          <w:szCs w:val="26"/>
        </w:rPr>
        <w:t xml:space="preserve">развитие транспортной инфраструктуры; </w:t>
      </w:r>
    </w:p>
    <w:p w:rsidR="004616EA" w:rsidRPr="002962FE" w:rsidRDefault="004616EA" w:rsidP="002962FE">
      <w:pPr>
        <w:numPr>
          <w:ilvl w:val="0"/>
          <w:numId w:val="96"/>
        </w:numPr>
        <w:autoSpaceDE w:val="0"/>
        <w:autoSpaceDN w:val="0"/>
        <w:adjustRightInd w:val="0"/>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rPr>
        <w:t>р</w:t>
      </w:r>
      <w:r w:rsidRPr="002962FE">
        <w:rPr>
          <w:rFonts w:ascii="Times New Roman" w:hAnsi="Times New Roman"/>
          <w:sz w:val="26"/>
          <w:szCs w:val="26"/>
          <w:lang w:eastAsia="ru-RU"/>
        </w:rPr>
        <w:t xml:space="preserve">еализация мер в сфере общественной безопасности; </w:t>
      </w:r>
    </w:p>
    <w:p w:rsidR="004616EA" w:rsidRPr="002962FE" w:rsidRDefault="004616EA" w:rsidP="002962FE">
      <w:pPr>
        <w:numPr>
          <w:ilvl w:val="0"/>
          <w:numId w:val="96"/>
        </w:numPr>
        <w:autoSpaceDE w:val="0"/>
        <w:autoSpaceDN w:val="0"/>
        <w:adjustRightInd w:val="0"/>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развитие агропромышленного комплекса.</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Полный перечень муниципальных программ, реализуемых на территории городского округа город Когалым, представлен в Приложении А.</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Сравнительный анализ запланированных объемов финансирования по муниципальной программе и объемов денежных средств, заложенных в бюджете на реализацию программы, представлены в Приложении Б.</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По результатам проведенного анализа программно-целевого метода управления развитием территории можно сделать следующий вывод: город Когалым характеризуется высоким уровнем и эффективностью бюджетного планирования, а также образцовой финансовой дисциплиной; большая часть программ направлена на поддержку социальной сферы и обеспечение высокого уровня качества жизни населения. </w:t>
      </w:r>
    </w:p>
    <w:p w:rsidR="004616EA" w:rsidRPr="002962FE" w:rsidRDefault="004616EA" w:rsidP="002962FE">
      <w:pPr>
        <w:pStyle w:val="3"/>
        <w:spacing w:line="240" w:lineRule="auto"/>
        <w:ind w:firstLine="709"/>
        <w:rPr>
          <w:sz w:val="26"/>
        </w:rPr>
      </w:pPr>
      <w:bookmarkStart w:id="143" w:name="_Toc387239010"/>
      <w:bookmarkStart w:id="144" w:name="_Toc389051096"/>
      <w:bookmarkStart w:id="145" w:name="_Toc405805515"/>
      <w:r w:rsidRPr="002962FE">
        <w:rPr>
          <w:sz w:val="26"/>
        </w:rPr>
        <w:t>6.2 Возможные ограничения при реализации программ социально-экономического развития</w:t>
      </w:r>
      <w:bookmarkEnd w:id="143"/>
      <w:bookmarkEnd w:id="144"/>
      <w:bookmarkEnd w:id="145"/>
      <w:r w:rsidRPr="002962FE">
        <w:rPr>
          <w:sz w:val="26"/>
        </w:rPr>
        <w:t xml:space="preserve"> </w:t>
      </w:r>
    </w:p>
    <w:p w:rsidR="004616EA" w:rsidRPr="002962FE" w:rsidRDefault="004616EA" w:rsidP="002962FE">
      <w:pPr>
        <w:spacing w:after="0" w:line="240" w:lineRule="auto"/>
        <w:ind w:firstLine="709"/>
        <w:jc w:val="both"/>
        <w:rPr>
          <w:rFonts w:ascii="Times New Roman" w:hAnsi="Times New Roman"/>
          <w:sz w:val="26"/>
          <w:szCs w:val="26"/>
          <w:lang w:eastAsia="ru-RU"/>
        </w:rPr>
      </w:pPr>
      <w:r w:rsidRPr="002962FE">
        <w:rPr>
          <w:rFonts w:ascii="Times New Roman" w:hAnsi="Times New Roman"/>
          <w:sz w:val="26"/>
          <w:szCs w:val="26"/>
          <w:lang w:eastAsia="ru-RU"/>
        </w:rPr>
        <w:t xml:space="preserve">При реализации программ социально-экономического развития города Когалыма и для достижения намеченных целей необходимо учитывать возможные ограничения, которые можно разделить на следующие группы: </w:t>
      </w:r>
    </w:p>
    <w:p w:rsidR="004616EA" w:rsidRPr="002962FE" w:rsidRDefault="004616EA" w:rsidP="002962FE">
      <w:pPr>
        <w:pStyle w:val="a7"/>
        <w:keepNext/>
        <w:keepLines/>
        <w:numPr>
          <w:ilvl w:val="0"/>
          <w:numId w:val="71"/>
        </w:numPr>
        <w:spacing w:after="0" w:line="240" w:lineRule="auto"/>
        <w:ind w:left="0" w:firstLine="709"/>
        <w:contextualSpacing w:val="0"/>
        <w:jc w:val="both"/>
        <w:rPr>
          <w:rFonts w:ascii="Times New Roman" w:hAnsi="Times New Roman"/>
          <w:i/>
          <w:sz w:val="26"/>
          <w:szCs w:val="26"/>
        </w:rPr>
      </w:pPr>
      <w:r w:rsidRPr="002962FE">
        <w:rPr>
          <w:rFonts w:ascii="Times New Roman" w:hAnsi="Times New Roman"/>
          <w:i/>
          <w:sz w:val="26"/>
          <w:szCs w:val="26"/>
        </w:rPr>
        <w:t>природно-ресурсные ограничения:</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нерациональное использование природных ресурсов и отсутствие сохранности окружающей среды;</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суровые климатические условия, предопределяющие высокие издержки производства;</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высокое техногенное воздействие предприятий на окружающую природную среду;</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отсутствие системы комплексного экологического мониторинга (воздух, поверхностные и подземные воды, почвы, растительность).</w:t>
      </w:r>
    </w:p>
    <w:p w:rsidR="004616EA" w:rsidRPr="002962FE" w:rsidRDefault="004616EA" w:rsidP="002962FE">
      <w:pPr>
        <w:pStyle w:val="a7"/>
        <w:numPr>
          <w:ilvl w:val="0"/>
          <w:numId w:val="71"/>
        </w:numPr>
        <w:spacing w:after="0" w:line="240" w:lineRule="auto"/>
        <w:ind w:left="0" w:firstLine="709"/>
        <w:contextualSpacing w:val="0"/>
        <w:jc w:val="both"/>
        <w:rPr>
          <w:rFonts w:ascii="Times New Roman" w:hAnsi="Times New Roman"/>
          <w:sz w:val="26"/>
          <w:szCs w:val="26"/>
        </w:rPr>
      </w:pPr>
      <w:r w:rsidRPr="002962FE">
        <w:rPr>
          <w:rFonts w:ascii="Times New Roman" w:hAnsi="Times New Roman"/>
          <w:i/>
          <w:sz w:val="26"/>
          <w:szCs w:val="26"/>
        </w:rPr>
        <w:t>правовые ограничения:</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 xml:space="preserve">изменения законодательства на федеральном, региональном или местном уровне, препятствующие реализации предусмотренных мероприятий программ социально-экономического развития.  </w:t>
      </w:r>
    </w:p>
    <w:p w:rsidR="004616EA" w:rsidRPr="002962FE" w:rsidRDefault="004616EA" w:rsidP="002962FE">
      <w:pPr>
        <w:pStyle w:val="a7"/>
        <w:numPr>
          <w:ilvl w:val="0"/>
          <w:numId w:val="71"/>
        </w:numPr>
        <w:spacing w:after="0" w:line="240" w:lineRule="auto"/>
        <w:ind w:left="0" w:firstLine="709"/>
        <w:contextualSpacing w:val="0"/>
        <w:jc w:val="both"/>
        <w:rPr>
          <w:rFonts w:ascii="Times New Roman" w:hAnsi="Times New Roman"/>
          <w:i/>
          <w:sz w:val="26"/>
          <w:szCs w:val="26"/>
        </w:rPr>
      </w:pPr>
      <w:r w:rsidRPr="002962FE">
        <w:rPr>
          <w:rFonts w:ascii="Times New Roman" w:hAnsi="Times New Roman"/>
          <w:i/>
          <w:sz w:val="26"/>
          <w:szCs w:val="26"/>
        </w:rPr>
        <w:t>финансовые ограничения:</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постоянно существующая угроза сокращения объемов наполняемости бюджета вследствие кризисных явлений в экономике;</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 xml:space="preserve">нарушение бюджетной дисциплины вышестоящим уровнем власти (поступление финансовых ресурсов из окружного бюджета с опозданием); </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 xml:space="preserve">экономия бюджетных ресурсов; </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перенос сроков реализации проектов на следующий год.</w:t>
      </w:r>
    </w:p>
    <w:p w:rsidR="004616EA" w:rsidRPr="002962FE" w:rsidRDefault="004616EA" w:rsidP="002962FE">
      <w:pPr>
        <w:tabs>
          <w:tab w:val="left" w:pos="10773"/>
          <w:tab w:val="left" w:pos="11567"/>
        </w:tabs>
        <w:spacing w:after="0" w:line="240" w:lineRule="auto"/>
        <w:ind w:firstLine="709"/>
        <w:jc w:val="both"/>
        <w:rPr>
          <w:rFonts w:ascii="Times New Roman" w:hAnsi="Times New Roman"/>
          <w:i/>
          <w:sz w:val="26"/>
          <w:szCs w:val="26"/>
        </w:rPr>
      </w:pPr>
      <w:r w:rsidRPr="002962FE">
        <w:rPr>
          <w:rFonts w:ascii="Times New Roman" w:hAnsi="Times New Roman"/>
          <w:i/>
          <w:sz w:val="26"/>
          <w:szCs w:val="26"/>
        </w:rPr>
        <w:t xml:space="preserve">4. экономические ограничения: </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застойный характер производства и убыточность предприятий реального сектора экономики;</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высокий уровень износа основных фондов;</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кризис банковской системы;</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необоснованный рост стоимости услуг.</w:t>
      </w:r>
    </w:p>
    <w:p w:rsidR="004616EA" w:rsidRPr="002962FE" w:rsidRDefault="004616EA" w:rsidP="002962FE">
      <w:pPr>
        <w:pStyle w:val="a7"/>
        <w:spacing w:after="0" w:line="240" w:lineRule="auto"/>
        <w:ind w:left="0" w:firstLine="709"/>
        <w:contextualSpacing w:val="0"/>
        <w:jc w:val="both"/>
        <w:rPr>
          <w:rFonts w:ascii="Times New Roman" w:hAnsi="Times New Roman"/>
          <w:sz w:val="26"/>
          <w:szCs w:val="26"/>
        </w:rPr>
      </w:pPr>
      <w:r w:rsidRPr="002962FE">
        <w:rPr>
          <w:rFonts w:ascii="Times New Roman" w:hAnsi="Times New Roman"/>
          <w:i/>
          <w:sz w:val="26"/>
          <w:szCs w:val="26"/>
        </w:rPr>
        <w:t>5. трудовые ограничения:</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нехватка квалифицированных кадров;</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отсутствие профессиональной подготовки и переподготовки государственных и муниципальных служащих и специалистов в различных социально-экономических сферах;</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низкая производительность труда;</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неблагоприятная демографическая ситуация;</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 xml:space="preserve">слабая трудовая мотивация работников. </w:t>
      </w:r>
    </w:p>
    <w:p w:rsidR="004616EA" w:rsidRPr="002962FE" w:rsidRDefault="004616EA" w:rsidP="002962FE">
      <w:pPr>
        <w:spacing w:after="0" w:line="240" w:lineRule="auto"/>
        <w:ind w:firstLine="709"/>
        <w:jc w:val="both"/>
        <w:rPr>
          <w:rFonts w:ascii="Times New Roman" w:hAnsi="Times New Roman"/>
          <w:sz w:val="26"/>
          <w:szCs w:val="26"/>
          <w:lang w:eastAsia="ru-RU"/>
        </w:rPr>
      </w:pPr>
      <w:r w:rsidRPr="002962FE">
        <w:rPr>
          <w:rFonts w:ascii="Times New Roman" w:hAnsi="Times New Roman"/>
          <w:sz w:val="26"/>
          <w:szCs w:val="26"/>
          <w:lang w:eastAsia="ru-RU"/>
        </w:rPr>
        <w:t>Главными условиями успешной реализации программ социально-экономического развития города Когалыма являются минимизация указанных ограничений, эффективный мониторинг выполнения намеченных мероприятий, принятие оперативных мер по корректировке приоритетных направлений и показателей программ.</w:t>
      </w:r>
    </w:p>
    <w:p w:rsidR="004616EA" w:rsidRPr="002962FE" w:rsidRDefault="004616EA" w:rsidP="002962FE">
      <w:pPr>
        <w:spacing w:after="0" w:line="240" w:lineRule="auto"/>
        <w:ind w:firstLine="709"/>
        <w:jc w:val="both"/>
        <w:rPr>
          <w:rFonts w:ascii="Times New Roman" w:hAnsi="Times New Roman"/>
          <w:sz w:val="26"/>
          <w:szCs w:val="26"/>
          <w:lang w:eastAsia="ru-RU"/>
        </w:rPr>
      </w:pPr>
    </w:p>
    <w:p w:rsidR="004616EA" w:rsidRPr="002962FE" w:rsidRDefault="004616EA" w:rsidP="002962FE">
      <w:pPr>
        <w:spacing w:after="0" w:line="240" w:lineRule="auto"/>
        <w:ind w:firstLine="709"/>
        <w:jc w:val="both"/>
        <w:rPr>
          <w:rFonts w:ascii="Times New Roman" w:hAnsi="Times New Roman"/>
          <w:sz w:val="26"/>
          <w:szCs w:val="26"/>
          <w:lang w:eastAsia="ru-RU"/>
        </w:rPr>
        <w:sectPr w:rsidR="004616EA" w:rsidRPr="002962FE" w:rsidSect="00F30319">
          <w:pgSz w:w="11906" w:h="16838"/>
          <w:pgMar w:top="1134" w:right="567" w:bottom="1134" w:left="2552" w:header="709" w:footer="709" w:gutter="0"/>
          <w:cols w:space="708"/>
          <w:docGrid w:linePitch="360"/>
        </w:sectPr>
      </w:pPr>
    </w:p>
    <w:p w:rsidR="004616EA" w:rsidRPr="002962FE" w:rsidRDefault="004616EA" w:rsidP="002962FE">
      <w:pPr>
        <w:pStyle w:val="1"/>
        <w:tabs>
          <w:tab w:val="clear" w:pos="851"/>
          <w:tab w:val="left" w:pos="0"/>
        </w:tabs>
        <w:spacing w:before="0" w:after="0"/>
        <w:ind w:firstLine="709"/>
        <w:rPr>
          <w:sz w:val="26"/>
          <w:szCs w:val="26"/>
        </w:rPr>
      </w:pPr>
      <w:bookmarkStart w:id="146" w:name="_Toc369265373"/>
      <w:bookmarkStart w:id="147" w:name="_Toc389051097"/>
      <w:bookmarkStart w:id="148" w:name="_Toc405805516"/>
      <w:bookmarkStart w:id="149" w:name="_Toc389051098"/>
      <w:r w:rsidRPr="002962FE">
        <w:rPr>
          <w:sz w:val="26"/>
          <w:szCs w:val="26"/>
        </w:rPr>
        <w:t xml:space="preserve">7 Сценарии социально-экономического развития </w:t>
      </w:r>
      <w:bookmarkEnd w:id="146"/>
      <w:r w:rsidRPr="002962FE">
        <w:rPr>
          <w:sz w:val="26"/>
          <w:szCs w:val="26"/>
        </w:rPr>
        <w:t>городского округа город когалым до 2020 года и на период до 2030 года</w:t>
      </w:r>
      <w:bookmarkEnd w:id="147"/>
      <w:bookmarkEnd w:id="148"/>
    </w:p>
    <w:p w:rsidR="004616EA" w:rsidRDefault="004616EA" w:rsidP="002962FE">
      <w:pPr>
        <w:pStyle w:val="2"/>
        <w:tabs>
          <w:tab w:val="clear" w:pos="1134"/>
          <w:tab w:val="clear" w:pos="1276"/>
          <w:tab w:val="left" w:pos="0"/>
        </w:tabs>
        <w:spacing w:before="0" w:after="0"/>
        <w:ind w:firstLine="709"/>
        <w:jc w:val="both"/>
        <w:rPr>
          <w:b w:val="0"/>
          <w:sz w:val="26"/>
          <w:szCs w:val="26"/>
        </w:rPr>
      </w:pPr>
      <w:bookmarkStart w:id="150" w:name="_Toc400365264"/>
      <w:bookmarkStart w:id="151" w:name="_Toc400983649"/>
      <w:bookmarkStart w:id="152" w:name="_Toc401048555"/>
      <w:bookmarkStart w:id="153" w:name="_Toc403463468"/>
      <w:bookmarkStart w:id="154" w:name="_Toc405566034"/>
      <w:bookmarkStart w:id="155" w:name="_Toc405805517"/>
    </w:p>
    <w:p w:rsidR="004616EA" w:rsidRPr="002962FE" w:rsidRDefault="004616EA" w:rsidP="002962FE">
      <w:pPr>
        <w:pStyle w:val="2"/>
        <w:tabs>
          <w:tab w:val="clear" w:pos="1134"/>
          <w:tab w:val="clear" w:pos="1276"/>
          <w:tab w:val="left" w:pos="0"/>
        </w:tabs>
        <w:spacing w:before="0" w:after="0"/>
        <w:ind w:firstLine="709"/>
        <w:jc w:val="both"/>
        <w:rPr>
          <w:b w:val="0"/>
          <w:sz w:val="26"/>
          <w:szCs w:val="26"/>
        </w:rPr>
      </w:pPr>
      <w:r w:rsidRPr="002962FE">
        <w:rPr>
          <w:b w:val="0"/>
          <w:sz w:val="26"/>
          <w:szCs w:val="26"/>
        </w:rPr>
        <w:t>Сценарии развития городского округа город Когалым формируются с учетом влияния внутренних и внешних факторов, а также приоритетных направлений развития экономики, заданных в Стратегии социально-экономического развития Ханты-Мансийского автономного округа - Югры до 2020 года и на период до 2030 года, Концепции долгосрочного социально-экономического развития Российской Федерации на период до 2020 года, Прогноза долгосрочного социально-экономического развития Российской Федерации на период до 2030 года.</w:t>
      </w:r>
      <w:bookmarkEnd w:id="150"/>
      <w:bookmarkEnd w:id="151"/>
      <w:bookmarkEnd w:id="152"/>
      <w:bookmarkEnd w:id="153"/>
      <w:bookmarkEnd w:id="154"/>
      <w:bookmarkEnd w:id="155"/>
    </w:p>
    <w:p w:rsidR="004616EA" w:rsidRPr="002962FE" w:rsidRDefault="004616EA" w:rsidP="002962FE">
      <w:pPr>
        <w:pStyle w:val="3"/>
        <w:spacing w:line="240" w:lineRule="auto"/>
        <w:ind w:firstLine="709"/>
        <w:rPr>
          <w:sz w:val="26"/>
        </w:rPr>
      </w:pPr>
      <w:bookmarkStart w:id="156" w:name="_Toc405805518"/>
      <w:bookmarkEnd w:id="149"/>
      <w:r w:rsidRPr="002962FE">
        <w:rPr>
          <w:sz w:val="26"/>
        </w:rPr>
        <w:t>7.1 Инерционный сценарий</w:t>
      </w:r>
      <w:bookmarkEnd w:id="156"/>
    </w:p>
    <w:p w:rsidR="004616EA" w:rsidRPr="002962FE" w:rsidRDefault="004616EA" w:rsidP="002962FE">
      <w:pPr>
        <w:spacing w:after="0" w:line="240" w:lineRule="auto"/>
        <w:ind w:firstLine="709"/>
        <w:jc w:val="both"/>
        <w:rPr>
          <w:rFonts w:ascii="Times New Roman" w:hAnsi="Times New Roman"/>
          <w:sz w:val="26"/>
          <w:szCs w:val="26"/>
        </w:rPr>
      </w:pPr>
      <w:r w:rsidRPr="002962FE">
        <w:rPr>
          <w:rStyle w:val="aff4"/>
          <w:rFonts w:ascii="Times New Roman" w:hAnsi="Times New Roman"/>
          <w:b w:val="0"/>
          <w:bCs/>
          <w:sz w:val="26"/>
          <w:szCs w:val="26"/>
        </w:rPr>
        <w:t xml:space="preserve">Инерционный сценарий предусматривает сохранение доминирующей роли в экономике за нефтегазовым сектором. При данном варианте развития для </w:t>
      </w:r>
      <w:r w:rsidRPr="002962FE">
        <w:rPr>
          <w:rFonts w:ascii="Times New Roman" w:hAnsi="Times New Roman"/>
          <w:sz w:val="26"/>
          <w:szCs w:val="26"/>
        </w:rPr>
        <w:t>городского округа</w:t>
      </w:r>
      <w:r w:rsidRPr="002962FE">
        <w:rPr>
          <w:rStyle w:val="aff4"/>
          <w:rFonts w:ascii="Times New Roman" w:hAnsi="Times New Roman"/>
          <w:b w:val="0"/>
          <w:bCs/>
          <w:sz w:val="26"/>
          <w:szCs w:val="26"/>
        </w:rPr>
        <w:t xml:space="preserve"> характерна </w:t>
      </w:r>
      <w:r w:rsidRPr="002962FE">
        <w:rPr>
          <w:rFonts w:ascii="Times New Roman" w:hAnsi="Times New Roman"/>
          <w:sz w:val="26"/>
          <w:szCs w:val="26"/>
        </w:rPr>
        <w:t>экспортно-сырьевая модель экономического развития с замедлением добычи и экспорта углеводородов (</w:t>
      </w:r>
      <w:r w:rsidRPr="002962FE">
        <w:rPr>
          <w:rStyle w:val="aff4"/>
          <w:rFonts w:ascii="Times New Roman" w:hAnsi="Times New Roman"/>
          <w:b w:val="0"/>
          <w:bCs/>
          <w:sz w:val="26"/>
          <w:szCs w:val="26"/>
        </w:rPr>
        <w:t>связанного с истощением ресурсов основных месторождений, разработку которых ведут компании, находящиеся на территории городского округа</w:t>
      </w:r>
      <w:r w:rsidRPr="002962FE">
        <w:rPr>
          <w:rFonts w:ascii="Times New Roman" w:hAnsi="Times New Roman"/>
          <w:sz w:val="26"/>
          <w:szCs w:val="26"/>
        </w:rPr>
        <w:t>), снижением конкурентоспособности производимой продукции, невысокими объемами обрабатывающих производств и ростом зависимости от импорта товаров и технологий.</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Недоинвестирование альтернативных нефтегазодобыче отраслей экономики скажется на финансово-экономическом состоянии хозяйствующих субъектов и, следовательно, на занятости населения и отчислениях в бюджет городского округа. В результате реализации инерционного сценария постепенно будет ослабевать динамика роста собственных доходов местного бюджета, так как не будет сопровождаться активной позицией бизнеса в повышении конкурентоспособности компаний, их способности эффективно продвигать свою продукцию и расширять рынки сбыта. Это, в свою очередь, спровоцирует снижение динамики бюджетных инвестиций в экономику и социальную сферу.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Темп развития малого и среднего бизнеса зафиксируется на достигнутом уровне. Основными видами деятельности для малого предпринимательства останутся торговля, транспорт и связь, операции с недвижимым имуществом.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Зависимость социально-экономической ситуации в городском округе от внешних факторов будет усиливаться. Иными словами, при однозначном доминировании нефтегазового сектора, мировая конъюнктура цен на углеводороды будет являться определяющим фактором внутригородской экономической и социальной стабильности.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При инерционном сценарии капиталовложения будут направляться лишь на поддержание существующих производственных мощностей без реализации крупных проектов, связанных с реконструкцией и модернизацией.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При развитии городского округа по данному сценарию предполагается рост численности населения, который в основном будет обеспечен за счет естественного прироста населения. Миграционный прирост будет характеризоваться как нестабильный. В возрастной структуре населения произойдут изменения в части значительного увеличения доли лиц старше трудоспособного возраста.</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Инерционный сценарий предусматривает сохранение сложившейся структуры экономики и динамики социально-экономического развития, реализацию действующих или уже начатых инфраструктурных проектов. Он не содержит активных действий по ускорению институциональных преобразований, содействующих повышению конкурентоспособности экономики городского округа. Инвестиционная привлекательность, демографическая ситуация, устойчивая работа остальных секторов экономики, в том числе малого и среднего бизнеса, будут находиться в прямой зависимости от градообразующей отрасли.</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При реализации инерционного сценария концентрация экономической и инвестиционной активности будет нарастать в городах-конкурентах и соседнем городе Сургуте. Наиболее высокие темпы развития города Сургута увеличат существующие разрывы в показателях уровня жизни населения, тем самым создавая условия для миграции населения из города Когалыма.</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Данный сценарий обеспечит сопоставимые со среднероссийскими темпы экономического роста, но не позволит достичь среднерегиональных темпов развития экономики.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Таким образом, инерционный сценарий предполагает:</w:t>
      </w:r>
    </w:p>
    <w:p w:rsidR="004616EA" w:rsidRPr="002962FE" w:rsidRDefault="004616EA" w:rsidP="002962FE">
      <w:pPr>
        <w:pStyle w:val="af6"/>
        <w:numPr>
          <w:ilvl w:val="0"/>
          <w:numId w:val="84"/>
        </w:numPr>
        <w:tabs>
          <w:tab w:val="left" w:pos="993"/>
        </w:tabs>
        <w:spacing w:after="0"/>
        <w:ind w:left="0" w:firstLine="709"/>
        <w:jc w:val="both"/>
      </w:pPr>
      <w:r w:rsidRPr="002962FE">
        <w:t>дальнейшее усиление монопрофильности экономики;</w:t>
      </w:r>
    </w:p>
    <w:p w:rsidR="004616EA" w:rsidRPr="002962FE" w:rsidRDefault="004616EA" w:rsidP="002962FE">
      <w:pPr>
        <w:pStyle w:val="af6"/>
        <w:numPr>
          <w:ilvl w:val="0"/>
          <w:numId w:val="84"/>
        </w:numPr>
        <w:tabs>
          <w:tab w:val="left" w:pos="993"/>
        </w:tabs>
        <w:spacing w:after="0"/>
        <w:ind w:left="0" w:firstLine="709"/>
        <w:jc w:val="both"/>
      </w:pPr>
      <w:r w:rsidRPr="002962FE">
        <w:t>отсутствие новых масштабных проектов, в том числе и в градообразующем секторе экономики;</w:t>
      </w:r>
    </w:p>
    <w:p w:rsidR="004616EA" w:rsidRPr="002962FE" w:rsidRDefault="004616EA" w:rsidP="002962FE">
      <w:pPr>
        <w:pStyle w:val="af6"/>
        <w:numPr>
          <w:ilvl w:val="0"/>
          <w:numId w:val="84"/>
        </w:numPr>
        <w:tabs>
          <w:tab w:val="left" w:pos="993"/>
        </w:tabs>
        <w:spacing w:after="0"/>
        <w:ind w:left="0" w:firstLine="709"/>
        <w:jc w:val="both"/>
      </w:pPr>
      <w:r w:rsidRPr="002962FE">
        <w:t>умеренную или низкую инвестиционную активность хозяйствующих субъектов;</w:t>
      </w:r>
    </w:p>
    <w:p w:rsidR="004616EA" w:rsidRPr="002962FE" w:rsidRDefault="004616EA" w:rsidP="002962FE">
      <w:pPr>
        <w:pStyle w:val="af6"/>
        <w:numPr>
          <w:ilvl w:val="0"/>
          <w:numId w:val="84"/>
        </w:numPr>
        <w:tabs>
          <w:tab w:val="left" w:pos="993"/>
        </w:tabs>
        <w:spacing w:after="0"/>
        <w:ind w:left="0" w:firstLine="709"/>
        <w:jc w:val="both"/>
      </w:pPr>
      <w:r w:rsidRPr="002962FE">
        <w:t>преобладание инвестиционной активности в нефтегазовом секторе;</w:t>
      </w:r>
    </w:p>
    <w:p w:rsidR="004616EA" w:rsidRPr="002962FE" w:rsidRDefault="004616EA" w:rsidP="002962FE">
      <w:pPr>
        <w:pStyle w:val="af6"/>
        <w:numPr>
          <w:ilvl w:val="0"/>
          <w:numId w:val="84"/>
        </w:numPr>
        <w:tabs>
          <w:tab w:val="left" w:pos="993"/>
        </w:tabs>
        <w:spacing w:after="0"/>
        <w:ind w:left="0" w:firstLine="709"/>
        <w:jc w:val="both"/>
      </w:pPr>
      <w:r w:rsidRPr="002962FE">
        <w:t>недостаточные объемы финансирования социальной сферы;</w:t>
      </w:r>
    </w:p>
    <w:p w:rsidR="004616EA" w:rsidRPr="002962FE" w:rsidRDefault="004616EA" w:rsidP="002962FE">
      <w:pPr>
        <w:pStyle w:val="af6"/>
        <w:numPr>
          <w:ilvl w:val="0"/>
          <w:numId w:val="84"/>
        </w:numPr>
        <w:tabs>
          <w:tab w:val="left" w:pos="993"/>
        </w:tabs>
        <w:spacing w:after="0"/>
        <w:ind w:left="0" w:firstLine="709"/>
        <w:jc w:val="both"/>
      </w:pPr>
      <w:r w:rsidRPr="002962FE">
        <w:t>неразвитость малых и средних предприятий в реальном секторе экономики;</w:t>
      </w:r>
    </w:p>
    <w:p w:rsidR="004616EA" w:rsidRPr="002962FE" w:rsidRDefault="004616EA" w:rsidP="002962FE">
      <w:pPr>
        <w:pStyle w:val="af6"/>
        <w:numPr>
          <w:ilvl w:val="0"/>
          <w:numId w:val="84"/>
        </w:numPr>
        <w:tabs>
          <w:tab w:val="left" w:pos="993"/>
        </w:tabs>
        <w:spacing w:after="0"/>
        <w:ind w:left="0" w:firstLine="709"/>
        <w:jc w:val="both"/>
      </w:pPr>
      <w:r w:rsidRPr="002962FE">
        <w:t>рост численности населения, основывающийся в основном на сохранении высокого уровня рождаемости при относительно низком уровне смертности;</w:t>
      </w:r>
    </w:p>
    <w:p w:rsidR="004616EA" w:rsidRPr="002962FE" w:rsidRDefault="004616EA" w:rsidP="002962FE">
      <w:pPr>
        <w:pStyle w:val="af6"/>
        <w:numPr>
          <w:ilvl w:val="0"/>
          <w:numId w:val="84"/>
        </w:numPr>
        <w:tabs>
          <w:tab w:val="left" w:pos="993"/>
        </w:tabs>
        <w:spacing w:after="0"/>
        <w:ind w:left="0" w:firstLine="709"/>
        <w:jc w:val="both"/>
      </w:pPr>
      <w:r w:rsidRPr="002962FE">
        <w:t>сохранение нестабильности миграционных процессов;</w:t>
      </w:r>
    </w:p>
    <w:p w:rsidR="004616EA" w:rsidRPr="002962FE" w:rsidRDefault="004616EA" w:rsidP="002962FE">
      <w:pPr>
        <w:pStyle w:val="af6"/>
        <w:numPr>
          <w:ilvl w:val="0"/>
          <w:numId w:val="84"/>
        </w:numPr>
        <w:tabs>
          <w:tab w:val="left" w:pos="993"/>
        </w:tabs>
        <w:spacing w:after="0"/>
        <w:ind w:left="0" w:firstLine="709"/>
        <w:jc w:val="both"/>
      </w:pPr>
      <w:r w:rsidRPr="002962FE">
        <w:t>дефицит высокоспециализированных кадров по отдельным специальностям;</w:t>
      </w:r>
    </w:p>
    <w:p w:rsidR="004616EA" w:rsidRPr="002962FE" w:rsidRDefault="004616EA" w:rsidP="002962FE">
      <w:pPr>
        <w:pStyle w:val="af6"/>
        <w:numPr>
          <w:ilvl w:val="0"/>
          <w:numId w:val="84"/>
        </w:numPr>
        <w:tabs>
          <w:tab w:val="left" w:pos="993"/>
        </w:tabs>
        <w:spacing w:after="0"/>
        <w:ind w:left="0" w:firstLine="709"/>
        <w:jc w:val="both"/>
      </w:pPr>
      <w:r w:rsidRPr="002962FE">
        <w:t>усиление профессионально-квалификационного несоответствия спроса и предложения рабочей силы.</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Предполагаемыми инвестиционными проектами в условиях инерционного сценария останутся:</w:t>
      </w:r>
    </w:p>
    <w:p w:rsidR="004616EA" w:rsidRPr="002962FE" w:rsidRDefault="004616EA" w:rsidP="002962FE">
      <w:pPr>
        <w:pStyle w:val="af6"/>
        <w:numPr>
          <w:ilvl w:val="0"/>
          <w:numId w:val="84"/>
        </w:numPr>
        <w:tabs>
          <w:tab w:val="left" w:pos="993"/>
        </w:tabs>
        <w:spacing w:after="0"/>
        <w:ind w:left="0" w:firstLine="709"/>
        <w:jc w:val="both"/>
      </w:pPr>
      <w:r w:rsidRPr="002962FE">
        <w:t>имеющиеся проекты, связанные с добычей и обслуживанием нефтяных месторождений;</w:t>
      </w:r>
    </w:p>
    <w:p w:rsidR="004616EA" w:rsidRPr="002962FE" w:rsidRDefault="004616EA" w:rsidP="002962FE">
      <w:pPr>
        <w:pStyle w:val="af6"/>
        <w:numPr>
          <w:ilvl w:val="0"/>
          <w:numId w:val="84"/>
        </w:numPr>
        <w:tabs>
          <w:tab w:val="left" w:pos="993"/>
        </w:tabs>
        <w:spacing w:after="0"/>
        <w:ind w:left="0" w:firstLine="709"/>
        <w:jc w:val="both"/>
      </w:pPr>
      <w:r w:rsidRPr="002962FE">
        <w:t>экстренная модернизация транспортной, энергетической и коммунально-бытовой инфраструктуры;</w:t>
      </w:r>
    </w:p>
    <w:p w:rsidR="004616EA" w:rsidRPr="002962FE" w:rsidRDefault="004616EA" w:rsidP="002962FE">
      <w:pPr>
        <w:pStyle w:val="af6"/>
        <w:numPr>
          <w:ilvl w:val="0"/>
          <w:numId w:val="84"/>
        </w:numPr>
        <w:tabs>
          <w:tab w:val="left" w:pos="993"/>
        </w:tabs>
        <w:spacing w:after="0"/>
        <w:ind w:left="0" w:firstLine="709"/>
        <w:jc w:val="both"/>
      </w:pPr>
      <w:r w:rsidRPr="002962FE">
        <w:t>инвестиционные проекты в социальном комплексе за счет средств вышестоящих бюджетов.</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Прогнозные показатели инерционного сценария развития представлены в таблице в приложении Г.</w:t>
      </w:r>
    </w:p>
    <w:p w:rsidR="004616EA" w:rsidRPr="002962FE" w:rsidRDefault="004616EA" w:rsidP="002962FE">
      <w:pPr>
        <w:pStyle w:val="3"/>
        <w:spacing w:line="240" w:lineRule="auto"/>
        <w:ind w:firstLine="709"/>
        <w:rPr>
          <w:sz w:val="26"/>
        </w:rPr>
      </w:pPr>
      <w:bookmarkStart w:id="157" w:name="_Toc405805519"/>
      <w:bookmarkStart w:id="158" w:name="_Toc369265376"/>
      <w:r w:rsidRPr="002962FE">
        <w:rPr>
          <w:sz w:val="26"/>
        </w:rPr>
        <w:t>7.2 Инвестиционный сценарий</w:t>
      </w:r>
      <w:bookmarkEnd w:id="157"/>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Инвестиционный сценарий предполагает эволюцию всех сфер жизнедеятельности городского округа для формирования позитивных трендов опережающего роста его конкурентоспособности и привлекательности по сравнению с другими сопоставимыми по масштабам городами Ханты-Мансийского автономного округа – Югры.</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Данный сценарий учитывает сохранение специализации городского округа в основных существующих направлениях экономики. Сценарий ориентирован на усиление позиций предприятий города Когалыма в региональных кластерах.</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Большое значение в рамках реализации инвестиционного сценария принадлежит улучшению качества жизни населения, поскольку население – один из ключевых факторов эффективного развития экономики городского округа. Динамичное развитие потребует повышения качества образования, здравоохранения, культуры и спорта, а также жилищных условий, обеспечивающих значительное повышение стандартов жизни населения. Создание новых высокооплачиваемых рабочих мест в различных отраслях экономики будет способствовать сокращению уровня безработицы и повышению уровня благосостояния населения.</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Особое значение в социальной сфере приобретет развитие профессионального образования, которое является неотъемлемой частью качественного развития и повышения конкурентоспособности территории. В настоящее время потребности населения городского округа в профессиональном образовании во многом удовлетворяются за счет учебных заведений, расположенных в городе Сургуте. Однако развитие новых для городского округа видов деятельности потребует значительного количества квалифицированных кадров управленческих и рабочих специальностей, что, возможно, оправдает расширение набора специальностей в профессиональных образовательных организациях городского округа.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В основе реализации инвестиционного сценария лежит реструктуризация и кластеризация нефтегазовой отрасли, которые позволят «запустить» качественно новое развитие городских индустрий, прежде всего, нефтегазовой отрасли. При этом развитие должно затронуть не столько нефтегазодобычу, сколько сектор нефтесервисных услуг (нефтеразведка и бурение, наладка и ремонт машин и оборудования, отраслевые научно-исследовательские и образовательные услуги, логистика и </w:t>
      </w:r>
      <w:r w:rsidRPr="002962FE">
        <w:rPr>
          <w:rFonts w:ascii="Times New Roman" w:hAnsi="Times New Roman"/>
          <w:sz w:val="26"/>
          <w:szCs w:val="26"/>
          <w:lang w:val="en-US"/>
        </w:rPr>
        <w:t>IT</w:t>
      </w:r>
      <w:r w:rsidRPr="002962FE">
        <w:rPr>
          <w:rFonts w:ascii="Times New Roman" w:hAnsi="Times New Roman"/>
          <w:sz w:val="26"/>
          <w:szCs w:val="26"/>
        </w:rPr>
        <w:t>) и нефтепереработку. Это обеспечит дальнейшее развитие нефтегазодобывающего микро-кластера и усиление позиций городского округа в региональном нефтегазодобывающем кластере, что позволит наладить взаимодействие с участниками кластера, развивать партнерские отношения, повышать конкурентоспособность производимой продукции и выходить на новые рынки сбыта.</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Инвестиционный сценарий предусматривает усиление позиций города Когалыма в промышленности строительных материалов, пищевой промышленности и сельском хозяйстве. Все это приведет к росту доли обрабатывающей промышленности в экономике городского округа и, как следствие, к росту доли продукции с повышенной добавленной стоимостью. Развитие новых отраслей позволит диверсифицировать экономику городского округа.</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Диверсификация экономики, развитие сферы социального обслуживания и услуг приведут к росту числа мест приложения труда. Кроме того, на создание новых мест приложения труда повлияет развитие малого и среднего предпринимательства, которое важно использовать при создании современной индустрии. Все это благоприятно отразится на миграционных процессах, уровне безработицы и благосостоянии населения, что в свою очередь повлияет на рост численности населения.</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Развитие непрофильных отраслей экономики города Когалыма, увеличение числа занятых окажет положительный бюджетный эффект. Например, увеличатся налоговые доходы бюджета, источники бюджетных поступлений будут отличаться разнообразием, что в перспективе позволит повысить финансовую самостоятельность городского округа. Бюджетная политика в области расходов сохранит социальную направленность с одновременным увеличением инвестиций муниципалитета в реальный сектор экономики.</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Эффективность и динамика экономического развития городского округа во многом будет зависеть от модернизации и опережающего развития инфраструктурного комплекса – транспортной и инженерной инфраструктуры. Реализация инвестиционного сценария предполагает реконструкцию и строительство новых объектов внутригородского дорожного хозяйства, </w:t>
      </w:r>
      <w:r w:rsidRPr="002962FE">
        <w:rPr>
          <w:rFonts w:ascii="Times New Roman" w:hAnsi="Times New Roman"/>
          <w:bCs/>
          <w:kern w:val="24"/>
          <w:sz w:val="26"/>
          <w:szCs w:val="26"/>
        </w:rPr>
        <w:t>электроподстанций и распределительных сетей</w:t>
      </w:r>
      <w:r w:rsidRPr="002962FE">
        <w:rPr>
          <w:rFonts w:ascii="Times New Roman" w:hAnsi="Times New Roman"/>
          <w:sz w:val="26"/>
          <w:szCs w:val="26"/>
        </w:rPr>
        <w:t>, водо-, теплоснабжения.</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Важным направлением социально-экономического развития городского округа в рамках инвестиционного сценария станет создание благоприятной городской среды. Город Когалым должен быть для своих жителей максимально безопасным, комфортным и интересным для жизни и отдыха, что предполагает реализацию ряда проектов по комплексному благоустройству городского округа, строительству жилья и новых объектов досуга, развитию событийной экономики. Дальнейшее развитие культурного потенциала возможно на базе имеющихся учреждений и организаций сферы культуры, сложившегося музейного комплекса. При данном варианте планируется строительство крупного торгово-развлекательного комплекса, офисного центра, велотрека.</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Пространственное развитие города Когалыма продолжит развиваться, достигнет оптимального баланса размещения функциональных зон по отношению друг к другу и позволит организовать наиболее комфортную и благоприятную среду для жизни людей. В основу пространственного развития положено дальнейшее расширение и развитие функций городского округа как крупного промышленного и социально-культурного центра Ханты-Мансийского автономного округа – Югры.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Таким образом, инвестиционный сценарий предполагает:</w:t>
      </w:r>
    </w:p>
    <w:p w:rsidR="004616EA" w:rsidRPr="002962FE" w:rsidRDefault="004616EA" w:rsidP="002962FE">
      <w:pPr>
        <w:pStyle w:val="af6"/>
        <w:numPr>
          <w:ilvl w:val="0"/>
          <w:numId w:val="85"/>
        </w:numPr>
        <w:tabs>
          <w:tab w:val="left" w:pos="993"/>
        </w:tabs>
        <w:spacing w:after="0"/>
        <w:ind w:left="0" w:firstLine="709"/>
        <w:jc w:val="both"/>
      </w:pPr>
      <w:r w:rsidRPr="002962FE">
        <w:t>снижение зависимости социально-экономического положения городского округа от градообразующей отрасли;</w:t>
      </w:r>
    </w:p>
    <w:p w:rsidR="004616EA" w:rsidRPr="002962FE" w:rsidRDefault="004616EA" w:rsidP="002962FE">
      <w:pPr>
        <w:pStyle w:val="af6"/>
        <w:numPr>
          <w:ilvl w:val="0"/>
          <w:numId w:val="85"/>
        </w:numPr>
        <w:tabs>
          <w:tab w:val="left" w:pos="993"/>
        </w:tabs>
        <w:spacing w:after="0"/>
        <w:ind w:left="0" w:firstLine="709"/>
        <w:jc w:val="both"/>
      </w:pPr>
      <w:r w:rsidRPr="002962FE">
        <w:t>эффективную кластеризацию нефтегазовой отрасли как основы экономического развития;</w:t>
      </w:r>
    </w:p>
    <w:p w:rsidR="004616EA" w:rsidRPr="002962FE" w:rsidRDefault="004616EA" w:rsidP="002962FE">
      <w:pPr>
        <w:pStyle w:val="af6"/>
        <w:numPr>
          <w:ilvl w:val="0"/>
          <w:numId w:val="85"/>
        </w:numPr>
        <w:tabs>
          <w:tab w:val="left" w:pos="993"/>
        </w:tabs>
        <w:spacing w:after="0"/>
        <w:ind w:left="0" w:firstLine="709"/>
        <w:jc w:val="both"/>
      </w:pPr>
      <w:r w:rsidRPr="002962FE">
        <w:t>усиление конкурентоспособности городского округа;</w:t>
      </w:r>
    </w:p>
    <w:p w:rsidR="004616EA" w:rsidRPr="002962FE" w:rsidRDefault="004616EA" w:rsidP="002962FE">
      <w:pPr>
        <w:pStyle w:val="af6"/>
        <w:numPr>
          <w:ilvl w:val="0"/>
          <w:numId w:val="85"/>
        </w:numPr>
        <w:tabs>
          <w:tab w:val="left" w:pos="426"/>
          <w:tab w:val="left" w:pos="993"/>
        </w:tabs>
        <w:spacing w:after="0"/>
        <w:ind w:left="0" w:firstLine="709"/>
        <w:jc w:val="both"/>
      </w:pPr>
      <w:r w:rsidRPr="002962FE">
        <w:t>внедрение ресурсосберегающих технологий;</w:t>
      </w:r>
    </w:p>
    <w:p w:rsidR="004616EA" w:rsidRPr="002962FE" w:rsidRDefault="004616EA" w:rsidP="002962FE">
      <w:pPr>
        <w:pStyle w:val="af6"/>
        <w:numPr>
          <w:ilvl w:val="0"/>
          <w:numId w:val="85"/>
        </w:numPr>
        <w:tabs>
          <w:tab w:val="left" w:pos="993"/>
        </w:tabs>
        <w:spacing w:after="0"/>
        <w:ind w:left="0" w:firstLine="709"/>
        <w:jc w:val="both"/>
      </w:pPr>
      <w:r w:rsidRPr="002962FE">
        <w:t>устойчивое развитие малого и среднего бизнеса, в т.ч. в реальном секторе экономики;</w:t>
      </w:r>
    </w:p>
    <w:p w:rsidR="004616EA" w:rsidRPr="002962FE" w:rsidRDefault="004616EA" w:rsidP="002962FE">
      <w:pPr>
        <w:pStyle w:val="af6"/>
        <w:numPr>
          <w:ilvl w:val="0"/>
          <w:numId w:val="85"/>
        </w:numPr>
        <w:tabs>
          <w:tab w:val="left" w:pos="993"/>
        </w:tabs>
        <w:spacing w:after="0"/>
        <w:ind w:left="0" w:firstLine="709"/>
        <w:jc w:val="both"/>
      </w:pPr>
      <w:r w:rsidRPr="002962FE">
        <w:t>осуществление новых масштабных проектов как в градообразующем секторе, так и в альтернативных отраслях экономики, инфраструктурном и социальном комплексе;</w:t>
      </w:r>
    </w:p>
    <w:p w:rsidR="004616EA" w:rsidRPr="002962FE" w:rsidRDefault="004616EA" w:rsidP="002962FE">
      <w:pPr>
        <w:pStyle w:val="af6"/>
        <w:numPr>
          <w:ilvl w:val="0"/>
          <w:numId w:val="85"/>
        </w:numPr>
        <w:tabs>
          <w:tab w:val="left" w:pos="993"/>
        </w:tabs>
        <w:spacing w:after="0"/>
        <w:ind w:left="0" w:firstLine="709"/>
        <w:jc w:val="both"/>
      </w:pPr>
      <w:r w:rsidRPr="002962FE">
        <w:t>снижение рисков и издержек в энергообеспечении;</w:t>
      </w:r>
    </w:p>
    <w:p w:rsidR="004616EA" w:rsidRPr="002962FE" w:rsidRDefault="004616EA" w:rsidP="002962FE">
      <w:pPr>
        <w:pStyle w:val="af6"/>
        <w:numPr>
          <w:ilvl w:val="0"/>
          <w:numId w:val="85"/>
        </w:numPr>
        <w:tabs>
          <w:tab w:val="left" w:pos="993"/>
        </w:tabs>
        <w:spacing w:after="0"/>
        <w:ind w:left="0" w:firstLine="709"/>
        <w:jc w:val="both"/>
      </w:pPr>
      <w:r w:rsidRPr="002962FE">
        <w:t>рост общей численности населения;</w:t>
      </w:r>
    </w:p>
    <w:p w:rsidR="004616EA" w:rsidRPr="002962FE" w:rsidRDefault="004616EA" w:rsidP="002962FE">
      <w:pPr>
        <w:pStyle w:val="af6"/>
        <w:numPr>
          <w:ilvl w:val="0"/>
          <w:numId w:val="85"/>
        </w:numPr>
        <w:tabs>
          <w:tab w:val="left" w:pos="993"/>
        </w:tabs>
        <w:spacing w:after="0"/>
        <w:ind w:left="0" w:firstLine="709"/>
        <w:jc w:val="both"/>
      </w:pPr>
      <w:r w:rsidRPr="002962FE">
        <w:t>миграционный приток населения;</w:t>
      </w:r>
    </w:p>
    <w:p w:rsidR="004616EA" w:rsidRPr="002962FE" w:rsidRDefault="004616EA" w:rsidP="002962FE">
      <w:pPr>
        <w:pStyle w:val="af6"/>
        <w:numPr>
          <w:ilvl w:val="0"/>
          <w:numId w:val="85"/>
        </w:numPr>
        <w:tabs>
          <w:tab w:val="left" w:pos="426"/>
          <w:tab w:val="left" w:pos="993"/>
        </w:tabs>
        <w:spacing w:after="0"/>
        <w:ind w:left="0" w:firstLine="709"/>
        <w:jc w:val="both"/>
      </w:pPr>
      <w:r w:rsidRPr="002962FE">
        <w:t>обеспечение предприятий квалифицированными кадрами;</w:t>
      </w:r>
    </w:p>
    <w:p w:rsidR="004616EA" w:rsidRPr="002962FE" w:rsidRDefault="004616EA" w:rsidP="002962FE">
      <w:pPr>
        <w:pStyle w:val="af6"/>
        <w:numPr>
          <w:ilvl w:val="0"/>
          <w:numId w:val="85"/>
        </w:numPr>
        <w:tabs>
          <w:tab w:val="left" w:pos="426"/>
          <w:tab w:val="left" w:pos="993"/>
        </w:tabs>
        <w:spacing w:after="0"/>
        <w:ind w:left="0" w:firstLine="709"/>
        <w:jc w:val="both"/>
      </w:pPr>
      <w:r w:rsidRPr="002962FE">
        <w:t>создание результативных схем экономического управления муниципальными активами, земельными отношениями и бюджетными ассигнованиями, и инвестициями;</w:t>
      </w:r>
    </w:p>
    <w:p w:rsidR="004616EA" w:rsidRPr="002962FE" w:rsidRDefault="004616EA" w:rsidP="002962FE">
      <w:pPr>
        <w:pStyle w:val="af6"/>
        <w:numPr>
          <w:ilvl w:val="0"/>
          <w:numId w:val="85"/>
        </w:numPr>
        <w:tabs>
          <w:tab w:val="left" w:pos="426"/>
          <w:tab w:val="left" w:pos="993"/>
        </w:tabs>
        <w:spacing w:after="0"/>
        <w:ind w:left="0" w:firstLine="709"/>
        <w:jc w:val="both"/>
      </w:pPr>
      <w:r w:rsidRPr="002962FE">
        <w:t>привлечение инвестиций в экономику городского округа, в том числе использование с данной целью механизмов муниципально-частного или государственно-частного партнерства;</w:t>
      </w:r>
    </w:p>
    <w:p w:rsidR="004616EA" w:rsidRPr="002962FE" w:rsidRDefault="004616EA" w:rsidP="002962FE">
      <w:pPr>
        <w:pStyle w:val="af6"/>
        <w:numPr>
          <w:ilvl w:val="0"/>
          <w:numId w:val="85"/>
        </w:numPr>
        <w:tabs>
          <w:tab w:val="left" w:pos="426"/>
          <w:tab w:val="left" w:pos="993"/>
        </w:tabs>
        <w:spacing w:after="0"/>
        <w:ind w:left="0" w:firstLine="709"/>
        <w:jc w:val="both"/>
      </w:pPr>
      <w:r w:rsidRPr="002962FE">
        <w:t>ориентирование организационной структуры на стратегические цели и перспективы, внедрение стратегического контроля.</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Предполагаемыми инвестиционными проектами в условиях данного сценария станут:</w:t>
      </w:r>
    </w:p>
    <w:p w:rsidR="004616EA" w:rsidRPr="002962FE" w:rsidRDefault="004616EA" w:rsidP="002962FE">
      <w:pPr>
        <w:pStyle w:val="af6"/>
        <w:numPr>
          <w:ilvl w:val="0"/>
          <w:numId w:val="85"/>
        </w:numPr>
        <w:tabs>
          <w:tab w:val="left" w:pos="993"/>
        </w:tabs>
        <w:spacing w:after="0"/>
        <w:ind w:left="0" w:firstLine="709"/>
        <w:jc w:val="both"/>
      </w:pPr>
      <w:r w:rsidRPr="002962FE">
        <w:t>реализация проектов в нефтеперерабатывающей сфере, в том числе увеличение мощностей нефтеперерабатывающего завода;</w:t>
      </w:r>
    </w:p>
    <w:p w:rsidR="004616EA" w:rsidRPr="002962FE" w:rsidRDefault="004616EA" w:rsidP="002962FE">
      <w:pPr>
        <w:pStyle w:val="af6"/>
        <w:numPr>
          <w:ilvl w:val="0"/>
          <w:numId w:val="85"/>
        </w:numPr>
        <w:tabs>
          <w:tab w:val="left" w:pos="993"/>
        </w:tabs>
        <w:spacing w:after="0"/>
        <w:ind w:left="0" w:firstLine="709"/>
        <w:jc w:val="both"/>
      </w:pPr>
      <w:r w:rsidRPr="002962FE">
        <w:t>перспективные и передовые проекты в промышленности строительных материалов, пищевой промышленности, жилищном и культурно-бытовом строительстве;</w:t>
      </w:r>
    </w:p>
    <w:p w:rsidR="004616EA" w:rsidRPr="002962FE" w:rsidRDefault="004616EA" w:rsidP="002962FE">
      <w:pPr>
        <w:pStyle w:val="af6"/>
        <w:numPr>
          <w:ilvl w:val="0"/>
          <w:numId w:val="85"/>
        </w:numPr>
        <w:tabs>
          <w:tab w:val="left" w:pos="993"/>
        </w:tabs>
        <w:spacing w:after="0"/>
        <w:ind w:left="0" w:firstLine="709"/>
        <w:jc w:val="both"/>
      </w:pPr>
      <w:r w:rsidRPr="002962FE">
        <w:t xml:space="preserve">формирование инвестиционных площадок производственного и коммунально-складского назначения, сельскохозяйственного назначения; </w:t>
      </w:r>
    </w:p>
    <w:p w:rsidR="004616EA" w:rsidRPr="002962FE" w:rsidRDefault="004616EA" w:rsidP="002962FE">
      <w:pPr>
        <w:pStyle w:val="af6"/>
        <w:numPr>
          <w:ilvl w:val="0"/>
          <w:numId w:val="85"/>
        </w:numPr>
        <w:tabs>
          <w:tab w:val="left" w:pos="993"/>
        </w:tabs>
        <w:spacing w:after="0"/>
        <w:ind w:left="0" w:firstLine="709"/>
        <w:jc w:val="both"/>
      </w:pPr>
      <w:r w:rsidRPr="002962FE">
        <w:t>формирование системы управления земельно-имущественным комплексом, соответствующей инвестиционным приоритетам муниципального образования;</w:t>
      </w:r>
    </w:p>
    <w:p w:rsidR="004616EA" w:rsidRPr="002962FE" w:rsidRDefault="004616EA" w:rsidP="002962FE">
      <w:pPr>
        <w:pStyle w:val="af6"/>
        <w:numPr>
          <w:ilvl w:val="0"/>
          <w:numId w:val="85"/>
        </w:numPr>
        <w:tabs>
          <w:tab w:val="left" w:pos="993"/>
        </w:tabs>
        <w:spacing w:after="0"/>
        <w:ind w:left="0" w:firstLine="709"/>
        <w:jc w:val="both"/>
      </w:pPr>
      <w:r w:rsidRPr="002962FE">
        <w:t>опережающая модернизация транспортной, энергетической и коммунально-бытовой инфраструктуры общего пользования, строительство новых инфраструктурных объектов производственного значения и общего пользования;</w:t>
      </w:r>
    </w:p>
    <w:p w:rsidR="004616EA" w:rsidRPr="002962FE" w:rsidRDefault="004616EA" w:rsidP="002962FE">
      <w:pPr>
        <w:pStyle w:val="af6"/>
        <w:numPr>
          <w:ilvl w:val="0"/>
          <w:numId w:val="85"/>
        </w:numPr>
        <w:tabs>
          <w:tab w:val="left" w:pos="993"/>
        </w:tabs>
        <w:spacing w:after="0"/>
        <w:ind w:left="0" w:firstLine="709"/>
        <w:jc w:val="both"/>
      </w:pPr>
      <w:r w:rsidRPr="002962FE">
        <w:t>инвестиционные проекты в социальном комплексе за счет средств вышестоящих бюджетов и градообразующего предприятия.</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Прогнозные показатели инвестиционного сценария представлены в таблице в приложении Д.</w:t>
      </w:r>
    </w:p>
    <w:p w:rsidR="004616EA" w:rsidRPr="002962FE" w:rsidRDefault="004616EA" w:rsidP="002962FE">
      <w:pPr>
        <w:pStyle w:val="3"/>
        <w:spacing w:line="240" w:lineRule="auto"/>
        <w:ind w:firstLine="709"/>
        <w:rPr>
          <w:sz w:val="26"/>
        </w:rPr>
      </w:pPr>
      <w:bookmarkStart w:id="159" w:name="_Toc405805520"/>
      <w:bookmarkStart w:id="160" w:name="_Toc369265377"/>
      <w:bookmarkEnd w:id="158"/>
      <w:r w:rsidRPr="002962FE">
        <w:rPr>
          <w:sz w:val="26"/>
        </w:rPr>
        <w:t>7.3 Инновационный сценарий</w:t>
      </w:r>
      <w:bookmarkEnd w:id="159"/>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Сценарий предполагает формирование мощного научно-технологического комплекса (аккумуляции знаний) за счет активного инвестиционного процесса, сопряженного с инновациями и прорывными технологиями. Логика инновационного сценария развития предполагает активный поиск, создание, внедрение и распространение инноваций во всех сферах экономики городского округа.</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Внедрение технологических инноваций послужит предпосылкой к формированию на территории городского округа научно-образовательных учреждений, выпускающих высококвалифицированных специалистов.</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Важным этапом в реализации инновационного сценария развития городского округа является начало коммерческого использования инноваций, в том числе в виде знаний, информации, технологий.</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Инновационный сценарий предусматривает также становление и развитие качественно новой модели городской экономики, где услуги составляют основу хозяйствования и доминируют в структуре занятости. Основными агентами данного сценария являются субъекты малого и среднего бизнеса, поскольку отличаются большей мобильностью и способностью адаптироваться к изменениям рынка.</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Бюджетная эффективность реализации инновационного сценария достигается за счет увеличения налоговых поступлений в казну городского округа, высокой результативностью использования муниципального имущества. Кроме этого, бюджетная политика характеризуется существенным возрастанием расходов бюджета города Когалыма на развитие реального сектора экономики.</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Существенная роль в реализации данной альтернативы принадлежит эффективному маркетингу городского округа в целом и местных производителей услуг в частности, поскольку завоевание сформированных рынков сбыта потребует значительных усилий по привлечению потребителей.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Соответственно, наибольшая инвестиционная активность будет происходить именно в сфере услуг. Особенно значимо будет создание инфраструктуры финансовых, юридических, страховых, медицинских и образовательных услуг. При этом массированные инвестиции и развитие поддерживающей инфраструктуры развития малого и среднего бизнеса – ключевые условия успешного развития.</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Развитие научно-инновационного комплекса повлечет за собой потребность в высококвалифицированных кадрах, в том числе возможно за счет привлечения из других муниципальных образований автономного округа и субъектов РФ. Приток мигрантов, преимущественно в трудоспособном возрасте, позволит в будущем сохранить возрастную структуру населения с высокой долей населения, способного к труду.</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Обязательным условием реализации инновационного сценария является комплексное развитие городской среды. Экспорт услуг предполагает увеличение потока приезжающих в город потребителей и в этой связи качество городской среды становится одним из важнейших факторов конкурентоспособности экономики в целом. При этом очевидно, что должны быть существенно снижены экологические последствия и риски производственной деятельности доминирующей в настоящее время отрасли экономики – нефтегазодобычи, что достижимо, в том числе, за счет внедрения инновационных технологий.</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Таким образом, инновационный сценарий предполагает:</w:t>
      </w:r>
    </w:p>
    <w:p w:rsidR="004616EA" w:rsidRPr="002962FE" w:rsidRDefault="004616EA" w:rsidP="002962FE">
      <w:pPr>
        <w:pStyle w:val="af6"/>
        <w:numPr>
          <w:ilvl w:val="0"/>
          <w:numId w:val="85"/>
        </w:numPr>
        <w:tabs>
          <w:tab w:val="left" w:pos="993"/>
        </w:tabs>
        <w:spacing w:after="0"/>
        <w:ind w:left="0" w:firstLine="709"/>
        <w:jc w:val="both"/>
      </w:pPr>
      <w:r w:rsidRPr="002962FE">
        <w:t>снижение зависимости социально-экономического положения городского округа от градообразующей отрасли;</w:t>
      </w:r>
    </w:p>
    <w:p w:rsidR="004616EA" w:rsidRPr="002962FE" w:rsidRDefault="004616EA" w:rsidP="002962FE">
      <w:pPr>
        <w:pStyle w:val="af6"/>
        <w:numPr>
          <w:ilvl w:val="0"/>
          <w:numId w:val="85"/>
        </w:numPr>
        <w:tabs>
          <w:tab w:val="left" w:pos="993"/>
        </w:tabs>
        <w:spacing w:after="0"/>
        <w:ind w:left="0" w:firstLine="709"/>
        <w:jc w:val="both"/>
      </w:pPr>
      <w:r w:rsidRPr="002962FE">
        <w:t>развитие научно-инновационного комплекса городского округа;</w:t>
      </w:r>
    </w:p>
    <w:p w:rsidR="004616EA" w:rsidRPr="002962FE" w:rsidRDefault="004616EA" w:rsidP="002962FE">
      <w:pPr>
        <w:pStyle w:val="af6"/>
        <w:numPr>
          <w:ilvl w:val="0"/>
          <w:numId w:val="85"/>
        </w:numPr>
        <w:tabs>
          <w:tab w:val="left" w:pos="993"/>
        </w:tabs>
        <w:spacing w:after="0"/>
        <w:ind w:left="0" w:firstLine="709"/>
        <w:jc w:val="both"/>
      </w:pPr>
      <w:r w:rsidRPr="002962FE">
        <w:t>разработку и внедрение новых технологий с целью оптимизации процессов производства, повышения качества выпускаемой продукции и предоставляемых услуг;</w:t>
      </w:r>
    </w:p>
    <w:p w:rsidR="004616EA" w:rsidRPr="002962FE" w:rsidRDefault="004616EA" w:rsidP="002962FE">
      <w:pPr>
        <w:pStyle w:val="af6"/>
        <w:numPr>
          <w:ilvl w:val="0"/>
          <w:numId w:val="85"/>
        </w:numPr>
        <w:tabs>
          <w:tab w:val="left" w:pos="993"/>
        </w:tabs>
        <w:spacing w:after="0"/>
        <w:ind w:left="0" w:firstLine="709"/>
        <w:jc w:val="both"/>
      </w:pPr>
      <w:r w:rsidRPr="002962FE">
        <w:t>осуществление проектов по развитию сферы услуг – объектов торговли и общественного питания (в новых форматах или с качественно новым содержанием), индустрии развлечений, туристско-рекреационных услуг, В2В услуг и т.п.;</w:t>
      </w:r>
    </w:p>
    <w:p w:rsidR="004616EA" w:rsidRPr="002962FE" w:rsidRDefault="004616EA" w:rsidP="002962FE">
      <w:pPr>
        <w:pStyle w:val="af6"/>
        <w:numPr>
          <w:ilvl w:val="0"/>
          <w:numId w:val="85"/>
        </w:numPr>
        <w:tabs>
          <w:tab w:val="left" w:pos="993"/>
        </w:tabs>
        <w:spacing w:after="0"/>
        <w:ind w:left="0" w:firstLine="709"/>
        <w:jc w:val="both"/>
      </w:pPr>
      <w:r w:rsidRPr="002962FE">
        <w:t>высокую инвестиционную активность в сфере услуг и торговле;</w:t>
      </w:r>
    </w:p>
    <w:p w:rsidR="004616EA" w:rsidRPr="002962FE" w:rsidRDefault="004616EA" w:rsidP="002962FE">
      <w:pPr>
        <w:pStyle w:val="af6"/>
        <w:numPr>
          <w:ilvl w:val="0"/>
          <w:numId w:val="85"/>
        </w:numPr>
        <w:tabs>
          <w:tab w:val="left" w:pos="993"/>
        </w:tabs>
        <w:spacing w:after="0"/>
        <w:ind w:left="0" w:firstLine="709"/>
        <w:jc w:val="both"/>
      </w:pPr>
      <w:r w:rsidRPr="002962FE">
        <w:t>повышение роли и расширение функций малого и среднего бизнеса в городской экономике;</w:t>
      </w:r>
    </w:p>
    <w:p w:rsidR="004616EA" w:rsidRPr="002962FE" w:rsidRDefault="004616EA" w:rsidP="002962FE">
      <w:pPr>
        <w:pStyle w:val="af6"/>
        <w:numPr>
          <w:ilvl w:val="0"/>
          <w:numId w:val="85"/>
        </w:numPr>
        <w:tabs>
          <w:tab w:val="left" w:pos="993"/>
        </w:tabs>
        <w:spacing w:after="0"/>
        <w:ind w:left="0" w:firstLine="709"/>
        <w:jc w:val="both"/>
      </w:pPr>
      <w:r w:rsidRPr="002962FE">
        <w:t>рост общей численности населения;</w:t>
      </w:r>
    </w:p>
    <w:p w:rsidR="004616EA" w:rsidRPr="002962FE" w:rsidRDefault="004616EA" w:rsidP="002962FE">
      <w:pPr>
        <w:pStyle w:val="af6"/>
        <w:numPr>
          <w:ilvl w:val="0"/>
          <w:numId w:val="85"/>
        </w:numPr>
        <w:tabs>
          <w:tab w:val="left" w:pos="993"/>
        </w:tabs>
        <w:spacing w:after="0"/>
        <w:ind w:left="0" w:firstLine="709"/>
        <w:jc w:val="both"/>
      </w:pPr>
      <w:r w:rsidRPr="002962FE">
        <w:t>миграционный приток населения;</w:t>
      </w:r>
    </w:p>
    <w:p w:rsidR="004616EA" w:rsidRPr="002962FE" w:rsidRDefault="004616EA" w:rsidP="002962FE">
      <w:pPr>
        <w:pStyle w:val="af6"/>
        <w:numPr>
          <w:ilvl w:val="0"/>
          <w:numId w:val="85"/>
        </w:numPr>
        <w:tabs>
          <w:tab w:val="left" w:pos="993"/>
        </w:tabs>
        <w:spacing w:after="0"/>
        <w:ind w:left="0" w:firstLine="709"/>
        <w:jc w:val="both"/>
      </w:pPr>
      <w:r w:rsidRPr="002962FE">
        <w:t>повышение качества образовательных услуг.</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Приоритетными инвестиционными проектами в условиях инновационного сценария станут:</w:t>
      </w:r>
    </w:p>
    <w:p w:rsidR="004616EA" w:rsidRPr="002962FE" w:rsidRDefault="004616EA" w:rsidP="002962FE">
      <w:pPr>
        <w:pStyle w:val="af6"/>
        <w:numPr>
          <w:ilvl w:val="0"/>
          <w:numId w:val="85"/>
        </w:numPr>
        <w:tabs>
          <w:tab w:val="left" w:pos="993"/>
        </w:tabs>
        <w:spacing w:after="0"/>
        <w:ind w:left="0" w:firstLine="709"/>
        <w:jc w:val="both"/>
      </w:pPr>
      <w:r w:rsidRPr="002962FE">
        <w:t>развитие инфраструктуры и кадрового обеспечения научно-инновационного комплекса и потребительских услуг;</w:t>
      </w:r>
    </w:p>
    <w:p w:rsidR="004616EA" w:rsidRPr="002962FE" w:rsidRDefault="004616EA" w:rsidP="002962FE">
      <w:pPr>
        <w:pStyle w:val="af6"/>
        <w:numPr>
          <w:ilvl w:val="0"/>
          <w:numId w:val="85"/>
        </w:numPr>
        <w:tabs>
          <w:tab w:val="left" w:pos="426"/>
          <w:tab w:val="left" w:pos="993"/>
        </w:tabs>
        <w:spacing w:after="0"/>
        <w:ind w:left="0" w:firstLine="709"/>
        <w:jc w:val="both"/>
      </w:pPr>
      <w:r w:rsidRPr="002962FE">
        <w:t>разработка и реализация маркетинговой стратегии городского округа;</w:t>
      </w:r>
    </w:p>
    <w:p w:rsidR="004616EA" w:rsidRPr="002962FE" w:rsidRDefault="004616EA" w:rsidP="002962FE">
      <w:pPr>
        <w:pStyle w:val="af6"/>
        <w:numPr>
          <w:ilvl w:val="0"/>
          <w:numId w:val="85"/>
        </w:numPr>
        <w:tabs>
          <w:tab w:val="left" w:pos="426"/>
          <w:tab w:val="left" w:pos="993"/>
        </w:tabs>
        <w:spacing w:after="0"/>
        <w:ind w:left="0" w:firstLine="709"/>
        <w:jc w:val="both"/>
      </w:pPr>
      <w:r w:rsidRPr="002962FE">
        <w:t>комплексная модернизация транспортной, энергетической и коммунально-бытовой инфраструктуры общего пользования как элементов городской среды.</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Прогнозные показатели инновационного сценария представлены в таблице в приложении Е.</w:t>
      </w:r>
    </w:p>
    <w:p w:rsidR="004616EA" w:rsidRPr="002962FE" w:rsidRDefault="004616EA" w:rsidP="002962FE">
      <w:pPr>
        <w:tabs>
          <w:tab w:val="left" w:pos="426"/>
        </w:tabs>
        <w:spacing w:after="0" w:line="240" w:lineRule="auto"/>
        <w:ind w:firstLine="709"/>
        <w:jc w:val="both"/>
        <w:rPr>
          <w:rStyle w:val="a4"/>
          <w:noProof/>
          <w:color w:val="auto"/>
          <w:sz w:val="26"/>
          <w:szCs w:val="26"/>
        </w:rPr>
        <w:sectPr w:rsidR="004616EA" w:rsidRPr="002962FE" w:rsidSect="00F30319">
          <w:pgSz w:w="11906" w:h="16838"/>
          <w:pgMar w:top="1134" w:right="567" w:bottom="1134" w:left="2552" w:header="709" w:footer="709" w:gutter="0"/>
          <w:cols w:space="708"/>
          <w:docGrid w:linePitch="360"/>
        </w:sectPr>
      </w:pPr>
    </w:p>
    <w:p w:rsidR="004616EA" w:rsidRPr="002962FE" w:rsidRDefault="004616EA" w:rsidP="002962FE">
      <w:pPr>
        <w:pStyle w:val="3"/>
        <w:spacing w:line="240" w:lineRule="auto"/>
        <w:ind w:firstLine="709"/>
        <w:rPr>
          <w:sz w:val="26"/>
        </w:rPr>
      </w:pPr>
      <w:bookmarkStart w:id="161" w:name="_Toc389051101"/>
      <w:bookmarkStart w:id="162" w:name="_Toc405805521"/>
      <w:r w:rsidRPr="002962FE">
        <w:rPr>
          <w:sz w:val="26"/>
        </w:rPr>
        <w:t>7.4 Обоснование выбора целевого сценария социально-экономического развития</w:t>
      </w:r>
      <w:bookmarkEnd w:id="160"/>
      <w:bookmarkEnd w:id="161"/>
      <w:bookmarkEnd w:id="162"/>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Сравнительный анализ качественных и количественных (</w:t>
      </w:r>
      <w:r w:rsidR="001977F4">
        <w:fldChar w:fldCharType="begin"/>
      </w:r>
      <w:r w:rsidR="001977F4">
        <w:instrText xml:space="preserve"> REF _Ref400804063 \h  \* MERGEFORMAT </w:instrText>
      </w:r>
      <w:r w:rsidR="001977F4">
        <w:fldChar w:fldCharType="separate"/>
      </w:r>
      <w:r w:rsidR="001977F4" w:rsidRPr="001977F4">
        <w:rPr>
          <w:rFonts w:ascii="Times New Roman" w:hAnsi="Times New Roman"/>
          <w:sz w:val="26"/>
          <w:szCs w:val="26"/>
        </w:rPr>
        <w:t xml:space="preserve">Таблица </w:t>
      </w:r>
      <w:r w:rsidR="001977F4" w:rsidRPr="001977F4">
        <w:rPr>
          <w:rFonts w:ascii="Times New Roman" w:hAnsi="Times New Roman"/>
          <w:noProof/>
          <w:sz w:val="26"/>
          <w:szCs w:val="26"/>
        </w:rPr>
        <w:t>10</w:t>
      </w:r>
      <w:r w:rsidR="001977F4">
        <w:fldChar w:fldCharType="end"/>
      </w:r>
      <w:r w:rsidRPr="002962FE">
        <w:rPr>
          <w:rFonts w:ascii="Times New Roman" w:hAnsi="Times New Roman"/>
          <w:sz w:val="26"/>
          <w:szCs w:val="26"/>
        </w:rPr>
        <w:t xml:space="preserve">) характеристик рассмотренных прогнозов позволяет говорить, что наиболее неблагоприятным для реализации в городе Когалыме является инерционный сценарий, который не только не предполагает развития накопленного социально-экономического потенциала, но представляет угрозу для сохранения достигнутого уровня развития.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Инновационный сценарий, основанный на развитии экономики городских услуг и создании новых секторов экономики – при всей притягательности данного сценария, может быть реализован только частично. Серьезные проблемы при реализации данного сценария могут быть вызваны отсутствием качественных предпосылок и факторов для развития сферы услуг в качестве доминирующей отрасли экономики, необходимы колоссальные усилия и масштабные инвестиции для перестройки менеджмента и управления городским округом. </w:t>
      </w:r>
    </w:p>
    <w:p w:rsidR="004616EA"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Инвестиционный сценарий предполагает значительно более сложную модель управления и для власти, и для бизнеса, чем инерционный сценарий. Он связан с инвестированием в неразвитые до сих пор виды экономической деятельности и отрасли, а также в совершенствование социальной среды и человеческого потенциала. Максимально возможная модернизация производственной и социальной систем позволит реализовать конкурентные преимущества городского округа. В этой связи в качестве базового варианта социально-экономического развития необходимо рассматривать инвестиционный сценарий.</w:t>
      </w:r>
    </w:p>
    <w:p w:rsidR="004616EA" w:rsidRPr="002962FE" w:rsidRDefault="004616EA" w:rsidP="002962FE">
      <w:pPr>
        <w:spacing w:after="0" w:line="240" w:lineRule="auto"/>
        <w:ind w:firstLine="709"/>
        <w:jc w:val="both"/>
        <w:rPr>
          <w:rFonts w:ascii="Times New Roman" w:hAnsi="Times New Roman"/>
          <w:sz w:val="26"/>
          <w:szCs w:val="26"/>
        </w:rPr>
      </w:pPr>
    </w:p>
    <w:p w:rsidR="004616EA" w:rsidRPr="00475E67" w:rsidRDefault="004616EA" w:rsidP="002962FE">
      <w:pPr>
        <w:pStyle w:val="af1"/>
        <w:keepNext/>
        <w:spacing w:after="0"/>
        <w:ind w:firstLine="709"/>
        <w:jc w:val="both"/>
        <w:rPr>
          <w:rFonts w:ascii="Times New Roman" w:hAnsi="Times New Roman"/>
          <w:b w:val="0"/>
          <w:color w:val="auto"/>
          <w:sz w:val="24"/>
        </w:rPr>
      </w:pPr>
      <w:bookmarkStart w:id="163" w:name="_Ref400804063"/>
      <w:r w:rsidRPr="00475E67">
        <w:rPr>
          <w:rFonts w:ascii="Times New Roman" w:hAnsi="Times New Roman"/>
          <w:b w:val="0"/>
          <w:color w:val="auto"/>
          <w:sz w:val="24"/>
        </w:rPr>
        <w:t xml:space="preserve">Таблица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Таблица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10</w:t>
      </w:r>
      <w:r w:rsidRPr="00475E67">
        <w:rPr>
          <w:rFonts w:ascii="Times New Roman" w:hAnsi="Times New Roman"/>
          <w:b w:val="0"/>
          <w:color w:val="auto"/>
          <w:sz w:val="24"/>
        </w:rPr>
        <w:fldChar w:fldCharType="end"/>
      </w:r>
      <w:bookmarkEnd w:id="163"/>
      <w:r w:rsidRPr="00475E67">
        <w:rPr>
          <w:rFonts w:ascii="Times New Roman" w:hAnsi="Times New Roman"/>
          <w:b w:val="0"/>
          <w:color w:val="auto"/>
          <w:sz w:val="24"/>
        </w:rPr>
        <w:t xml:space="preserve"> - Количественные характеристики основных сценариев социально-экономического развития городского округа до 2030 г.</w:t>
      </w:r>
    </w:p>
    <w:tbl>
      <w:tblPr>
        <w:tblW w:w="9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2"/>
        <w:gridCol w:w="680"/>
        <w:gridCol w:w="1438"/>
        <w:gridCol w:w="1704"/>
        <w:gridCol w:w="1628"/>
      </w:tblGrid>
      <w:tr w:rsidR="004616EA" w:rsidRPr="00475E67" w:rsidTr="000506D4">
        <w:trPr>
          <w:trHeight w:val="434"/>
          <w:jc w:val="center"/>
        </w:trPr>
        <w:tc>
          <w:tcPr>
            <w:tcW w:w="3752" w:type="dxa"/>
            <w:vAlign w:val="center"/>
          </w:tcPr>
          <w:p w:rsidR="004616EA" w:rsidRPr="00FF6DF6" w:rsidRDefault="004616EA" w:rsidP="000501D7">
            <w:pPr>
              <w:pStyle w:val="a7"/>
              <w:tabs>
                <w:tab w:val="left" w:pos="426"/>
              </w:tabs>
              <w:spacing w:after="0"/>
              <w:ind w:left="176"/>
              <w:contextualSpacing w:val="0"/>
              <w:jc w:val="center"/>
              <w:rPr>
                <w:rFonts w:ascii="Times New Roman" w:hAnsi="Times New Roman"/>
                <w:lang w:eastAsia="en-US"/>
              </w:rPr>
            </w:pPr>
            <w:r w:rsidRPr="00FF6DF6">
              <w:rPr>
                <w:rFonts w:ascii="Times New Roman" w:hAnsi="Times New Roman"/>
                <w:lang w:eastAsia="en-US"/>
              </w:rPr>
              <w:t>Наименование целевого индикатора</w:t>
            </w:r>
          </w:p>
        </w:tc>
        <w:tc>
          <w:tcPr>
            <w:tcW w:w="680" w:type="dxa"/>
            <w:vAlign w:val="center"/>
          </w:tcPr>
          <w:p w:rsidR="004616EA" w:rsidRPr="00FF6DF6" w:rsidRDefault="004616EA" w:rsidP="000501D7">
            <w:pPr>
              <w:pStyle w:val="a7"/>
              <w:tabs>
                <w:tab w:val="left" w:pos="426"/>
              </w:tabs>
              <w:spacing w:after="0"/>
              <w:ind w:left="0"/>
              <w:contextualSpacing w:val="0"/>
              <w:jc w:val="center"/>
              <w:rPr>
                <w:rFonts w:ascii="Times New Roman" w:hAnsi="Times New Roman"/>
                <w:lang w:eastAsia="en-US"/>
              </w:rPr>
            </w:pPr>
            <w:r w:rsidRPr="00FF6DF6">
              <w:rPr>
                <w:rFonts w:ascii="Times New Roman" w:hAnsi="Times New Roman"/>
                <w:lang w:eastAsia="en-US"/>
              </w:rPr>
              <w:t>Годы</w:t>
            </w:r>
          </w:p>
        </w:tc>
        <w:tc>
          <w:tcPr>
            <w:tcW w:w="1438" w:type="dxa"/>
            <w:vAlign w:val="center"/>
          </w:tcPr>
          <w:p w:rsidR="004616EA" w:rsidRPr="00FF6DF6" w:rsidRDefault="004616EA" w:rsidP="000501D7">
            <w:pPr>
              <w:pStyle w:val="a7"/>
              <w:tabs>
                <w:tab w:val="left" w:pos="426"/>
              </w:tabs>
              <w:spacing w:after="0"/>
              <w:ind w:left="0"/>
              <w:contextualSpacing w:val="0"/>
              <w:jc w:val="center"/>
              <w:rPr>
                <w:rFonts w:ascii="Times New Roman" w:hAnsi="Times New Roman"/>
                <w:lang w:eastAsia="en-US"/>
              </w:rPr>
            </w:pPr>
            <w:r w:rsidRPr="00FF6DF6">
              <w:rPr>
                <w:rFonts w:ascii="Times New Roman" w:hAnsi="Times New Roman"/>
                <w:lang w:eastAsia="en-US"/>
              </w:rPr>
              <w:t>Инерционный сценарий</w:t>
            </w:r>
          </w:p>
        </w:tc>
        <w:tc>
          <w:tcPr>
            <w:tcW w:w="1704" w:type="dxa"/>
            <w:vAlign w:val="center"/>
          </w:tcPr>
          <w:p w:rsidR="004616EA" w:rsidRPr="00FF6DF6" w:rsidRDefault="004616EA" w:rsidP="000501D7">
            <w:pPr>
              <w:pStyle w:val="a7"/>
              <w:tabs>
                <w:tab w:val="left" w:pos="426"/>
              </w:tabs>
              <w:spacing w:after="0"/>
              <w:ind w:left="0"/>
              <w:contextualSpacing w:val="0"/>
              <w:jc w:val="center"/>
              <w:rPr>
                <w:rFonts w:ascii="Times New Roman" w:hAnsi="Times New Roman"/>
                <w:lang w:eastAsia="en-US"/>
              </w:rPr>
            </w:pPr>
            <w:r w:rsidRPr="00FF6DF6">
              <w:rPr>
                <w:rFonts w:ascii="Times New Roman" w:hAnsi="Times New Roman"/>
                <w:lang w:eastAsia="en-US"/>
              </w:rPr>
              <w:t>Инвестиционный сценарий</w:t>
            </w:r>
          </w:p>
        </w:tc>
        <w:tc>
          <w:tcPr>
            <w:tcW w:w="1628" w:type="dxa"/>
            <w:vAlign w:val="center"/>
          </w:tcPr>
          <w:p w:rsidR="004616EA" w:rsidRPr="00FF6DF6" w:rsidRDefault="004616EA" w:rsidP="000501D7">
            <w:pPr>
              <w:pStyle w:val="a7"/>
              <w:tabs>
                <w:tab w:val="left" w:pos="426"/>
              </w:tabs>
              <w:spacing w:after="0"/>
              <w:ind w:left="0"/>
              <w:contextualSpacing w:val="0"/>
              <w:jc w:val="center"/>
              <w:rPr>
                <w:rFonts w:ascii="Times New Roman" w:hAnsi="Times New Roman"/>
                <w:lang w:eastAsia="en-US"/>
              </w:rPr>
            </w:pPr>
            <w:r w:rsidRPr="00FF6DF6">
              <w:rPr>
                <w:rFonts w:ascii="Times New Roman" w:hAnsi="Times New Roman"/>
                <w:lang w:eastAsia="en-US"/>
              </w:rPr>
              <w:t>Инновационный сценарий</w:t>
            </w:r>
          </w:p>
        </w:tc>
      </w:tr>
      <w:tr w:rsidR="004616EA" w:rsidRPr="00475E67" w:rsidTr="000506D4">
        <w:trPr>
          <w:trHeight w:val="367"/>
          <w:jc w:val="center"/>
        </w:trPr>
        <w:tc>
          <w:tcPr>
            <w:tcW w:w="3752" w:type="dxa"/>
            <w:vMerge w:val="restart"/>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Численность постоянного населения на конец года, тыс. чел.</w:t>
            </w:r>
          </w:p>
        </w:tc>
        <w:tc>
          <w:tcPr>
            <w:tcW w:w="680" w:type="dxa"/>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2013</w:t>
            </w:r>
          </w:p>
        </w:tc>
        <w:tc>
          <w:tcPr>
            <w:tcW w:w="1438" w:type="dxa"/>
            <w:vAlign w:val="center"/>
          </w:tcPr>
          <w:p w:rsidR="004616EA" w:rsidRPr="00475E67" w:rsidRDefault="004616EA" w:rsidP="000506D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61,1</w:t>
            </w:r>
          </w:p>
        </w:tc>
        <w:tc>
          <w:tcPr>
            <w:tcW w:w="1704" w:type="dxa"/>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61,1</w:t>
            </w:r>
          </w:p>
        </w:tc>
        <w:tc>
          <w:tcPr>
            <w:tcW w:w="1628" w:type="dxa"/>
            <w:vAlign w:val="center"/>
          </w:tcPr>
          <w:p w:rsidR="004616EA" w:rsidRPr="00FF6DF6" w:rsidRDefault="004616EA" w:rsidP="00D14E92">
            <w:pPr>
              <w:pStyle w:val="a7"/>
              <w:tabs>
                <w:tab w:val="left" w:pos="426"/>
              </w:tabs>
              <w:spacing w:after="0"/>
              <w:ind w:left="0"/>
              <w:contextualSpacing w:val="0"/>
              <w:jc w:val="center"/>
              <w:rPr>
                <w:rFonts w:ascii="Times New Roman" w:hAnsi="Times New Roman"/>
              </w:rPr>
            </w:pPr>
            <w:r w:rsidRPr="00FF6DF6">
              <w:rPr>
                <w:rFonts w:ascii="Times New Roman" w:hAnsi="Times New Roman"/>
              </w:rPr>
              <w:t>61,1</w:t>
            </w:r>
          </w:p>
        </w:tc>
      </w:tr>
      <w:tr w:rsidR="004616EA" w:rsidRPr="00475E67" w:rsidTr="000506D4">
        <w:trPr>
          <w:trHeight w:val="243"/>
          <w:jc w:val="center"/>
        </w:trPr>
        <w:tc>
          <w:tcPr>
            <w:tcW w:w="3752" w:type="dxa"/>
            <w:vMerge/>
            <w:vAlign w:val="center"/>
          </w:tcPr>
          <w:p w:rsidR="004616EA" w:rsidRPr="00FF6DF6" w:rsidRDefault="004616EA" w:rsidP="000501D7">
            <w:pPr>
              <w:pStyle w:val="a7"/>
              <w:tabs>
                <w:tab w:val="left" w:pos="426"/>
              </w:tabs>
              <w:spacing w:after="0"/>
              <w:ind w:left="0"/>
              <w:contextualSpacing w:val="0"/>
              <w:jc w:val="center"/>
              <w:rPr>
                <w:rFonts w:ascii="Times New Roman" w:hAnsi="Times New Roman"/>
                <w:lang w:eastAsia="en-US"/>
              </w:rPr>
            </w:pPr>
          </w:p>
        </w:tc>
        <w:tc>
          <w:tcPr>
            <w:tcW w:w="680" w:type="dxa"/>
            <w:vAlign w:val="center"/>
          </w:tcPr>
          <w:p w:rsidR="004616EA" w:rsidRPr="00FF6DF6" w:rsidRDefault="004616EA" w:rsidP="000501D7">
            <w:pPr>
              <w:pStyle w:val="a7"/>
              <w:tabs>
                <w:tab w:val="left" w:pos="426"/>
              </w:tabs>
              <w:spacing w:after="0"/>
              <w:ind w:left="0"/>
              <w:contextualSpacing w:val="0"/>
              <w:jc w:val="center"/>
              <w:rPr>
                <w:rFonts w:ascii="Times New Roman" w:hAnsi="Times New Roman"/>
                <w:lang w:eastAsia="en-US"/>
              </w:rPr>
            </w:pPr>
            <w:r w:rsidRPr="00FF6DF6">
              <w:rPr>
                <w:rFonts w:ascii="Times New Roman" w:hAnsi="Times New Roman"/>
              </w:rPr>
              <w:t>2030</w:t>
            </w:r>
          </w:p>
        </w:tc>
        <w:tc>
          <w:tcPr>
            <w:tcW w:w="1438" w:type="dxa"/>
            <w:vAlign w:val="center"/>
          </w:tcPr>
          <w:p w:rsidR="004616EA" w:rsidRPr="00475E67" w:rsidRDefault="004616EA" w:rsidP="000506D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70,1</w:t>
            </w:r>
          </w:p>
        </w:tc>
        <w:tc>
          <w:tcPr>
            <w:tcW w:w="1704" w:type="dxa"/>
            <w:vAlign w:val="center"/>
          </w:tcPr>
          <w:p w:rsidR="004616EA" w:rsidRPr="00FF6DF6" w:rsidRDefault="004616EA" w:rsidP="000501D7">
            <w:pPr>
              <w:pStyle w:val="a7"/>
              <w:tabs>
                <w:tab w:val="left" w:pos="426"/>
              </w:tabs>
              <w:spacing w:after="0"/>
              <w:ind w:left="0"/>
              <w:contextualSpacing w:val="0"/>
              <w:jc w:val="center"/>
              <w:rPr>
                <w:rFonts w:ascii="Times New Roman" w:hAnsi="Times New Roman"/>
                <w:lang w:eastAsia="en-US"/>
              </w:rPr>
            </w:pPr>
            <w:r w:rsidRPr="00FF6DF6">
              <w:rPr>
                <w:rFonts w:ascii="Times New Roman" w:hAnsi="Times New Roman"/>
              </w:rPr>
              <w:t>71,7</w:t>
            </w:r>
          </w:p>
        </w:tc>
        <w:tc>
          <w:tcPr>
            <w:tcW w:w="1628" w:type="dxa"/>
            <w:vAlign w:val="center"/>
          </w:tcPr>
          <w:p w:rsidR="004616EA" w:rsidRPr="00FF6DF6" w:rsidRDefault="004616EA" w:rsidP="00D14E92">
            <w:pPr>
              <w:pStyle w:val="a7"/>
              <w:tabs>
                <w:tab w:val="left" w:pos="426"/>
              </w:tabs>
              <w:spacing w:after="0"/>
              <w:ind w:left="0"/>
              <w:contextualSpacing w:val="0"/>
              <w:jc w:val="center"/>
              <w:rPr>
                <w:rFonts w:ascii="Times New Roman" w:hAnsi="Times New Roman"/>
              </w:rPr>
            </w:pPr>
            <w:r w:rsidRPr="00FF6DF6">
              <w:rPr>
                <w:rFonts w:ascii="Times New Roman" w:hAnsi="Times New Roman"/>
              </w:rPr>
              <w:t>75,2</w:t>
            </w:r>
          </w:p>
        </w:tc>
      </w:tr>
      <w:tr w:rsidR="004616EA" w:rsidRPr="00475E67" w:rsidTr="000506D4">
        <w:trPr>
          <w:trHeight w:val="367"/>
          <w:jc w:val="center"/>
        </w:trPr>
        <w:tc>
          <w:tcPr>
            <w:tcW w:w="3752" w:type="dxa"/>
            <w:vMerge w:val="restart"/>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283B39">
              <w:rPr>
                <w:rFonts w:ascii="Times New Roman" w:hAnsi="Times New Roman"/>
                <w:sz w:val="20"/>
                <w:szCs w:val="20"/>
              </w:rPr>
              <w:t>Среднегодовая численность занятых в экономике, тыс. чел.</w:t>
            </w:r>
          </w:p>
        </w:tc>
        <w:tc>
          <w:tcPr>
            <w:tcW w:w="680" w:type="dxa"/>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2013</w:t>
            </w:r>
          </w:p>
        </w:tc>
        <w:tc>
          <w:tcPr>
            <w:tcW w:w="1438" w:type="dxa"/>
            <w:vAlign w:val="center"/>
          </w:tcPr>
          <w:p w:rsidR="004616EA" w:rsidRPr="00475E67" w:rsidRDefault="004616EA" w:rsidP="004F4C5D">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30,2</w:t>
            </w:r>
          </w:p>
        </w:tc>
        <w:tc>
          <w:tcPr>
            <w:tcW w:w="1704" w:type="dxa"/>
            <w:vAlign w:val="center"/>
          </w:tcPr>
          <w:p w:rsidR="004616EA" w:rsidRPr="00475E67" w:rsidRDefault="004616EA" w:rsidP="004F4C5D">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30,2</w:t>
            </w:r>
          </w:p>
        </w:tc>
        <w:tc>
          <w:tcPr>
            <w:tcW w:w="1628" w:type="dxa"/>
            <w:vAlign w:val="center"/>
          </w:tcPr>
          <w:p w:rsidR="004616EA" w:rsidRPr="00475E67" w:rsidRDefault="004616EA" w:rsidP="004F4C5D">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30,2</w:t>
            </w:r>
          </w:p>
        </w:tc>
      </w:tr>
      <w:tr w:rsidR="004616EA" w:rsidRPr="00475E67" w:rsidTr="000506D4">
        <w:trPr>
          <w:trHeight w:val="309"/>
          <w:jc w:val="center"/>
        </w:trPr>
        <w:tc>
          <w:tcPr>
            <w:tcW w:w="3752" w:type="dxa"/>
            <w:vMerge/>
            <w:vAlign w:val="center"/>
          </w:tcPr>
          <w:p w:rsidR="004616EA" w:rsidRPr="00FF6DF6" w:rsidRDefault="004616EA" w:rsidP="000501D7">
            <w:pPr>
              <w:pStyle w:val="a7"/>
              <w:tabs>
                <w:tab w:val="left" w:pos="426"/>
              </w:tabs>
              <w:spacing w:after="0"/>
              <w:ind w:left="0"/>
              <w:contextualSpacing w:val="0"/>
              <w:jc w:val="center"/>
              <w:rPr>
                <w:rFonts w:ascii="Times New Roman" w:hAnsi="Times New Roman"/>
                <w:lang w:eastAsia="en-US"/>
              </w:rPr>
            </w:pPr>
          </w:p>
        </w:tc>
        <w:tc>
          <w:tcPr>
            <w:tcW w:w="680" w:type="dxa"/>
            <w:vAlign w:val="center"/>
          </w:tcPr>
          <w:p w:rsidR="004616EA" w:rsidRPr="00FF6DF6" w:rsidRDefault="004616EA" w:rsidP="000501D7">
            <w:pPr>
              <w:pStyle w:val="a7"/>
              <w:tabs>
                <w:tab w:val="left" w:pos="426"/>
              </w:tabs>
              <w:spacing w:after="0"/>
              <w:ind w:left="0"/>
              <w:contextualSpacing w:val="0"/>
              <w:jc w:val="center"/>
              <w:rPr>
                <w:rFonts w:ascii="Times New Roman" w:hAnsi="Times New Roman"/>
                <w:lang w:eastAsia="en-US"/>
              </w:rPr>
            </w:pPr>
            <w:r w:rsidRPr="00FF6DF6">
              <w:rPr>
                <w:rFonts w:ascii="Times New Roman" w:hAnsi="Times New Roman"/>
              </w:rPr>
              <w:t>2030</w:t>
            </w:r>
          </w:p>
        </w:tc>
        <w:tc>
          <w:tcPr>
            <w:tcW w:w="1438" w:type="dxa"/>
            <w:vAlign w:val="center"/>
          </w:tcPr>
          <w:p w:rsidR="004616EA" w:rsidRPr="00FF6DF6" w:rsidRDefault="004616EA" w:rsidP="004F4C5D">
            <w:pPr>
              <w:pStyle w:val="a7"/>
              <w:tabs>
                <w:tab w:val="left" w:pos="426"/>
              </w:tabs>
              <w:spacing w:after="0"/>
              <w:ind w:left="0"/>
              <w:contextualSpacing w:val="0"/>
              <w:jc w:val="center"/>
              <w:rPr>
                <w:rFonts w:ascii="Times New Roman" w:hAnsi="Times New Roman"/>
                <w:lang w:eastAsia="en-US"/>
              </w:rPr>
            </w:pPr>
            <w:r w:rsidRPr="00FF6DF6">
              <w:rPr>
                <w:rFonts w:ascii="Times New Roman" w:hAnsi="Times New Roman"/>
                <w:lang w:eastAsia="en-US"/>
              </w:rPr>
              <w:t>36,1</w:t>
            </w:r>
          </w:p>
        </w:tc>
        <w:tc>
          <w:tcPr>
            <w:tcW w:w="1704" w:type="dxa"/>
            <w:vAlign w:val="center"/>
          </w:tcPr>
          <w:p w:rsidR="004616EA" w:rsidRPr="00FF6DF6" w:rsidRDefault="004616EA" w:rsidP="004F4C5D">
            <w:pPr>
              <w:pStyle w:val="a7"/>
              <w:tabs>
                <w:tab w:val="left" w:pos="426"/>
              </w:tabs>
              <w:spacing w:after="0"/>
              <w:ind w:left="0"/>
              <w:contextualSpacing w:val="0"/>
              <w:jc w:val="center"/>
              <w:rPr>
                <w:rFonts w:ascii="Times New Roman" w:hAnsi="Times New Roman"/>
                <w:lang w:eastAsia="en-US"/>
              </w:rPr>
            </w:pPr>
            <w:r w:rsidRPr="00FF6DF6">
              <w:rPr>
                <w:rFonts w:ascii="Times New Roman" w:hAnsi="Times New Roman"/>
                <w:lang w:eastAsia="en-US"/>
              </w:rPr>
              <w:t>42,1</w:t>
            </w:r>
          </w:p>
        </w:tc>
        <w:tc>
          <w:tcPr>
            <w:tcW w:w="1628" w:type="dxa"/>
            <w:vAlign w:val="center"/>
          </w:tcPr>
          <w:p w:rsidR="004616EA" w:rsidRPr="00FF6DF6" w:rsidRDefault="004616EA" w:rsidP="004F4C5D">
            <w:pPr>
              <w:pStyle w:val="a7"/>
              <w:tabs>
                <w:tab w:val="left" w:pos="426"/>
              </w:tabs>
              <w:spacing w:after="0"/>
              <w:ind w:left="0"/>
              <w:contextualSpacing w:val="0"/>
              <w:jc w:val="center"/>
              <w:rPr>
                <w:rFonts w:ascii="Times New Roman" w:hAnsi="Times New Roman"/>
                <w:lang w:eastAsia="en-US"/>
              </w:rPr>
            </w:pPr>
            <w:r w:rsidRPr="00FF6DF6">
              <w:rPr>
                <w:rFonts w:ascii="Times New Roman" w:hAnsi="Times New Roman"/>
                <w:lang w:eastAsia="en-US"/>
              </w:rPr>
              <w:t>43,5</w:t>
            </w:r>
          </w:p>
        </w:tc>
      </w:tr>
      <w:tr w:rsidR="004616EA" w:rsidRPr="00475E67" w:rsidTr="00143ED4">
        <w:trPr>
          <w:trHeight w:val="839"/>
          <w:jc w:val="center"/>
        </w:trPr>
        <w:tc>
          <w:tcPr>
            <w:tcW w:w="3752" w:type="dxa"/>
            <w:vMerge w:val="restart"/>
            <w:vAlign w:val="center"/>
          </w:tcPr>
          <w:p w:rsidR="004616EA" w:rsidRPr="00475E67" w:rsidRDefault="004616EA" w:rsidP="00462606">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 xml:space="preserve">Объем отгруженных товаров собственного производства, выполненных работ и услуг собственными силами по </w:t>
            </w:r>
            <w:r>
              <w:rPr>
                <w:rFonts w:ascii="Times New Roman" w:hAnsi="Times New Roman"/>
                <w:sz w:val="20"/>
                <w:szCs w:val="20"/>
              </w:rPr>
              <w:t>полному кругу предприятий</w:t>
            </w:r>
            <w:r w:rsidRPr="00475E67">
              <w:rPr>
                <w:rFonts w:ascii="Times New Roman" w:hAnsi="Times New Roman"/>
                <w:sz w:val="20"/>
                <w:szCs w:val="20"/>
              </w:rPr>
              <w:t>, млн рублей</w:t>
            </w:r>
          </w:p>
        </w:tc>
        <w:tc>
          <w:tcPr>
            <w:tcW w:w="680" w:type="dxa"/>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2013</w:t>
            </w:r>
          </w:p>
        </w:tc>
        <w:tc>
          <w:tcPr>
            <w:tcW w:w="1438" w:type="dxa"/>
            <w:vAlign w:val="center"/>
          </w:tcPr>
          <w:p w:rsidR="004616EA" w:rsidRPr="00475E67" w:rsidRDefault="004616EA" w:rsidP="00143ED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w:t>
            </w:r>
            <w:r>
              <w:rPr>
                <w:rFonts w:ascii="Times New Roman" w:hAnsi="Times New Roman"/>
                <w:sz w:val="20"/>
                <w:szCs w:val="20"/>
                <w:lang w:eastAsia="ru-RU"/>
              </w:rPr>
              <w:t>5425</w:t>
            </w:r>
            <w:r w:rsidRPr="00475E67">
              <w:rPr>
                <w:rFonts w:ascii="Times New Roman" w:hAnsi="Times New Roman"/>
                <w:sz w:val="20"/>
                <w:szCs w:val="20"/>
                <w:lang w:eastAsia="ru-RU"/>
              </w:rPr>
              <w:t>,</w:t>
            </w:r>
            <w:r>
              <w:rPr>
                <w:rFonts w:ascii="Times New Roman" w:hAnsi="Times New Roman"/>
                <w:sz w:val="20"/>
                <w:szCs w:val="20"/>
                <w:lang w:eastAsia="ru-RU"/>
              </w:rPr>
              <w:t>1</w:t>
            </w:r>
          </w:p>
        </w:tc>
        <w:tc>
          <w:tcPr>
            <w:tcW w:w="1704" w:type="dxa"/>
            <w:vAlign w:val="center"/>
          </w:tcPr>
          <w:p w:rsidR="004616EA" w:rsidRPr="00143ED4" w:rsidRDefault="004616EA" w:rsidP="00143ED4">
            <w:pPr>
              <w:spacing w:after="0" w:line="240" w:lineRule="auto"/>
              <w:jc w:val="center"/>
              <w:rPr>
                <w:rFonts w:ascii="Times New Roman" w:hAnsi="Times New Roman"/>
                <w:sz w:val="20"/>
                <w:szCs w:val="20"/>
                <w:lang w:eastAsia="ru-RU"/>
              </w:rPr>
            </w:pPr>
            <w:r w:rsidRPr="009E4D32">
              <w:rPr>
                <w:rFonts w:ascii="Times New Roman" w:hAnsi="Times New Roman"/>
                <w:sz w:val="20"/>
                <w:szCs w:val="20"/>
                <w:lang w:eastAsia="ru-RU"/>
              </w:rPr>
              <w:t>25425,1</w:t>
            </w:r>
          </w:p>
        </w:tc>
        <w:tc>
          <w:tcPr>
            <w:tcW w:w="1628" w:type="dxa"/>
            <w:vAlign w:val="center"/>
          </w:tcPr>
          <w:p w:rsidR="004616EA" w:rsidRPr="00143ED4" w:rsidRDefault="004616EA" w:rsidP="00143ED4">
            <w:pPr>
              <w:spacing w:after="0" w:line="240" w:lineRule="auto"/>
              <w:jc w:val="center"/>
              <w:rPr>
                <w:rFonts w:ascii="Times New Roman" w:hAnsi="Times New Roman"/>
                <w:sz w:val="20"/>
                <w:szCs w:val="20"/>
                <w:lang w:eastAsia="ru-RU"/>
              </w:rPr>
            </w:pPr>
            <w:r w:rsidRPr="009E4D32">
              <w:rPr>
                <w:rFonts w:ascii="Times New Roman" w:hAnsi="Times New Roman"/>
                <w:sz w:val="20"/>
                <w:szCs w:val="20"/>
                <w:lang w:eastAsia="ru-RU"/>
              </w:rPr>
              <w:t>25425,1</w:t>
            </w:r>
          </w:p>
        </w:tc>
      </w:tr>
      <w:tr w:rsidR="004616EA" w:rsidRPr="00475E67" w:rsidTr="000506D4">
        <w:trPr>
          <w:trHeight w:val="367"/>
          <w:jc w:val="center"/>
        </w:trPr>
        <w:tc>
          <w:tcPr>
            <w:tcW w:w="3752" w:type="dxa"/>
            <w:vMerge/>
            <w:vAlign w:val="center"/>
          </w:tcPr>
          <w:p w:rsidR="004616EA" w:rsidRPr="00475E67" w:rsidRDefault="004616EA" w:rsidP="000501D7">
            <w:pPr>
              <w:spacing w:after="0" w:line="240" w:lineRule="auto"/>
              <w:jc w:val="center"/>
              <w:rPr>
                <w:rFonts w:ascii="Times New Roman" w:hAnsi="Times New Roman"/>
                <w:sz w:val="20"/>
                <w:szCs w:val="20"/>
                <w:lang w:eastAsia="ru-RU"/>
              </w:rPr>
            </w:pPr>
          </w:p>
        </w:tc>
        <w:tc>
          <w:tcPr>
            <w:tcW w:w="680" w:type="dxa"/>
            <w:vAlign w:val="center"/>
          </w:tcPr>
          <w:p w:rsidR="004616EA" w:rsidRPr="00FF6DF6" w:rsidRDefault="004616EA" w:rsidP="000501D7">
            <w:pPr>
              <w:pStyle w:val="a7"/>
              <w:tabs>
                <w:tab w:val="left" w:pos="426"/>
              </w:tabs>
              <w:spacing w:after="0"/>
              <w:ind w:left="0"/>
              <w:contextualSpacing w:val="0"/>
              <w:jc w:val="center"/>
              <w:rPr>
                <w:rFonts w:ascii="Times New Roman" w:hAnsi="Times New Roman"/>
                <w:lang w:eastAsia="en-US"/>
              </w:rPr>
            </w:pPr>
            <w:r w:rsidRPr="00FF6DF6">
              <w:rPr>
                <w:rFonts w:ascii="Times New Roman" w:hAnsi="Times New Roman"/>
              </w:rPr>
              <w:t>2030</w:t>
            </w:r>
          </w:p>
        </w:tc>
        <w:tc>
          <w:tcPr>
            <w:tcW w:w="1438" w:type="dxa"/>
            <w:vAlign w:val="center"/>
          </w:tcPr>
          <w:p w:rsidR="004616EA" w:rsidRPr="00475E67" w:rsidRDefault="004616EA" w:rsidP="00143ED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3</w:t>
            </w:r>
            <w:r>
              <w:rPr>
                <w:rFonts w:ascii="Times New Roman" w:hAnsi="Times New Roman"/>
                <w:sz w:val="20"/>
                <w:szCs w:val="20"/>
                <w:lang w:eastAsia="ru-RU"/>
              </w:rPr>
              <w:t>8028</w:t>
            </w:r>
            <w:r w:rsidRPr="00475E67">
              <w:rPr>
                <w:rFonts w:ascii="Times New Roman" w:hAnsi="Times New Roman"/>
                <w:sz w:val="20"/>
                <w:szCs w:val="20"/>
                <w:lang w:eastAsia="ru-RU"/>
              </w:rPr>
              <w:t>,</w:t>
            </w:r>
            <w:r>
              <w:rPr>
                <w:rFonts w:ascii="Times New Roman" w:hAnsi="Times New Roman"/>
                <w:sz w:val="20"/>
                <w:szCs w:val="20"/>
                <w:lang w:eastAsia="ru-RU"/>
              </w:rPr>
              <w:t>5</w:t>
            </w:r>
          </w:p>
        </w:tc>
        <w:tc>
          <w:tcPr>
            <w:tcW w:w="1704" w:type="dxa"/>
            <w:vAlign w:val="center"/>
          </w:tcPr>
          <w:p w:rsidR="004616EA" w:rsidRPr="00FF6DF6" w:rsidRDefault="004616EA" w:rsidP="00143ED4">
            <w:pPr>
              <w:pStyle w:val="a7"/>
              <w:tabs>
                <w:tab w:val="left" w:pos="426"/>
              </w:tabs>
              <w:spacing w:after="0"/>
              <w:ind w:left="0"/>
              <w:contextualSpacing w:val="0"/>
              <w:jc w:val="center"/>
              <w:rPr>
                <w:rFonts w:ascii="Times New Roman" w:hAnsi="Times New Roman"/>
              </w:rPr>
            </w:pPr>
            <w:r w:rsidRPr="00FF6DF6">
              <w:rPr>
                <w:rFonts w:ascii="Times New Roman" w:hAnsi="Times New Roman"/>
              </w:rPr>
              <w:t>39766,7</w:t>
            </w:r>
          </w:p>
        </w:tc>
        <w:tc>
          <w:tcPr>
            <w:tcW w:w="1628" w:type="dxa"/>
            <w:vAlign w:val="center"/>
          </w:tcPr>
          <w:p w:rsidR="004616EA" w:rsidRPr="00475E67" w:rsidRDefault="004616EA" w:rsidP="00143ED4">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43743</w:t>
            </w:r>
            <w:r w:rsidRPr="00475E67">
              <w:rPr>
                <w:rFonts w:ascii="Times New Roman" w:hAnsi="Times New Roman"/>
                <w:sz w:val="20"/>
                <w:szCs w:val="20"/>
                <w:lang w:eastAsia="ru-RU"/>
              </w:rPr>
              <w:t>,</w:t>
            </w:r>
            <w:r>
              <w:rPr>
                <w:rFonts w:ascii="Times New Roman" w:hAnsi="Times New Roman"/>
                <w:sz w:val="20"/>
                <w:szCs w:val="20"/>
                <w:lang w:eastAsia="ru-RU"/>
              </w:rPr>
              <w:t>4</w:t>
            </w:r>
          </w:p>
        </w:tc>
      </w:tr>
      <w:tr w:rsidR="004616EA" w:rsidRPr="00475E67" w:rsidTr="000506D4">
        <w:trPr>
          <w:trHeight w:val="411"/>
          <w:jc w:val="center"/>
        </w:trPr>
        <w:tc>
          <w:tcPr>
            <w:tcW w:w="3752" w:type="dxa"/>
            <w:vMerge w:val="restart"/>
            <w:vAlign w:val="center"/>
          </w:tcPr>
          <w:p w:rsidR="004616EA" w:rsidRPr="00475E67" w:rsidRDefault="004616EA" w:rsidP="00EA5EA0">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 xml:space="preserve">Объем инвестиций в основной капитал за счет всех источников финансирования, млн рублей </w:t>
            </w:r>
          </w:p>
        </w:tc>
        <w:tc>
          <w:tcPr>
            <w:tcW w:w="680" w:type="dxa"/>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2013</w:t>
            </w:r>
          </w:p>
        </w:tc>
        <w:tc>
          <w:tcPr>
            <w:tcW w:w="1438" w:type="dxa"/>
            <w:vAlign w:val="center"/>
          </w:tcPr>
          <w:p w:rsidR="004616EA" w:rsidRPr="00475E67" w:rsidRDefault="004616EA" w:rsidP="00D41AB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w:t>
            </w:r>
            <w:r>
              <w:rPr>
                <w:rFonts w:ascii="Times New Roman" w:hAnsi="Times New Roman"/>
                <w:sz w:val="20"/>
                <w:szCs w:val="20"/>
                <w:lang w:eastAsia="ru-RU"/>
              </w:rPr>
              <w:t>5086</w:t>
            </w:r>
            <w:r w:rsidRPr="00475E67">
              <w:rPr>
                <w:rFonts w:ascii="Times New Roman" w:hAnsi="Times New Roman"/>
                <w:sz w:val="20"/>
                <w:szCs w:val="20"/>
                <w:lang w:eastAsia="ru-RU"/>
              </w:rPr>
              <w:t>,</w:t>
            </w:r>
            <w:r>
              <w:rPr>
                <w:rFonts w:ascii="Times New Roman" w:hAnsi="Times New Roman"/>
                <w:sz w:val="20"/>
                <w:szCs w:val="20"/>
                <w:lang w:eastAsia="ru-RU"/>
              </w:rPr>
              <w:t>6</w:t>
            </w:r>
          </w:p>
        </w:tc>
        <w:tc>
          <w:tcPr>
            <w:tcW w:w="1704" w:type="dxa"/>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w:t>
            </w:r>
            <w:r>
              <w:rPr>
                <w:rFonts w:ascii="Times New Roman" w:hAnsi="Times New Roman"/>
                <w:sz w:val="20"/>
                <w:szCs w:val="20"/>
                <w:lang w:eastAsia="ru-RU"/>
              </w:rPr>
              <w:t>5086</w:t>
            </w:r>
            <w:r w:rsidRPr="00475E67">
              <w:rPr>
                <w:rFonts w:ascii="Times New Roman" w:hAnsi="Times New Roman"/>
                <w:sz w:val="20"/>
                <w:szCs w:val="20"/>
                <w:lang w:eastAsia="ru-RU"/>
              </w:rPr>
              <w:t>,</w:t>
            </w:r>
            <w:r>
              <w:rPr>
                <w:rFonts w:ascii="Times New Roman" w:hAnsi="Times New Roman"/>
                <w:sz w:val="20"/>
                <w:szCs w:val="20"/>
                <w:lang w:eastAsia="ru-RU"/>
              </w:rPr>
              <w:t>6</w:t>
            </w:r>
          </w:p>
        </w:tc>
        <w:tc>
          <w:tcPr>
            <w:tcW w:w="1628" w:type="dxa"/>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w:t>
            </w:r>
            <w:r>
              <w:rPr>
                <w:rFonts w:ascii="Times New Roman" w:hAnsi="Times New Roman"/>
                <w:sz w:val="20"/>
                <w:szCs w:val="20"/>
                <w:lang w:eastAsia="ru-RU"/>
              </w:rPr>
              <w:t>5086</w:t>
            </w:r>
            <w:r w:rsidRPr="00475E67">
              <w:rPr>
                <w:rFonts w:ascii="Times New Roman" w:hAnsi="Times New Roman"/>
                <w:sz w:val="20"/>
                <w:szCs w:val="20"/>
                <w:lang w:eastAsia="ru-RU"/>
              </w:rPr>
              <w:t>,</w:t>
            </w:r>
            <w:r>
              <w:rPr>
                <w:rFonts w:ascii="Times New Roman" w:hAnsi="Times New Roman"/>
                <w:sz w:val="20"/>
                <w:szCs w:val="20"/>
                <w:lang w:eastAsia="ru-RU"/>
              </w:rPr>
              <w:t>6</w:t>
            </w:r>
          </w:p>
        </w:tc>
      </w:tr>
      <w:tr w:rsidR="004616EA" w:rsidRPr="00475E67" w:rsidTr="000506D4">
        <w:trPr>
          <w:trHeight w:val="320"/>
          <w:jc w:val="center"/>
        </w:trPr>
        <w:tc>
          <w:tcPr>
            <w:tcW w:w="3752" w:type="dxa"/>
            <w:vMerge/>
            <w:vAlign w:val="center"/>
          </w:tcPr>
          <w:p w:rsidR="004616EA" w:rsidRPr="00475E67" w:rsidRDefault="004616EA" w:rsidP="000501D7">
            <w:pPr>
              <w:spacing w:after="0" w:line="240" w:lineRule="auto"/>
              <w:jc w:val="center"/>
              <w:rPr>
                <w:rFonts w:ascii="Times New Roman" w:hAnsi="Times New Roman"/>
                <w:sz w:val="20"/>
                <w:szCs w:val="20"/>
                <w:lang w:eastAsia="ru-RU"/>
              </w:rPr>
            </w:pPr>
          </w:p>
        </w:tc>
        <w:tc>
          <w:tcPr>
            <w:tcW w:w="680" w:type="dxa"/>
            <w:vAlign w:val="center"/>
          </w:tcPr>
          <w:p w:rsidR="004616EA" w:rsidRPr="00FF6DF6" w:rsidRDefault="004616EA" w:rsidP="000501D7">
            <w:pPr>
              <w:pStyle w:val="a7"/>
              <w:tabs>
                <w:tab w:val="left" w:pos="426"/>
              </w:tabs>
              <w:spacing w:after="0"/>
              <w:ind w:left="0"/>
              <w:contextualSpacing w:val="0"/>
              <w:jc w:val="center"/>
              <w:rPr>
                <w:rFonts w:ascii="Times New Roman" w:hAnsi="Times New Roman"/>
                <w:lang w:eastAsia="en-US"/>
              </w:rPr>
            </w:pPr>
            <w:r w:rsidRPr="00FF6DF6">
              <w:rPr>
                <w:rFonts w:ascii="Times New Roman" w:hAnsi="Times New Roman"/>
              </w:rPr>
              <w:t>2030</w:t>
            </w:r>
          </w:p>
        </w:tc>
        <w:tc>
          <w:tcPr>
            <w:tcW w:w="1438" w:type="dxa"/>
            <w:vAlign w:val="center"/>
          </w:tcPr>
          <w:p w:rsidR="004616EA" w:rsidRPr="00475E67" w:rsidRDefault="004616EA" w:rsidP="00D41AB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2094</w:t>
            </w:r>
            <w:r>
              <w:rPr>
                <w:rFonts w:ascii="Times New Roman" w:hAnsi="Times New Roman"/>
                <w:sz w:val="20"/>
                <w:szCs w:val="20"/>
                <w:lang w:eastAsia="ru-RU"/>
              </w:rPr>
              <w:t>8</w:t>
            </w:r>
            <w:r w:rsidRPr="00475E67">
              <w:rPr>
                <w:rFonts w:ascii="Times New Roman" w:hAnsi="Times New Roman"/>
                <w:sz w:val="20"/>
                <w:szCs w:val="20"/>
                <w:lang w:eastAsia="ru-RU"/>
              </w:rPr>
              <w:t>,</w:t>
            </w:r>
            <w:r>
              <w:rPr>
                <w:rFonts w:ascii="Times New Roman" w:hAnsi="Times New Roman"/>
                <w:sz w:val="20"/>
                <w:szCs w:val="20"/>
                <w:lang w:eastAsia="ru-RU"/>
              </w:rPr>
              <w:t>0</w:t>
            </w:r>
          </w:p>
        </w:tc>
        <w:tc>
          <w:tcPr>
            <w:tcW w:w="1704" w:type="dxa"/>
            <w:vAlign w:val="center"/>
          </w:tcPr>
          <w:p w:rsidR="004616EA" w:rsidRPr="00475E67" w:rsidRDefault="004616EA" w:rsidP="00D41AB7">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26989</w:t>
            </w:r>
            <w:r w:rsidRPr="00475E67">
              <w:rPr>
                <w:rFonts w:ascii="Times New Roman" w:hAnsi="Times New Roman"/>
                <w:sz w:val="20"/>
                <w:szCs w:val="20"/>
                <w:lang w:eastAsia="ru-RU"/>
              </w:rPr>
              <w:t>,</w:t>
            </w:r>
            <w:r>
              <w:rPr>
                <w:rFonts w:ascii="Times New Roman" w:hAnsi="Times New Roman"/>
                <w:sz w:val="20"/>
                <w:szCs w:val="20"/>
                <w:lang w:eastAsia="ru-RU"/>
              </w:rPr>
              <w:t>4</w:t>
            </w:r>
          </w:p>
        </w:tc>
        <w:tc>
          <w:tcPr>
            <w:tcW w:w="1628" w:type="dxa"/>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34371,4</w:t>
            </w:r>
          </w:p>
        </w:tc>
      </w:tr>
      <w:tr w:rsidR="004616EA" w:rsidRPr="00475E67" w:rsidTr="000506D4">
        <w:trPr>
          <w:trHeight w:val="367"/>
          <w:jc w:val="center"/>
        </w:trPr>
        <w:tc>
          <w:tcPr>
            <w:tcW w:w="3752" w:type="dxa"/>
            <w:vMerge w:val="restart"/>
            <w:vAlign w:val="center"/>
          </w:tcPr>
          <w:p w:rsidR="004616EA" w:rsidRPr="00475E67" w:rsidRDefault="004616EA" w:rsidP="00EA5EA0">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Уровень зарегистрированной безработицы, %</w:t>
            </w:r>
          </w:p>
        </w:tc>
        <w:tc>
          <w:tcPr>
            <w:tcW w:w="680" w:type="dxa"/>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2013</w:t>
            </w:r>
          </w:p>
        </w:tc>
        <w:tc>
          <w:tcPr>
            <w:tcW w:w="1438" w:type="dxa"/>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0,</w:t>
            </w:r>
            <w:r>
              <w:rPr>
                <w:rFonts w:ascii="Times New Roman" w:hAnsi="Times New Roman"/>
                <w:sz w:val="20"/>
                <w:szCs w:val="20"/>
                <w:lang w:eastAsia="ru-RU"/>
              </w:rPr>
              <w:t>39</w:t>
            </w:r>
          </w:p>
        </w:tc>
        <w:tc>
          <w:tcPr>
            <w:tcW w:w="1704" w:type="dxa"/>
            <w:vAlign w:val="center"/>
          </w:tcPr>
          <w:p w:rsidR="004616EA" w:rsidRPr="00475E67" w:rsidRDefault="004616EA" w:rsidP="00D41AB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0,</w:t>
            </w:r>
            <w:r>
              <w:rPr>
                <w:rFonts w:ascii="Times New Roman" w:hAnsi="Times New Roman"/>
                <w:sz w:val="20"/>
                <w:szCs w:val="20"/>
                <w:lang w:eastAsia="ru-RU"/>
              </w:rPr>
              <w:t>39</w:t>
            </w:r>
          </w:p>
        </w:tc>
        <w:tc>
          <w:tcPr>
            <w:tcW w:w="1628" w:type="dxa"/>
            <w:vAlign w:val="center"/>
          </w:tcPr>
          <w:p w:rsidR="004616EA" w:rsidRPr="00475E67" w:rsidRDefault="004616EA" w:rsidP="00D41AB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0,</w:t>
            </w:r>
            <w:r>
              <w:rPr>
                <w:rFonts w:ascii="Times New Roman" w:hAnsi="Times New Roman"/>
                <w:sz w:val="20"/>
                <w:szCs w:val="20"/>
                <w:lang w:eastAsia="ru-RU"/>
              </w:rPr>
              <w:t>39</w:t>
            </w:r>
          </w:p>
        </w:tc>
      </w:tr>
      <w:tr w:rsidR="004616EA" w:rsidRPr="00475E67" w:rsidTr="000506D4">
        <w:trPr>
          <w:trHeight w:val="272"/>
          <w:jc w:val="center"/>
        </w:trPr>
        <w:tc>
          <w:tcPr>
            <w:tcW w:w="3752" w:type="dxa"/>
            <w:vMerge/>
            <w:vAlign w:val="center"/>
          </w:tcPr>
          <w:p w:rsidR="004616EA" w:rsidRPr="00475E67" w:rsidRDefault="004616EA" w:rsidP="000501D7">
            <w:pPr>
              <w:spacing w:after="0" w:line="240" w:lineRule="auto"/>
              <w:jc w:val="center"/>
              <w:rPr>
                <w:rFonts w:ascii="Times New Roman" w:hAnsi="Times New Roman"/>
                <w:sz w:val="20"/>
                <w:szCs w:val="20"/>
                <w:lang w:eastAsia="ru-RU"/>
              </w:rPr>
            </w:pPr>
          </w:p>
        </w:tc>
        <w:tc>
          <w:tcPr>
            <w:tcW w:w="680" w:type="dxa"/>
            <w:vAlign w:val="center"/>
          </w:tcPr>
          <w:p w:rsidR="004616EA" w:rsidRPr="00FF6DF6" w:rsidRDefault="004616EA" w:rsidP="000501D7">
            <w:pPr>
              <w:pStyle w:val="a7"/>
              <w:tabs>
                <w:tab w:val="left" w:pos="426"/>
              </w:tabs>
              <w:spacing w:after="0"/>
              <w:ind w:left="0"/>
              <w:contextualSpacing w:val="0"/>
              <w:jc w:val="center"/>
              <w:rPr>
                <w:rFonts w:ascii="Times New Roman" w:hAnsi="Times New Roman"/>
                <w:lang w:eastAsia="en-US"/>
              </w:rPr>
            </w:pPr>
            <w:r w:rsidRPr="00FF6DF6">
              <w:rPr>
                <w:rFonts w:ascii="Times New Roman" w:hAnsi="Times New Roman"/>
              </w:rPr>
              <w:t>2030</w:t>
            </w:r>
          </w:p>
        </w:tc>
        <w:tc>
          <w:tcPr>
            <w:tcW w:w="1438" w:type="dxa"/>
            <w:vAlign w:val="center"/>
          </w:tcPr>
          <w:p w:rsidR="004616EA" w:rsidRPr="00475E67" w:rsidRDefault="004616EA" w:rsidP="00D41AB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0,</w:t>
            </w:r>
            <w:r>
              <w:rPr>
                <w:rFonts w:ascii="Times New Roman" w:hAnsi="Times New Roman"/>
                <w:sz w:val="20"/>
                <w:szCs w:val="20"/>
                <w:lang w:eastAsia="ru-RU"/>
              </w:rPr>
              <w:t>37</w:t>
            </w:r>
          </w:p>
        </w:tc>
        <w:tc>
          <w:tcPr>
            <w:tcW w:w="1704" w:type="dxa"/>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0,3</w:t>
            </w:r>
          </w:p>
        </w:tc>
        <w:tc>
          <w:tcPr>
            <w:tcW w:w="1628" w:type="dxa"/>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0,</w:t>
            </w:r>
            <w:r>
              <w:rPr>
                <w:rFonts w:ascii="Times New Roman" w:hAnsi="Times New Roman"/>
                <w:sz w:val="20"/>
                <w:szCs w:val="20"/>
                <w:lang w:eastAsia="ru-RU"/>
              </w:rPr>
              <w:t>3</w:t>
            </w:r>
          </w:p>
        </w:tc>
      </w:tr>
    </w:tbl>
    <w:p w:rsidR="004616EA" w:rsidRPr="00475E67" w:rsidRDefault="004616EA" w:rsidP="00973F2A">
      <w:pPr>
        <w:spacing w:after="0" w:line="360" w:lineRule="auto"/>
        <w:ind w:firstLine="708"/>
        <w:jc w:val="both"/>
        <w:rPr>
          <w:rFonts w:ascii="Times New Roman" w:hAnsi="Times New Roman"/>
          <w:sz w:val="24"/>
          <w:szCs w:val="24"/>
          <w:lang w:eastAsia="ru-RU"/>
        </w:rPr>
        <w:sectPr w:rsidR="004616EA" w:rsidRPr="00475E67" w:rsidSect="00F30319">
          <w:pgSz w:w="11906" w:h="16838" w:code="9"/>
          <w:pgMar w:top="1134" w:right="567" w:bottom="1134" w:left="2552" w:header="709" w:footer="709" w:gutter="0"/>
          <w:cols w:space="708"/>
          <w:docGrid w:linePitch="360"/>
        </w:sectPr>
      </w:pPr>
    </w:p>
    <w:p w:rsidR="004616EA" w:rsidRPr="00F30319" w:rsidRDefault="004616EA" w:rsidP="00F30319">
      <w:pPr>
        <w:pStyle w:val="1"/>
        <w:spacing w:before="0" w:after="0"/>
        <w:ind w:firstLine="709"/>
        <w:rPr>
          <w:sz w:val="26"/>
          <w:szCs w:val="26"/>
        </w:rPr>
      </w:pPr>
      <w:bookmarkStart w:id="164" w:name="_Toc369265378"/>
      <w:bookmarkStart w:id="165" w:name="_Toc389051102"/>
      <w:bookmarkStart w:id="166" w:name="_Toc405805522"/>
      <w:r w:rsidRPr="00F30319">
        <w:rPr>
          <w:sz w:val="26"/>
          <w:szCs w:val="26"/>
        </w:rPr>
        <w:t xml:space="preserve">8 Стратегические приоритеты, цели и задачи долгосрочного социально-экономического развития </w:t>
      </w:r>
      <w:bookmarkEnd w:id="164"/>
      <w:bookmarkEnd w:id="165"/>
      <w:r w:rsidRPr="00F30319">
        <w:rPr>
          <w:sz w:val="26"/>
          <w:szCs w:val="26"/>
        </w:rPr>
        <w:t>города когалыма до 2020 года и на период до 2030 года</w:t>
      </w:r>
      <w:bookmarkEnd w:id="166"/>
    </w:p>
    <w:p w:rsidR="004616EA" w:rsidRPr="00F30319" w:rsidRDefault="004616EA" w:rsidP="00F30319">
      <w:pPr>
        <w:spacing w:after="0" w:line="240" w:lineRule="auto"/>
        <w:ind w:firstLine="709"/>
        <w:jc w:val="both"/>
        <w:rPr>
          <w:sz w:val="26"/>
          <w:szCs w:val="26"/>
        </w:rPr>
      </w:pPr>
    </w:p>
    <w:p w:rsidR="004616EA" w:rsidRPr="00F30319" w:rsidRDefault="004616EA" w:rsidP="00F30319">
      <w:pPr>
        <w:pStyle w:val="3"/>
        <w:spacing w:line="240" w:lineRule="auto"/>
        <w:ind w:firstLine="709"/>
        <w:rPr>
          <w:sz w:val="26"/>
        </w:rPr>
      </w:pPr>
      <w:bookmarkStart w:id="167" w:name="_Toc378854669"/>
      <w:bookmarkStart w:id="168" w:name="_Toc389051103"/>
      <w:bookmarkStart w:id="169" w:name="_Toc405805523"/>
      <w:r w:rsidRPr="00F30319">
        <w:rPr>
          <w:sz w:val="26"/>
        </w:rPr>
        <w:t xml:space="preserve">8.1 Стратегические цели и задачи развития </w:t>
      </w:r>
      <w:bookmarkEnd w:id="167"/>
      <w:bookmarkEnd w:id="168"/>
      <w:r w:rsidRPr="00F30319">
        <w:rPr>
          <w:sz w:val="26"/>
        </w:rPr>
        <w:t>города</w:t>
      </w:r>
      <w:bookmarkEnd w:id="169"/>
    </w:p>
    <w:p w:rsidR="004616EA" w:rsidRPr="00F30319" w:rsidRDefault="004616EA" w:rsidP="00F30319">
      <w:pPr>
        <w:tabs>
          <w:tab w:val="left" w:pos="1134"/>
        </w:tabs>
        <w:spacing w:after="0" w:line="240" w:lineRule="auto"/>
        <w:ind w:firstLine="709"/>
        <w:jc w:val="both"/>
        <w:rPr>
          <w:rFonts w:ascii="Times New Roman" w:hAnsi="Times New Roman"/>
          <w:sz w:val="26"/>
          <w:szCs w:val="26"/>
        </w:rPr>
      </w:pPr>
      <w:r w:rsidRPr="00F30319">
        <w:rPr>
          <w:rFonts w:ascii="Times New Roman" w:hAnsi="Times New Roman"/>
          <w:sz w:val="26"/>
          <w:szCs w:val="26"/>
        </w:rPr>
        <w:t xml:space="preserve">Стратегические приоритеты устойчивого социально-экономического развития городского округа город Когалым на долгосрочную перспективу определяются необходимостью максимально эффективного использования существующих возможностей в сочетании с минимизацией объективных внешних и внутренних ограничений развития. </w:t>
      </w:r>
    </w:p>
    <w:p w:rsidR="004616EA" w:rsidRPr="00F30319" w:rsidRDefault="004616EA" w:rsidP="00F30319">
      <w:pPr>
        <w:tabs>
          <w:tab w:val="left" w:pos="1134"/>
        </w:tabs>
        <w:spacing w:after="0" w:line="240" w:lineRule="auto"/>
        <w:ind w:firstLine="709"/>
        <w:jc w:val="both"/>
        <w:rPr>
          <w:rFonts w:ascii="Times New Roman" w:hAnsi="Times New Roman"/>
          <w:sz w:val="26"/>
          <w:szCs w:val="26"/>
        </w:rPr>
      </w:pPr>
      <w:r w:rsidRPr="00F30319">
        <w:rPr>
          <w:rFonts w:ascii="Times New Roman" w:hAnsi="Times New Roman"/>
          <w:sz w:val="26"/>
          <w:szCs w:val="26"/>
        </w:rPr>
        <w:t>Исходя из проведенного комплексного анализа условий социально-экономического развития города Когалыма, определены следующие приоритеты, цели и задачи социально-экономического развития в рамках инвестиционного сценария (</w:t>
      </w:r>
      <w:r w:rsidR="001977F4">
        <w:fldChar w:fldCharType="begin"/>
      </w:r>
      <w:r w:rsidR="001977F4">
        <w:instrText xml:space="preserve"> REF _Ref399931407 \h  \* MERGEFORMAT </w:instrText>
      </w:r>
      <w:r w:rsidR="001977F4">
        <w:fldChar w:fldCharType="separate"/>
      </w:r>
      <w:r w:rsidR="001977F4" w:rsidRPr="001977F4">
        <w:rPr>
          <w:rFonts w:ascii="Times New Roman" w:hAnsi="Times New Roman"/>
          <w:sz w:val="26"/>
          <w:szCs w:val="26"/>
        </w:rPr>
        <w:t xml:space="preserve">Таблица </w:t>
      </w:r>
      <w:r w:rsidR="001977F4" w:rsidRPr="001977F4">
        <w:rPr>
          <w:rFonts w:ascii="Times New Roman" w:hAnsi="Times New Roman"/>
          <w:noProof/>
          <w:sz w:val="26"/>
          <w:szCs w:val="26"/>
        </w:rPr>
        <w:t>11</w:t>
      </w:r>
      <w:r w:rsidR="001977F4">
        <w:fldChar w:fldCharType="end"/>
      </w:r>
      <w:r w:rsidRPr="00F30319">
        <w:rPr>
          <w:rFonts w:ascii="Times New Roman" w:hAnsi="Times New Roman"/>
          <w:sz w:val="26"/>
          <w:szCs w:val="26"/>
        </w:rPr>
        <w:t>).</w:t>
      </w:r>
    </w:p>
    <w:p w:rsidR="004616EA" w:rsidRPr="00F30319" w:rsidRDefault="004616EA" w:rsidP="00F30319">
      <w:pPr>
        <w:tabs>
          <w:tab w:val="left" w:pos="1134"/>
        </w:tabs>
        <w:spacing w:after="0" w:line="240" w:lineRule="auto"/>
        <w:ind w:firstLine="709"/>
        <w:jc w:val="both"/>
        <w:rPr>
          <w:rFonts w:ascii="Times New Roman" w:hAnsi="Times New Roman"/>
          <w:sz w:val="26"/>
          <w:szCs w:val="26"/>
        </w:rPr>
      </w:pPr>
    </w:p>
    <w:p w:rsidR="004616EA" w:rsidRPr="00475E67" w:rsidRDefault="004616EA" w:rsidP="00951B22">
      <w:pPr>
        <w:tabs>
          <w:tab w:val="left" w:pos="1134"/>
        </w:tabs>
        <w:spacing w:after="0"/>
        <w:ind w:firstLine="709"/>
        <w:jc w:val="both"/>
        <w:rPr>
          <w:rFonts w:ascii="Times New Roman" w:hAnsi="Times New Roman"/>
          <w:sz w:val="24"/>
          <w:szCs w:val="24"/>
        </w:rPr>
      </w:pPr>
    </w:p>
    <w:p w:rsidR="004616EA" w:rsidRPr="00475E67" w:rsidRDefault="004616EA" w:rsidP="00951B22">
      <w:pPr>
        <w:tabs>
          <w:tab w:val="left" w:pos="1134"/>
        </w:tabs>
        <w:spacing w:after="0"/>
        <w:ind w:firstLine="709"/>
        <w:jc w:val="both"/>
        <w:rPr>
          <w:rFonts w:ascii="Times New Roman" w:hAnsi="Times New Roman"/>
          <w:sz w:val="24"/>
          <w:szCs w:val="24"/>
        </w:rPr>
        <w:sectPr w:rsidR="004616EA" w:rsidRPr="00475E67" w:rsidSect="00CF65DB">
          <w:pgSz w:w="11906" w:h="16838"/>
          <w:pgMar w:top="1134" w:right="567" w:bottom="1134" w:left="2552" w:header="709" w:footer="709" w:gutter="0"/>
          <w:cols w:space="708"/>
          <w:docGrid w:linePitch="360"/>
        </w:sectPr>
      </w:pPr>
    </w:p>
    <w:p w:rsidR="004616EA" w:rsidRPr="00475E67" w:rsidRDefault="004616EA" w:rsidP="00951B22">
      <w:pPr>
        <w:pStyle w:val="af1"/>
        <w:keepNext/>
        <w:jc w:val="both"/>
        <w:rPr>
          <w:rFonts w:ascii="Times New Roman" w:hAnsi="Times New Roman"/>
          <w:b w:val="0"/>
          <w:color w:val="auto"/>
          <w:sz w:val="24"/>
        </w:rPr>
      </w:pPr>
      <w:bookmarkStart w:id="170" w:name="_Ref399931407"/>
      <w:r w:rsidRPr="00475E67">
        <w:rPr>
          <w:rFonts w:ascii="Times New Roman" w:hAnsi="Times New Roman"/>
          <w:b w:val="0"/>
          <w:color w:val="auto"/>
          <w:sz w:val="24"/>
        </w:rPr>
        <w:t xml:space="preserve">Таблица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Таблица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11</w:t>
      </w:r>
      <w:r w:rsidRPr="00475E67">
        <w:rPr>
          <w:rFonts w:ascii="Times New Roman" w:hAnsi="Times New Roman"/>
          <w:b w:val="0"/>
          <w:color w:val="auto"/>
          <w:sz w:val="24"/>
        </w:rPr>
        <w:fldChar w:fldCharType="end"/>
      </w:r>
      <w:bookmarkEnd w:id="170"/>
      <w:r w:rsidRPr="00475E67">
        <w:rPr>
          <w:rFonts w:ascii="Times New Roman" w:hAnsi="Times New Roman"/>
          <w:b w:val="0"/>
          <w:color w:val="auto"/>
          <w:sz w:val="24"/>
        </w:rPr>
        <w:t xml:space="preserve"> - Приоритеты, цели и задачи социально-экономического развития городского округа город Когалым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10"/>
        <w:gridCol w:w="5531"/>
        <w:gridCol w:w="6479"/>
      </w:tblGrid>
      <w:tr w:rsidR="004616EA" w:rsidRPr="002962FE" w:rsidTr="002962FE">
        <w:trPr>
          <w:trHeight w:val="406"/>
        </w:trPr>
        <w:tc>
          <w:tcPr>
            <w:tcW w:w="1228" w:type="pct"/>
            <w:vAlign w:val="center"/>
          </w:tcPr>
          <w:p w:rsidR="004616EA" w:rsidRPr="002962FE" w:rsidRDefault="004616EA" w:rsidP="002962FE">
            <w:pPr>
              <w:tabs>
                <w:tab w:val="left" w:pos="1134"/>
              </w:tabs>
              <w:spacing w:after="0" w:line="240" w:lineRule="auto"/>
              <w:jc w:val="center"/>
              <w:rPr>
                <w:rFonts w:ascii="Times New Roman" w:hAnsi="Times New Roman"/>
                <w:sz w:val="26"/>
                <w:szCs w:val="26"/>
              </w:rPr>
            </w:pPr>
            <w:r w:rsidRPr="002962FE">
              <w:rPr>
                <w:rFonts w:ascii="Times New Roman" w:hAnsi="Times New Roman"/>
                <w:sz w:val="26"/>
                <w:szCs w:val="26"/>
              </w:rPr>
              <w:t>Приоритеты социально-экономического развития</w:t>
            </w:r>
          </w:p>
        </w:tc>
        <w:tc>
          <w:tcPr>
            <w:tcW w:w="1737" w:type="pct"/>
            <w:vAlign w:val="center"/>
          </w:tcPr>
          <w:p w:rsidR="004616EA" w:rsidRPr="002962FE" w:rsidRDefault="004616EA" w:rsidP="002962FE">
            <w:pPr>
              <w:tabs>
                <w:tab w:val="left" w:pos="1134"/>
              </w:tabs>
              <w:spacing w:after="0" w:line="240" w:lineRule="auto"/>
              <w:jc w:val="center"/>
              <w:rPr>
                <w:rFonts w:ascii="Times New Roman" w:hAnsi="Times New Roman"/>
                <w:sz w:val="26"/>
                <w:szCs w:val="26"/>
              </w:rPr>
            </w:pPr>
            <w:r w:rsidRPr="002962FE">
              <w:rPr>
                <w:rFonts w:ascii="Times New Roman" w:hAnsi="Times New Roman"/>
                <w:sz w:val="26"/>
                <w:szCs w:val="26"/>
              </w:rPr>
              <w:t>Цели социально-экономического развития</w:t>
            </w:r>
          </w:p>
        </w:tc>
        <w:tc>
          <w:tcPr>
            <w:tcW w:w="2035" w:type="pct"/>
            <w:vAlign w:val="center"/>
          </w:tcPr>
          <w:p w:rsidR="004616EA" w:rsidRPr="002962FE" w:rsidRDefault="004616EA" w:rsidP="002962FE">
            <w:pPr>
              <w:tabs>
                <w:tab w:val="left" w:pos="1134"/>
              </w:tabs>
              <w:spacing w:after="0" w:line="240" w:lineRule="auto"/>
              <w:jc w:val="center"/>
              <w:rPr>
                <w:rFonts w:ascii="Times New Roman" w:hAnsi="Times New Roman"/>
                <w:sz w:val="26"/>
                <w:szCs w:val="26"/>
              </w:rPr>
            </w:pPr>
            <w:r w:rsidRPr="002962FE">
              <w:rPr>
                <w:rFonts w:ascii="Times New Roman" w:hAnsi="Times New Roman"/>
                <w:sz w:val="26"/>
                <w:szCs w:val="26"/>
              </w:rPr>
              <w:t>Основные наиболее значимые задачи социально-экономического развития</w:t>
            </w:r>
          </w:p>
        </w:tc>
      </w:tr>
      <w:tr w:rsidR="004616EA" w:rsidRPr="002962FE" w:rsidTr="002962FE">
        <w:tc>
          <w:tcPr>
            <w:tcW w:w="1228" w:type="pct"/>
            <w:vMerge w:val="restart"/>
            <w:vAlign w:val="center"/>
          </w:tcPr>
          <w:p w:rsidR="004616EA" w:rsidRPr="002962FE" w:rsidRDefault="004616EA" w:rsidP="002962FE">
            <w:pPr>
              <w:tabs>
                <w:tab w:val="left" w:pos="1134"/>
              </w:tabs>
              <w:spacing w:after="0" w:line="240" w:lineRule="auto"/>
              <w:jc w:val="center"/>
              <w:rPr>
                <w:rFonts w:ascii="Times New Roman" w:hAnsi="Times New Roman"/>
                <w:sz w:val="26"/>
                <w:szCs w:val="26"/>
              </w:rPr>
            </w:pPr>
            <w:r w:rsidRPr="002962FE">
              <w:rPr>
                <w:rFonts w:ascii="Times New Roman" w:hAnsi="Times New Roman"/>
                <w:sz w:val="26"/>
                <w:szCs w:val="26"/>
              </w:rPr>
              <w:t>Повышение эффективности и конкурентоспособности экономики</w:t>
            </w:r>
          </w:p>
        </w:tc>
        <w:tc>
          <w:tcPr>
            <w:tcW w:w="1737" w:type="pct"/>
            <w:vAlign w:val="center"/>
          </w:tcPr>
          <w:p w:rsidR="004616EA" w:rsidRPr="002962FE" w:rsidRDefault="004616EA" w:rsidP="002962FE">
            <w:pPr>
              <w:tabs>
                <w:tab w:val="left" w:pos="1134"/>
              </w:tabs>
              <w:spacing w:after="0" w:line="240" w:lineRule="auto"/>
              <w:rPr>
                <w:rFonts w:ascii="Times New Roman" w:hAnsi="Times New Roman"/>
                <w:sz w:val="26"/>
                <w:szCs w:val="26"/>
              </w:rPr>
            </w:pPr>
            <w:r w:rsidRPr="002962FE">
              <w:rPr>
                <w:rFonts w:ascii="Times New Roman" w:hAnsi="Times New Roman"/>
                <w:sz w:val="26"/>
                <w:szCs w:val="26"/>
              </w:rPr>
              <w:t>Повышение инвестиционной привлекательности городского округа город Когалым</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создание условий для реализации инвестиционных проектов в реальном секторе экономики и социальном комплексе за счет совершенствования инструментов поддержки и развития практики государственно-частного и муниципально-частного партнерства.</w:t>
            </w:r>
          </w:p>
        </w:tc>
      </w:tr>
      <w:tr w:rsidR="004616EA" w:rsidRPr="002962FE" w:rsidTr="002962FE">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vAlign w:val="center"/>
          </w:tcPr>
          <w:p w:rsidR="004616EA" w:rsidRPr="002962FE" w:rsidRDefault="004616EA" w:rsidP="002962FE">
            <w:pPr>
              <w:tabs>
                <w:tab w:val="left" w:pos="1134"/>
              </w:tabs>
              <w:spacing w:after="0" w:line="240" w:lineRule="auto"/>
              <w:rPr>
                <w:rFonts w:ascii="Times New Roman" w:hAnsi="Times New Roman"/>
                <w:sz w:val="26"/>
                <w:szCs w:val="26"/>
              </w:rPr>
            </w:pPr>
            <w:r w:rsidRPr="002962FE">
              <w:rPr>
                <w:rFonts w:ascii="Times New Roman" w:hAnsi="Times New Roman"/>
                <w:sz w:val="26"/>
                <w:szCs w:val="26"/>
              </w:rPr>
              <w:t>Диверсификация экономики городского округа</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изменение отраслевой структуры экономики городского округа посредством развития альтернативных нефтегазовой сфере отраслей, в первую очередь, за счет развития обрабатывающей промышленности (промышленности строительных материалов, пищевой промышленности и др.).</w:t>
            </w:r>
          </w:p>
        </w:tc>
      </w:tr>
      <w:tr w:rsidR="004616EA" w:rsidRPr="002962FE" w:rsidTr="002962FE">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vAlign w:val="center"/>
          </w:tcPr>
          <w:p w:rsidR="004616EA" w:rsidRPr="002962FE" w:rsidRDefault="004616EA" w:rsidP="002962FE">
            <w:pPr>
              <w:tabs>
                <w:tab w:val="left" w:pos="1134"/>
              </w:tabs>
              <w:spacing w:after="0" w:line="240" w:lineRule="auto"/>
              <w:rPr>
                <w:rFonts w:ascii="Times New Roman" w:hAnsi="Times New Roman"/>
                <w:sz w:val="26"/>
                <w:szCs w:val="26"/>
              </w:rPr>
            </w:pPr>
            <w:r w:rsidRPr="002962FE">
              <w:rPr>
                <w:rFonts w:ascii="Times New Roman" w:hAnsi="Times New Roman"/>
                <w:sz w:val="26"/>
                <w:szCs w:val="26"/>
              </w:rPr>
              <w:t>Кластерное развитие основных отраслей</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расширение и качественное использование существующих сырьевых и промышленных потенциалов.</w:t>
            </w:r>
          </w:p>
        </w:tc>
      </w:tr>
      <w:tr w:rsidR="004616EA" w:rsidRPr="002962FE" w:rsidTr="002962FE">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vAlign w:val="center"/>
          </w:tcPr>
          <w:p w:rsidR="004616EA" w:rsidRPr="002962FE" w:rsidRDefault="004616EA" w:rsidP="002962FE">
            <w:pPr>
              <w:tabs>
                <w:tab w:val="left" w:pos="1134"/>
              </w:tabs>
              <w:spacing w:after="0" w:line="240" w:lineRule="auto"/>
              <w:rPr>
                <w:rFonts w:ascii="Times New Roman" w:hAnsi="Times New Roman"/>
                <w:sz w:val="26"/>
                <w:szCs w:val="26"/>
              </w:rPr>
            </w:pPr>
            <w:r w:rsidRPr="002962FE">
              <w:rPr>
                <w:rFonts w:ascii="Times New Roman" w:hAnsi="Times New Roman"/>
                <w:sz w:val="26"/>
                <w:szCs w:val="26"/>
              </w:rPr>
              <w:t>Создание условий для развития и поддержки субъектов малого и среднего предпринимательства</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содействие развитию малых и средних форм хозяйствования в реальном секторе экономики, прежде всего, в обрабатывающей промышленности;</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совершенствование механизмов финансовой и имущественной поддержки предпринимательства;</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формирование благоприятного общественного мнения о малом и среднем предпринимательстве.</w:t>
            </w:r>
          </w:p>
        </w:tc>
      </w:tr>
      <w:tr w:rsidR="004616EA" w:rsidRPr="002962FE" w:rsidTr="002962FE">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vAlign w:val="center"/>
          </w:tcPr>
          <w:p w:rsidR="004616EA" w:rsidRPr="002962FE" w:rsidRDefault="004616EA" w:rsidP="002962FE">
            <w:pPr>
              <w:tabs>
                <w:tab w:val="left" w:pos="1134"/>
              </w:tabs>
              <w:spacing w:after="0" w:line="240" w:lineRule="auto"/>
              <w:rPr>
                <w:rFonts w:ascii="Times New Roman" w:hAnsi="Times New Roman"/>
                <w:sz w:val="26"/>
                <w:szCs w:val="26"/>
              </w:rPr>
            </w:pPr>
            <w:r w:rsidRPr="002962FE">
              <w:rPr>
                <w:rFonts w:ascii="Times New Roman" w:hAnsi="Times New Roman"/>
                <w:sz w:val="26"/>
                <w:szCs w:val="26"/>
              </w:rPr>
              <w:t>Развитие потребительского рынка</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развитие инфраструктуры и обеспечение доступности потребительского рынка для абсолютного большинства населения городского округа.</w:t>
            </w:r>
          </w:p>
        </w:tc>
      </w:tr>
    </w:tbl>
    <w:p w:rsidR="004616EA" w:rsidRDefault="004616EA">
      <w:pPr>
        <w:sectPr w:rsidR="004616EA" w:rsidSect="00461CB8">
          <w:pgSz w:w="16838" w:h="11906" w:orient="landscape"/>
          <w:pgMar w:top="567" w:right="567" w:bottom="2875"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10"/>
        <w:gridCol w:w="5531"/>
        <w:gridCol w:w="6479"/>
      </w:tblGrid>
      <w:tr w:rsidR="004616EA" w:rsidRPr="002962FE" w:rsidTr="003C6B9E">
        <w:tc>
          <w:tcPr>
            <w:tcW w:w="1228" w:type="pct"/>
            <w:vMerge w:val="restart"/>
            <w:vAlign w:val="center"/>
          </w:tcPr>
          <w:p w:rsidR="004616EA" w:rsidRPr="002962FE" w:rsidRDefault="004616EA" w:rsidP="002962FE">
            <w:pPr>
              <w:tabs>
                <w:tab w:val="left" w:pos="1134"/>
              </w:tabs>
              <w:spacing w:after="0" w:line="240" w:lineRule="auto"/>
              <w:jc w:val="center"/>
              <w:rPr>
                <w:rFonts w:ascii="Times New Roman" w:hAnsi="Times New Roman"/>
                <w:sz w:val="26"/>
                <w:szCs w:val="26"/>
              </w:rPr>
            </w:pPr>
            <w:r w:rsidRPr="002962FE">
              <w:rPr>
                <w:rFonts w:ascii="Times New Roman" w:hAnsi="Times New Roman"/>
                <w:sz w:val="26"/>
                <w:szCs w:val="26"/>
              </w:rPr>
              <w:t>Развитие человеческого капитала</w:t>
            </w:r>
          </w:p>
        </w:tc>
        <w:tc>
          <w:tcPr>
            <w:tcW w:w="1737"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xml:space="preserve">Улучшение демографической ситуации </w:t>
            </w:r>
          </w:p>
        </w:tc>
        <w:tc>
          <w:tcPr>
            <w:tcW w:w="2035" w:type="pct"/>
          </w:tcPr>
          <w:p w:rsidR="004616EA" w:rsidRPr="002962FE" w:rsidRDefault="004616EA" w:rsidP="002962FE">
            <w:pPr>
              <w:widowControl w:val="0"/>
              <w:autoSpaceDE w:val="0"/>
              <w:autoSpaceDN w:val="0"/>
              <w:adjustRightInd w:val="0"/>
              <w:spacing w:after="0" w:line="240" w:lineRule="auto"/>
              <w:rPr>
                <w:rFonts w:ascii="Times New Roman" w:hAnsi="Times New Roman"/>
                <w:sz w:val="26"/>
                <w:szCs w:val="26"/>
              </w:rPr>
            </w:pPr>
            <w:r w:rsidRPr="002962FE">
              <w:rPr>
                <w:rFonts w:ascii="Times New Roman" w:hAnsi="Times New Roman"/>
                <w:sz w:val="26"/>
                <w:szCs w:val="26"/>
              </w:rPr>
              <w:t>- создание условий для сокращения оттока населения;</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повышение уровня рождаемости населения;</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укрепление института семьи.</w:t>
            </w:r>
          </w:p>
        </w:tc>
      </w:tr>
      <w:tr w:rsidR="004616EA" w:rsidRPr="002962FE" w:rsidTr="003C6B9E">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Развитие жилищной сферы</w:t>
            </w:r>
          </w:p>
        </w:tc>
        <w:tc>
          <w:tcPr>
            <w:tcW w:w="2035" w:type="pct"/>
          </w:tcPr>
          <w:p w:rsidR="004616EA" w:rsidRPr="002962FE" w:rsidRDefault="004616EA" w:rsidP="002962FE">
            <w:pPr>
              <w:widowControl w:val="0"/>
              <w:autoSpaceDE w:val="0"/>
              <w:autoSpaceDN w:val="0"/>
              <w:adjustRightInd w:val="0"/>
              <w:spacing w:after="0" w:line="240" w:lineRule="auto"/>
              <w:rPr>
                <w:rFonts w:ascii="Times New Roman" w:hAnsi="Times New Roman"/>
                <w:sz w:val="26"/>
                <w:szCs w:val="26"/>
              </w:rPr>
            </w:pPr>
            <w:r w:rsidRPr="002962FE">
              <w:rPr>
                <w:rFonts w:ascii="Times New Roman" w:hAnsi="Times New Roman"/>
                <w:sz w:val="26"/>
                <w:szCs w:val="26"/>
              </w:rPr>
              <w:t>- увеличение объемов жилищного строительства и уровня средней жилищной обеспеченности;</w:t>
            </w:r>
          </w:p>
          <w:p w:rsidR="004616EA" w:rsidRPr="002962FE" w:rsidRDefault="004616EA" w:rsidP="002962FE">
            <w:pPr>
              <w:widowControl w:val="0"/>
              <w:autoSpaceDE w:val="0"/>
              <w:autoSpaceDN w:val="0"/>
              <w:adjustRightInd w:val="0"/>
              <w:spacing w:after="0" w:line="240" w:lineRule="auto"/>
              <w:rPr>
                <w:rFonts w:ascii="Times New Roman" w:hAnsi="Times New Roman"/>
                <w:sz w:val="26"/>
                <w:szCs w:val="26"/>
              </w:rPr>
            </w:pPr>
            <w:r w:rsidRPr="002962FE">
              <w:rPr>
                <w:rFonts w:ascii="Times New Roman" w:hAnsi="Times New Roman"/>
                <w:sz w:val="26"/>
                <w:szCs w:val="26"/>
              </w:rPr>
              <w:t>- сокращение доли ветхого и аварийного жилищного фонда;</w:t>
            </w:r>
          </w:p>
          <w:p w:rsidR="004616EA" w:rsidRPr="002962FE" w:rsidRDefault="004616EA" w:rsidP="002962FE">
            <w:pPr>
              <w:widowControl w:val="0"/>
              <w:autoSpaceDE w:val="0"/>
              <w:autoSpaceDN w:val="0"/>
              <w:adjustRightInd w:val="0"/>
              <w:spacing w:after="0" w:line="240" w:lineRule="auto"/>
              <w:rPr>
                <w:rFonts w:ascii="Times New Roman" w:hAnsi="Times New Roman"/>
                <w:sz w:val="26"/>
                <w:szCs w:val="26"/>
              </w:rPr>
            </w:pPr>
            <w:r w:rsidRPr="002962FE">
              <w:rPr>
                <w:rFonts w:ascii="Times New Roman" w:hAnsi="Times New Roman"/>
                <w:sz w:val="26"/>
                <w:szCs w:val="26"/>
              </w:rPr>
              <w:t>- помощь в решении жилищных проблем социально уязвимым категориям населения и молодым семьям.</w:t>
            </w:r>
          </w:p>
        </w:tc>
      </w:tr>
      <w:tr w:rsidR="004616EA" w:rsidRPr="002962FE" w:rsidTr="003C6B9E">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Улучшение уровня и качества жизни населения</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осуществление взвешенной и всесторонней социальной политики.</w:t>
            </w:r>
          </w:p>
        </w:tc>
      </w:tr>
      <w:tr w:rsidR="004616EA" w:rsidRPr="002962FE" w:rsidTr="003C6B9E">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Обеспечение сбалансированности рынка труда</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содействие занятости населения, в том числе оказание помощи при трудоустройстве молодежи;</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создание условий для удержания и привлечения молодых высококвалифицированных кадров;</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развитие системы профессионального образования, направленное на соответствие спектра сложившихся направлений подготовки перечню востребованных специальностей в городе Когалыме.</w:t>
            </w:r>
          </w:p>
        </w:tc>
      </w:tr>
      <w:tr w:rsidR="004616EA" w:rsidRPr="002962FE" w:rsidTr="002962FE">
        <w:trPr>
          <w:trHeight w:val="1793"/>
        </w:trPr>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Обеспечение доступности качественного образования, соответствующего современным потребностям общества и каждого жителя города Когалыма</w:t>
            </w:r>
          </w:p>
        </w:tc>
        <w:tc>
          <w:tcPr>
            <w:tcW w:w="2035" w:type="pct"/>
          </w:tcPr>
          <w:p w:rsidR="004616EA" w:rsidRPr="002962FE" w:rsidRDefault="004616EA" w:rsidP="002962FE">
            <w:pPr>
              <w:widowControl w:val="0"/>
              <w:autoSpaceDE w:val="0"/>
              <w:autoSpaceDN w:val="0"/>
              <w:adjustRightInd w:val="0"/>
              <w:spacing w:after="0" w:line="240" w:lineRule="auto"/>
              <w:jc w:val="both"/>
              <w:rPr>
                <w:rFonts w:ascii="Times New Roman" w:hAnsi="Times New Roman"/>
                <w:sz w:val="26"/>
                <w:szCs w:val="26"/>
              </w:rPr>
            </w:pPr>
            <w:r w:rsidRPr="002962FE">
              <w:rPr>
                <w:rFonts w:ascii="Times New Roman" w:hAnsi="Times New Roman"/>
                <w:sz w:val="26"/>
                <w:szCs w:val="26"/>
              </w:rPr>
              <w:t>- укрепление материально-технической базы и развитие инфраструктуры образования;</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поддержка педагогических работников и одаренных детей;</w:t>
            </w:r>
          </w:p>
          <w:p w:rsidR="004616EA" w:rsidRPr="002962FE" w:rsidRDefault="004616EA" w:rsidP="002962FE">
            <w:pPr>
              <w:widowControl w:val="0"/>
              <w:autoSpaceDE w:val="0"/>
              <w:autoSpaceDN w:val="0"/>
              <w:adjustRightInd w:val="0"/>
              <w:spacing w:after="0" w:line="240" w:lineRule="auto"/>
              <w:jc w:val="both"/>
              <w:rPr>
                <w:rFonts w:ascii="Times New Roman" w:hAnsi="Times New Roman"/>
                <w:sz w:val="26"/>
                <w:szCs w:val="26"/>
              </w:rPr>
            </w:pPr>
            <w:r w:rsidRPr="002962FE">
              <w:rPr>
                <w:rFonts w:ascii="Times New Roman" w:hAnsi="Times New Roman"/>
                <w:sz w:val="26"/>
                <w:szCs w:val="26"/>
              </w:rPr>
              <w:t>- повышение квалификации педагогов;</w:t>
            </w:r>
          </w:p>
          <w:p w:rsidR="004616EA" w:rsidRPr="002962FE" w:rsidRDefault="004616EA" w:rsidP="002962FE">
            <w:pPr>
              <w:widowControl w:val="0"/>
              <w:autoSpaceDE w:val="0"/>
              <w:autoSpaceDN w:val="0"/>
              <w:adjustRightInd w:val="0"/>
              <w:spacing w:after="0" w:line="240" w:lineRule="auto"/>
              <w:jc w:val="both"/>
              <w:rPr>
                <w:rFonts w:ascii="Times New Roman" w:hAnsi="Times New Roman"/>
                <w:sz w:val="26"/>
                <w:szCs w:val="26"/>
              </w:rPr>
            </w:pPr>
            <w:r w:rsidRPr="002962FE">
              <w:rPr>
                <w:rFonts w:ascii="Times New Roman" w:hAnsi="Times New Roman"/>
                <w:sz w:val="26"/>
                <w:szCs w:val="26"/>
              </w:rPr>
              <w:t>- улучшение качества образования.</w:t>
            </w:r>
          </w:p>
        </w:tc>
      </w:tr>
    </w:tbl>
    <w:p w:rsidR="004616EA" w:rsidRDefault="004616EA">
      <w:pPr>
        <w:sectPr w:rsidR="004616EA" w:rsidSect="00461CB8">
          <w:type w:val="continuous"/>
          <w:pgSz w:w="16838" w:h="11906" w:orient="landscape"/>
          <w:pgMar w:top="2552" w:right="567" w:bottom="567" w:left="567" w:header="709" w:footer="709" w:gutter="0"/>
          <w:cols w:space="708"/>
          <w:docGrid w:linePitch="360"/>
        </w:sectPr>
      </w:pPr>
    </w:p>
    <w:p w:rsidR="004616EA" w:rsidRDefault="004616EA"/>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10"/>
        <w:gridCol w:w="5531"/>
        <w:gridCol w:w="6479"/>
      </w:tblGrid>
      <w:tr w:rsidR="004616EA" w:rsidRPr="002962FE" w:rsidTr="002962FE">
        <w:tc>
          <w:tcPr>
            <w:tcW w:w="1228" w:type="pct"/>
            <w:vMerge w:val="restart"/>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vAlign w:val="center"/>
          </w:tcPr>
          <w:p w:rsidR="004616EA" w:rsidRPr="002962FE" w:rsidRDefault="004616EA" w:rsidP="002962FE">
            <w:pPr>
              <w:tabs>
                <w:tab w:val="left" w:pos="1134"/>
              </w:tabs>
              <w:spacing w:after="0" w:line="240" w:lineRule="auto"/>
              <w:rPr>
                <w:rFonts w:ascii="Times New Roman" w:hAnsi="Times New Roman"/>
                <w:sz w:val="26"/>
                <w:szCs w:val="26"/>
              </w:rPr>
            </w:pPr>
            <w:r w:rsidRPr="002962FE">
              <w:rPr>
                <w:rFonts w:ascii="Times New Roman" w:hAnsi="Times New Roman"/>
                <w:sz w:val="26"/>
                <w:szCs w:val="26"/>
              </w:rPr>
              <w:t>Создание условий для развития и самореализации молодежи</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повышение эффективности реализации молодежной политики в интересах развития города Когалыма;</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содействие формированию эффективного поведения и успешной социализации молодежи на рынке труда;</w:t>
            </w:r>
          </w:p>
          <w:p w:rsidR="004616EA" w:rsidRPr="002962FE" w:rsidRDefault="004616EA" w:rsidP="002962FE">
            <w:pPr>
              <w:widowControl w:val="0"/>
              <w:tabs>
                <w:tab w:val="left" w:pos="1734"/>
              </w:tabs>
              <w:autoSpaceDE w:val="0"/>
              <w:autoSpaceDN w:val="0"/>
              <w:adjustRightInd w:val="0"/>
              <w:spacing w:after="0" w:line="240" w:lineRule="auto"/>
              <w:jc w:val="both"/>
              <w:rPr>
                <w:rFonts w:ascii="Times New Roman" w:hAnsi="Times New Roman"/>
                <w:sz w:val="26"/>
                <w:szCs w:val="26"/>
              </w:rPr>
            </w:pPr>
            <w:r w:rsidRPr="002962FE">
              <w:rPr>
                <w:rFonts w:ascii="Times New Roman" w:hAnsi="Times New Roman"/>
                <w:sz w:val="26"/>
                <w:szCs w:val="26"/>
              </w:rPr>
              <w:t>- обеспечение деятельности и укрепление материально-технической базы учреждений молодежной политики.</w:t>
            </w:r>
          </w:p>
        </w:tc>
      </w:tr>
      <w:tr w:rsidR="004616EA" w:rsidRPr="002962FE" w:rsidTr="002962FE">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vAlign w:val="center"/>
          </w:tcPr>
          <w:p w:rsidR="004616EA" w:rsidRPr="002962FE" w:rsidRDefault="004616EA" w:rsidP="002962FE">
            <w:pPr>
              <w:tabs>
                <w:tab w:val="left" w:pos="1134"/>
              </w:tabs>
              <w:spacing w:after="0" w:line="240" w:lineRule="auto"/>
              <w:rPr>
                <w:rFonts w:ascii="Times New Roman" w:hAnsi="Times New Roman"/>
                <w:sz w:val="26"/>
                <w:szCs w:val="26"/>
              </w:rPr>
            </w:pPr>
            <w:r w:rsidRPr="002962FE">
              <w:rPr>
                <w:rFonts w:ascii="Times New Roman" w:hAnsi="Times New Roman"/>
                <w:sz w:val="26"/>
                <w:szCs w:val="26"/>
              </w:rPr>
              <w:t>Обеспечение доступности и повышение качества медицинского обслуживания населения</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развитие системы медицинской профилактики, формирование основ здорового образа жизни среди населения;</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-соответствие уровня обеспеченности медицинской помощи потребностям населения и передовым достижениям медицинской науки;</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-совершенствование оказания первичной медико-санитарной помощи, специализированной, включая высокотехнологичную;</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обеспечение условий для оказания доступной и качественной медицинской помощи детям и матерям;</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повышение качества жизни больных тяжелыми неизлечимыми заболеваниями;</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обеспечение системы здравоохранения высококвалифицированными специалистами.</w:t>
            </w:r>
          </w:p>
        </w:tc>
      </w:tr>
      <w:tr w:rsidR="004616EA" w:rsidRPr="002962FE" w:rsidTr="002962FE">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vAlign w:val="center"/>
          </w:tcPr>
          <w:p w:rsidR="004616EA" w:rsidRPr="002962FE" w:rsidRDefault="004616EA" w:rsidP="002962FE">
            <w:pPr>
              <w:tabs>
                <w:tab w:val="left" w:pos="1134"/>
              </w:tabs>
              <w:spacing w:after="0" w:line="240" w:lineRule="auto"/>
              <w:rPr>
                <w:rFonts w:ascii="Times New Roman" w:hAnsi="Times New Roman"/>
                <w:sz w:val="26"/>
                <w:szCs w:val="26"/>
              </w:rPr>
            </w:pPr>
            <w:r w:rsidRPr="002962FE">
              <w:rPr>
                <w:rFonts w:ascii="Times New Roman" w:hAnsi="Times New Roman"/>
                <w:sz w:val="26"/>
                <w:szCs w:val="26"/>
              </w:rPr>
              <w:t>Повышение эффективности деятельности отрасли физическая культура и спорт, достижение спортсменами города Когалыма высших спортивных результатов на окружных, всероссийских и международных спортивных соревнованиях</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развитие массовой физической культуры и спорта, спортивной инфраструктуры;</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пропаганда здорового образа жизни, ориентирующая граждан на занятия физической культурой и спортом;</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подготовка спортивного резерва, поддержка развития спорта высших достижений.</w:t>
            </w:r>
          </w:p>
        </w:tc>
      </w:tr>
    </w:tbl>
    <w:p w:rsidR="004616EA" w:rsidRDefault="004616EA">
      <w:pPr>
        <w:sectPr w:rsidR="004616EA" w:rsidSect="00461CB8">
          <w:type w:val="continuous"/>
          <w:pgSz w:w="16838" w:h="11906" w:orient="landscape"/>
          <w:pgMar w:top="567" w:right="567" w:bottom="3055"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10"/>
        <w:gridCol w:w="5531"/>
        <w:gridCol w:w="6479"/>
      </w:tblGrid>
      <w:tr w:rsidR="004616EA" w:rsidRPr="002962FE" w:rsidTr="003C6B9E">
        <w:tc>
          <w:tcPr>
            <w:tcW w:w="1228" w:type="pct"/>
            <w:vMerge w:val="restart"/>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Сохранение и популяризация культурного наследия города, реализация творческого потенциала жителей города</w:t>
            </w:r>
            <w:r w:rsidRPr="002962FE">
              <w:rPr>
                <w:sz w:val="26"/>
                <w:szCs w:val="26"/>
              </w:rPr>
              <w:t xml:space="preserve">, </w:t>
            </w:r>
            <w:r w:rsidRPr="002962FE">
              <w:rPr>
                <w:rFonts w:ascii="Times New Roman" w:hAnsi="Times New Roman"/>
                <w:sz w:val="26"/>
                <w:szCs w:val="26"/>
              </w:rPr>
              <w:t>повышение качества предоставляемых услуг в области культуры и искусства</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-укрепление материально-технической базы учреждений культуры города;</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xml:space="preserve">-создание благоприятных условий для развития народного самодеятельного творчества, организации досуга населения, развития художественно-творческой деятельности; </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повышение квалификации кадров.</w:t>
            </w:r>
          </w:p>
        </w:tc>
      </w:tr>
      <w:tr w:rsidR="004616EA" w:rsidRPr="002962FE" w:rsidTr="003C6B9E">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Обеспечение доступности объектов социальной инфраструктуры для инвалидов и других маломобильных групп населения</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оснащение объектов транспортной и социальной инфраструктур города приспособлениями и устройствами для беспрепятственного доступа и перемещения инвалидов и маломобильных групп населения;</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обеспечение доступности приоритетных услуг в сфере образования, культуры, для инвалидов и других маломобильных групп населения.</w:t>
            </w:r>
          </w:p>
        </w:tc>
      </w:tr>
      <w:tr w:rsidR="004616EA" w:rsidRPr="002962FE" w:rsidTr="003C6B9E">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Сохранение культуры и традиций коренных малочисленных народов Севера</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социально-экономическое развитие коренных малочисленных народов Севера.</w:t>
            </w:r>
          </w:p>
        </w:tc>
      </w:tr>
      <w:tr w:rsidR="004616EA" w:rsidRPr="002962FE" w:rsidTr="003C6B9E">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tcPr>
          <w:p w:rsidR="004616EA" w:rsidRPr="002962FE" w:rsidRDefault="004616EA" w:rsidP="002962FE">
            <w:pPr>
              <w:tabs>
                <w:tab w:val="left" w:pos="1134"/>
              </w:tabs>
              <w:spacing w:after="0" w:line="240" w:lineRule="auto"/>
              <w:rPr>
                <w:rFonts w:ascii="Times New Roman" w:hAnsi="Times New Roman"/>
                <w:sz w:val="26"/>
                <w:szCs w:val="26"/>
              </w:rPr>
            </w:pPr>
            <w:r w:rsidRPr="002962FE">
              <w:rPr>
                <w:rFonts w:ascii="Times New Roman" w:hAnsi="Times New Roman"/>
                <w:sz w:val="26"/>
                <w:szCs w:val="26"/>
              </w:rPr>
              <w:t>Улучшение экологического состояния территории</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реализация комплекса проектов по повышению комфортности окружающей среды.</w:t>
            </w:r>
          </w:p>
        </w:tc>
      </w:tr>
      <w:tr w:rsidR="004616EA" w:rsidRPr="002962FE" w:rsidTr="003C6B9E">
        <w:tc>
          <w:tcPr>
            <w:tcW w:w="1228" w:type="pct"/>
            <w:vAlign w:val="center"/>
          </w:tcPr>
          <w:p w:rsidR="004616EA" w:rsidRPr="002962FE" w:rsidRDefault="004616EA" w:rsidP="002962FE">
            <w:pPr>
              <w:tabs>
                <w:tab w:val="left" w:pos="1134"/>
              </w:tabs>
              <w:spacing w:after="0" w:line="240" w:lineRule="auto"/>
              <w:jc w:val="center"/>
              <w:rPr>
                <w:rFonts w:ascii="Times New Roman" w:hAnsi="Times New Roman"/>
                <w:sz w:val="26"/>
                <w:szCs w:val="26"/>
              </w:rPr>
            </w:pPr>
            <w:r w:rsidRPr="002962FE">
              <w:rPr>
                <w:rFonts w:ascii="Times New Roman" w:hAnsi="Times New Roman"/>
                <w:sz w:val="26"/>
                <w:szCs w:val="26"/>
              </w:rPr>
              <w:t>Инфраструктурное развитие</w:t>
            </w:r>
          </w:p>
        </w:tc>
        <w:tc>
          <w:tcPr>
            <w:tcW w:w="1737"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Развитие транспортной инфраструктуры</w:t>
            </w:r>
          </w:p>
        </w:tc>
        <w:tc>
          <w:tcPr>
            <w:tcW w:w="2035" w:type="pct"/>
          </w:tcPr>
          <w:p w:rsidR="004616EA" w:rsidRPr="002962FE" w:rsidRDefault="004616EA" w:rsidP="002962FE">
            <w:pPr>
              <w:spacing w:after="0" w:line="240" w:lineRule="auto"/>
              <w:jc w:val="both"/>
              <w:rPr>
                <w:sz w:val="26"/>
                <w:szCs w:val="26"/>
              </w:rPr>
            </w:pPr>
            <w:r w:rsidRPr="002962FE">
              <w:rPr>
                <w:rFonts w:ascii="Times New Roman" w:hAnsi="Times New Roman"/>
                <w:sz w:val="26"/>
                <w:szCs w:val="26"/>
              </w:rPr>
              <w:t>- преобразование транспортного комплекса в скоординированную в пространстве и эффективную коммуникационную систему, удовлетворяющую спрос на все виды перевозок при минимальных затратах времени на их реализацию.</w:t>
            </w:r>
          </w:p>
        </w:tc>
      </w:tr>
      <w:tr w:rsidR="004616EA" w:rsidRPr="002962FE" w:rsidTr="003C6B9E">
        <w:tc>
          <w:tcPr>
            <w:tcW w:w="1228" w:type="pct"/>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Развитие инженерной инфраструктуры</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модернизация инженерных коммуникаций городского округа, устранение инфраструктурных ограничений для роста экономики городского округа.</w:t>
            </w:r>
          </w:p>
        </w:tc>
      </w:tr>
    </w:tbl>
    <w:p w:rsidR="004616EA" w:rsidRDefault="004616EA">
      <w:pPr>
        <w:sectPr w:rsidR="004616EA" w:rsidSect="00461CB8">
          <w:type w:val="continuous"/>
          <w:pgSz w:w="16838" w:h="11906" w:orient="landscape"/>
          <w:pgMar w:top="2552" w:right="567" w:bottom="567" w:left="567" w:header="709" w:footer="709" w:gutter="0"/>
          <w:cols w:space="708"/>
          <w:docGrid w:linePitch="360"/>
        </w:sectPr>
      </w:pPr>
    </w:p>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10"/>
        <w:gridCol w:w="5531"/>
        <w:gridCol w:w="6479"/>
      </w:tblGrid>
      <w:tr w:rsidR="004616EA" w:rsidRPr="002962FE" w:rsidTr="003C6B9E">
        <w:tc>
          <w:tcPr>
            <w:tcW w:w="1228" w:type="pct"/>
            <w:vMerge w:val="restart"/>
            <w:vAlign w:val="center"/>
          </w:tcPr>
          <w:p w:rsidR="004616EA" w:rsidRPr="002962FE" w:rsidRDefault="004616EA" w:rsidP="002962FE">
            <w:pPr>
              <w:tabs>
                <w:tab w:val="left" w:pos="1134"/>
              </w:tabs>
              <w:spacing w:after="0" w:line="240" w:lineRule="auto"/>
              <w:jc w:val="center"/>
              <w:rPr>
                <w:rFonts w:ascii="Times New Roman" w:hAnsi="Times New Roman"/>
                <w:sz w:val="26"/>
                <w:szCs w:val="26"/>
              </w:rPr>
            </w:pPr>
            <w:r w:rsidRPr="002962FE">
              <w:rPr>
                <w:rFonts w:ascii="Times New Roman" w:hAnsi="Times New Roman"/>
                <w:sz w:val="26"/>
                <w:szCs w:val="26"/>
              </w:rPr>
              <w:t>Развитие муниципального управления</w:t>
            </w:r>
          </w:p>
        </w:tc>
        <w:tc>
          <w:tcPr>
            <w:tcW w:w="1737" w:type="pct"/>
          </w:tcPr>
          <w:p w:rsidR="004616EA" w:rsidRPr="002962FE" w:rsidRDefault="004616EA" w:rsidP="002962FE">
            <w:pPr>
              <w:tabs>
                <w:tab w:val="left" w:pos="1134"/>
              </w:tabs>
              <w:spacing w:after="0" w:line="240" w:lineRule="auto"/>
              <w:rPr>
                <w:rFonts w:ascii="Times New Roman" w:hAnsi="Times New Roman"/>
                <w:sz w:val="26"/>
                <w:szCs w:val="26"/>
              </w:rPr>
            </w:pPr>
            <w:r w:rsidRPr="002962FE">
              <w:rPr>
                <w:rFonts w:ascii="Times New Roman" w:hAnsi="Times New Roman"/>
                <w:sz w:val="26"/>
                <w:szCs w:val="26"/>
              </w:rPr>
              <w:t>Создание условий для формирования стабильной и долгосрочной бюджетной системы, совершенствование системы управления муниципальными финансами</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нормативное правовое регулирование в сфере бюджетного процесса и его совершенствование;</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организация результативного бюджетного процесса;</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обеспечение своевременного контроля в финансово-бюджетной сфере;</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совершенствование информационной системы управления муниципальными финансами.</w:t>
            </w:r>
          </w:p>
        </w:tc>
      </w:tr>
      <w:tr w:rsidR="004616EA" w:rsidRPr="002962FE" w:rsidTr="003C6B9E">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tcPr>
          <w:p w:rsidR="004616EA" w:rsidRPr="002962FE" w:rsidRDefault="004616EA" w:rsidP="002962FE">
            <w:pPr>
              <w:spacing w:after="0" w:line="240" w:lineRule="auto"/>
              <w:jc w:val="both"/>
              <w:rPr>
                <w:rFonts w:ascii="Times New Roman" w:hAnsi="Times New Roman"/>
                <w:sz w:val="26"/>
                <w:szCs w:val="26"/>
              </w:rPr>
            </w:pPr>
            <w:r w:rsidRPr="002962FE">
              <w:rPr>
                <w:rFonts w:ascii="Times New Roman" w:hAnsi="Times New Roman"/>
                <w:sz w:val="26"/>
                <w:szCs w:val="26"/>
              </w:rPr>
              <w:t>Формирование эффективной системы управления муниципальным имуществом</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совершенствование системы управления муниципальным имуществом.</w:t>
            </w:r>
          </w:p>
        </w:tc>
      </w:tr>
    </w:tbl>
    <w:p w:rsidR="004616EA" w:rsidRPr="00475E67" w:rsidRDefault="004616EA" w:rsidP="00951B22">
      <w:pPr>
        <w:tabs>
          <w:tab w:val="left" w:pos="1134"/>
        </w:tabs>
        <w:spacing w:after="0"/>
        <w:ind w:firstLine="709"/>
        <w:jc w:val="both"/>
        <w:rPr>
          <w:rFonts w:ascii="Times New Roman" w:hAnsi="Times New Roman"/>
          <w:sz w:val="24"/>
          <w:szCs w:val="24"/>
        </w:rPr>
      </w:pPr>
    </w:p>
    <w:p w:rsidR="004616EA" w:rsidRPr="00475E67" w:rsidRDefault="004616EA" w:rsidP="00951B22">
      <w:pPr>
        <w:tabs>
          <w:tab w:val="left" w:pos="1134"/>
        </w:tabs>
        <w:spacing w:after="0"/>
        <w:ind w:firstLine="709"/>
        <w:jc w:val="both"/>
        <w:rPr>
          <w:rFonts w:ascii="Times New Roman" w:hAnsi="Times New Roman"/>
          <w:sz w:val="24"/>
          <w:szCs w:val="24"/>
        </w:rPr>
      </w:pPr>
    </w:p>
    <w:p w:rsidR="004616EA" w:rsidRPr="00475E67" w:rsidRDefault="004616EA" w:rsidP="00951B22">
      <w:pPr>
        <w:tabs>
          <w:tab w:val="left" w:pos="1134"/>
        </w:tabs>
        <w:spacing w:after="0"/>
        <w:ind w:firstLine="709"/>
        <w:jc w:val="both"/>
        <w:rPr>
          <w:rFonts w:ascii="Times New Roman" w:hAnsi="Times New Roman"/>
          <w:sz w:val="24"/>
          <w:szCs w:val="24"/>
        </w:rPr>
        <w:sectPr w:rsidR="004616EA" w:rsidRPr="00475E67" w:rsidSect="00461CB8">
          <w:type w:val="continuous"/>
          <w:pgSz w:w="16838" w:h="11906" w:orient="landscape"/>
          <w:pgMar w:top="567" w:right="567" w:bottom="2552" w:left="567" w:header="709" w:footer="709" w:gutter="0"/>
          <w:cols w:space="708"/>
          <w:docGrid w:linePitch="360"/>
        </w:sectPr>
      </w:pPr>
    </w:p>
    <w:p w:rsidR="004616EA" w:rsidRPr="002962FE" w:rsidRDefault="004616EA" w:rsidP="002962FE">
      <w:pPr>
        <w:pStyle w:val="3"/>
        <w:spacing w:line="240" w:lineRule="auto"/>
        <w:ind w:firstLine="709"/>
        <w:rPr>
          <w:sz w:val="26"/>
        </w:rPr>
      </w:pPr>
      <w:bookmarkStart w:id="171" w:name="_Toc378854670"/>
      <w:bookmarkStart w:id="172" w:name="_Toc389051104"/>
      <w:bookmarkStart w:id="173" w:name="_Toc405805524"/>
      <w:r w:rsidRPr="002962FE">
        <w:rPr>
          <w:sz w:val="26"/>
        </w:rPr>
        <w:t>8.2 Анализ соответствия стратегических направлений развития города Когалыма и Ханты-Мансийского автономного округа - Югры</w:t>
      </w:r>
      <w:bookmarkEnd w:id="171"/>
      <w:bookmarkEnd w:id="172"/>
      <w:bookmarkEnd w:id="173"/>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Одним из главных условий при выборе направлений развития города Когалыма является их соответствие приоритетам Правительства Ханты-Мансийского автономного округа – Югры, федеральным и региональным отраслевым и территориальным стратегиям. </w:t>
      </w:r>
    </w:p>
    <w:p w:rsidR="004616EA" w:rsidRPr="002962FE" w:rsidRDefault="004616EA" w:rsidP="002962FE">
      <w:pPr>
        <w:tabs>
          <w:tab w:val="left" w:pos="426"/>
        </w:tabs>
        <w:spacing w:after="0" w:line="240" w:lineRule="auto"/>
        <w:ind w:firstLine="709"/>
        <w:jc w:val="both"/>
        <w:rPr>
          <w:rFonts w:ascii="Times New Roman" w:hAnsi="Times New Roman"/>
          <w:sz w:val="26"/>
          <w:szCs w:val="26"/>
        </w:rPr>
      </w:pPr>
      <w:r w:rsidRPr="002962FE">
        <w:rPr>
          <w:rFonts w:ascii="Times New Roman" w:hAnsi="Times New Roman"/>
          <w:sz w:val="26"/>
          <w:szCs w:val="26"/>
        </w:rPr>
        <w:t>Анализ соответствия стратегических направлений развития города Когалыма и Ханты-Мансийского автономного округа – Югры представлен в виде структурированной матрицы «Действие – Цель» (</w:t>
      </w:r>
      <w:r w:rsidR="001977F4">
        <w:fldChar w:fldCharType="begin"/>
      </w:r>
      <w:r w:rsidR="001977F4">
        <w:instrText xml:space="preserve"> REF _Ref400805422 \h  \* MERGEFORMAT </w:instrText>
      </w:r>
      <w:r w:rsidR="001977F4">
        <w:fldChar w:fldCharType="separate"/>
      </w:r>
      <w:r w:rsidR="001977F4" w:rsidRPr="001977F4">
        <w:rPr>
          <w:rFonts w:ascii="Times New Roman" w:hAnsi="Times New Roman"/>
          <w:sz w:val="26"/>
          <w:szCs w:val="26"/>
        </w:rPr>
        <w:t xml:space="preserve">Таблица </w:t>
      </w:r>
      <w:r w:rsidR="001977F4" w:rsidRPr="001977F4">
        <w:rPr>
          <w:rFonts w:ascii="Times New Roman" w:hAnsi="Times New Roman"/>
          <w:noProof/>
          <w:sz w:val="26"/>
          <w:szCs w:val="26"/>
        </w:rPr>
        <w:t>12</w:t>
      </w:r>
      <w:r w:rsidR="001977F4">
        <w:fldChar w:fldCharType="end"/>
      </w:r>
      <w:r w:rsidRPr="002962FE">
        <w:rPr>
          <w:rFonts w:ascii="Times New Roman" w:hAnsi="Times New Roman"/>
          <w:sz w:val="26"/>
          <w:szCs w:val="26"/>
        </w:rPr>
        <w:t>). При определении взаимосвязи учитывается как прямое, так и возможное косвенное влияние на достижение целей регионального Правительства Ханты-Мансийского автономного округа – Югры.</w:t>
      </w:r>
    </w:p>
    <w:p w:rsidR="004616EA" w:rsidRPr="002962FE" w:rsidRDefault="004616EA" w:rsidP="002962FE">
      <w:pPr>
        <w:tabs>
          <w:tab w:val="left" w:pos="426"/>
        </w:tabs>
        <w:spacing w:after="0" w:line="240" w:lineRule="auto"/>
        <w:ind w:firstLine="709"/>
        <w:jc w:val="both"/>
        <w:rPr>
          <w:rFonts w:ascii="Times New Roman" w:hAnsi="Times New Roman"/>
          <w:sz w:val="26"/>
          <w:szCs w:val="26"/>
        </w:rPr>
      </w:pPr>
      <w:r w:rsidRPr="002962FE">
        <w:rPr>
          <w:rFonts w:ascii="Times New Roman" w:hAnsi="Times New Roman"/>
          <w:sz w:val="26"/>
          <w:szCs w:val="26"/>
        </w:rPr>
        <w:t>Комплексная оценка степени влияния стратегических направлений и действий по развитию города Когалыма на достижение приоритетных целей деятельности Правительства Ханты-Мансийского автономного округа – Югры показала, что каждое из выделенных стратегических направлений имеет существенную значимость.</w:t>
      </w:r>
    </w:p>
    <w:p w:rsidR="004616EA" w:rsidRPr="00475E67" w:rsidRDefault="004616EA" w:rsidP="007B4718">
      <w:pPr>
        <w:rPr>
          <w:rFonts w:ascii="Times New Roman" w:hAnsi="Times New Roman"/>
          <w:bCs/>
          <w:sz w:val="24"/>
          <w:szCs w:val="24"/>
        </w:rPr>
        <w:sectPr w:rsidR="004616EA" w:rsidRPr="00475E67" w:rsidSect="00CF65DB">
          <w:pgSz w:w="11906" w:h="16838"/>
          <w:pgMar w:top="1134" w:right="567" w:bottom="1134" w:left="2552" w:header="709" w:footer="709" w:gutter="0"/>
          <w:cols w:space="708"/>
          <w:docGrid w:linePitch="360"/>
        </w:sectPr>
      </w:pPr>
    </w:p>
    <w:p w:rsidR="004616EA" w:rsidRPr="00475E67" w:rsidRDefault="004616EA" w:rsidP="00280CEF">
      <w:pPr>
        <w:pStyle w:val="af1"/>
        <w:keepNext/>
        <w:spacing w:after="0"/>
        <w:rPr>
          <w:rFonts w:ascii="Times New Roman" w:hAnsi="Times New Roman"/>
          <w:b w:val="0"/>
          <w:color w:val="auto"/>
          <w:sz w:val="24"/>
        </w:rPr>
      </w:pPr>
      <w:bookmarkStart w:id="174" w:name="_Ref400805422"/>
      <w:r w:rsidRPr="00475E67">
        <w:rPr>
          <w:rFonts w:ascii="Times New Roman" w:hAnsi="Times New Roman"/>
          <w:b w:val="0"/>
          <w:color w:val="auto"/>
          <w:sz w:val="24"/>
        </w:rPr>
        <w:t xml:space="preserve">Таблица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Таблица \* ARABIC </w:instrText>
      </w:r>
      <w:r w:rsidRPr="00475E67">
        <w:rPr>
          <w:rFonts w:ascii="Times New Roman" w:hAnsi="Times New Roman"/>
          <w:b w:val="0"/>
          <w:color w:val="auto"/>
          <w:sz w:val="24"/>
        </w:rPr>
        <w:fldChar w:fldCharType="separate"/>
      </w:r>
      <w:r w:rsidR="001977F4">
        <w:rPr>
          <w:rFonts w:ascii="Times New Roman" w:hAnsi="Times New Roman"/>
          <w:b w:val="0"/>
          <w:noProof/>
          <w:color w:val="auto"/>
          <w:sz w:val="24"/>
        </w:rPr>
        <w:t>12</w:t>
      </w:r>
      <w:r w:rsidRPr="00475E67">
        <w:rPr>
          <w:rFonts w:ascii="Times New Roman" w:hAnsi="Times New Roman"/>
          <w:b w:val="0"/>
          <w:color w:val="auto"/>
          <w:sz w:val="24"/>
        </w:rPr>
        <w:fldChar w:fldCharType="end"/>
      </w:r>
      <w:bookmarkEnd w:id="174"/>
      <w:r w:rsidRPr="00475E67">
        <w:rPr>
          <w:rFonts w:ascii="Times New Roman" w:hAnsi="Times New Roman"/>
          <w:b w:val="0"/>
          <w:color w:val="auto"/>
          <w:sz w:val="24"/>
        </w:rPr>
        <w:t xml:space="preserve"> - Анализ соответствия стратегических направлений развития города Когалыма и </w:t>
      </w:r>
      <w:r w:rsidRPr="00E30F0B">
        <w:rPr>
          <w:rFonts w:ascii="Times New Roman" w:hAnsi="Times New Roman"/>
          <w:b w:val="0"/>
          <w:color w:val="auto"/>
          <w:sz w:val="24"/>
        </w:rPr>
        <w:t>Ханты-Мансийского автономного округа</w:t>
      </w:r>
      <w:r w:rsidRPr="00475E67">
        <w:rPr>
          <w:rFonts w:ascii="Times New Roman" w:hAnsi="Times New Roman"/>
          <w:b w:val="0"/>
          <w:color w:val="auto"/>
          <w:sz w:val="24"/>
        </w:rPr>
        <w:t xml:space="preserve"> – Югры </w:t>
      </w:r>
    </w:p>
    <w:tbl>
      <w:tblPr>
        <w:tblW w:w="50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89"/>
        <w:gridCol w:w="1560"/>
        <w:gridCol w:w="2350"/>
        <w:gridCol w:w="1657"/>
        <w:gridCol w:w="1101"/>
        <w:gridCol w:w="1101"/>
        <w:gridCol w:w="1316"/>
        <w:gridCol w:w="1214"/>
        <w:gridCol w:w="986"/>
        <w:gridCol w:w="1760"/>
        <w:gridCol w:w="1133"/>
        <w:gridCol w:w="1387"/>
      </w:tblGrid>
      <w:tr w:rsidR="004616EA" w:rsidRPr="00475E67" w:rsidTr="00280CEF">
        <w:trPr>
          <w:trHeight w:val="227"/>
        </w:trPr>
        <w:tc>
          <w:tcPr>
            <w:tcW w:w="152" w:type="pct"/>
            <w:vMerge w:val="restart"/>
            <w:vAlign w:val="center"/>
          </w:tcPr>
          <w:p w:rsidR="004616EA" w:rsidRPr="00475E67" w:rsidRDefault="004616EA" w:rsidP="00280CEF">
            <w:pPr>
              <w:spacing w:after="0" w:line="240" w:lineRule="auto"/>
              <w:jc w:val="center"/>
              <w:rPr>
                <w:rFonts w:ascii="Times New Roman" w:hAnsi="Times New Roman"/>
                <w:sz w:val="20"/>
                <w:szCs w:val="20"/>
              </w:rPr>
            </w:pPr>
            <w:r w:rsidRPr="00475E67">
              <w:rPr>
                <w:rFonts w:ascii="Times New Roman" w:hAnsi="Times New Roman"/>
                <w:sz w:val="20"/>
                <w:szCs w:val="20"/>
              </w:rPr>
              <w:t>№ п/п</w:t>
            </w:r>
          </w:p>
        </w:tc>
        <w:tc>
          <w:tcPr>
            <w:tcW w:w="486" w:type="pct"/>
            <w:vMerge w:val="restart"/>
            <w:vAlign w:val="center"/>
          </w:tcPr>
          <w:p w:rsidR="004616EA" w:rsidRPr="00475E67" w:rsidRDefault="004616EA" w:rsidP="00280CEF">
            <w:pPr>
              <w:spacing w:after="0" w:line="240" w:lineRule="auto"/>
              <w:jc w:val="center"/>
              <w:rPr>
                <w:rFonts w:ascii="Times New Roman" w:hAnsi="Times New Roman"/>
                <w:sz w:val="20"/>
                <w:szCs w:val="20"/>
              </w:rPr>
            </w:pPr>
            <w:r w:rsidRPr="00475E67">
              <w:rPr>
                <w:rFonts w:ascii="Times New Roman" w:hAnsi="Times New Roman"/>
                <w:sz w:val="20"/>
                <w:szCs w:val="20"/>
              </w:rPr>
              <w:t>Стратегические направления развития</w:t>
            </w:r>
          </w:p>
        </w:tc>
        <w:tc>
          <w:tcPr>
            <w:tcW w:w="732" w:type="pct"/>
            <w:vMerge w:val="restart"/>
            <w:vAlign w:val="center"/>
          </w:tcPr>
          <w:p w:rsidR="004616EA" w:rsidRPr="00475E67" w:rsidRDefault="004616EA" w:rsidP="00280CEF">
            <w:pPr>
              <w:spacing w:after="0" w:line="240" w:lineRule="auto"/>
              <w:jc w:val="center"/>
              <w:rPr>
                <w:rFonts w:ascii="Times New Roman" w:hAnsi="Times New Roman"/>
                <w:sz w:val="20"/>
                <w:szCs w:val="20"/>
              </w:rPr>
            </w:pPr>
            <w:r w:rsidRPr="00475E67">
              <w:rPr>
                <w:rFonts w:ascii="Times New Roman" w:hAnsi="Times New Roman"/>
                <w:sz w:val="20"/>
                <w:szCs w:val="20"/>
              </w:rPr>
              <w:t>Стратегические цели</w:t>
            </w:r>
          </w:p>
        </w:tc>
        <w:tc>
          <w:tcPr>
            <w:tcW w:w="3630" w:type="pct"/>
            <w:gridSpan w:val="9"/>
            <w:noWrap/>
            <w:vAlign w:val="center"/>
          </w:tcPr>
          <w:p w:rsidR="004616EA" w:rsidRPr="00475E67" w:rsidRDefault="004616EA" w:rsidP="00280CEF">
            <w:pPr>
              <w:spacing w:after="0" w:line="240" w:lineRule="auto"/>
              <w:jc w:val="center"/>
              <w:rPr>
                <w:rFonts w:ascii="Times New Roman" w:hAnsi="Times New Roman"/>
                <w:sz w:val="20"/>
                <w:szCs w:val="20"/>
              </w:rPr>
            </w:pPr>
            <w:r w:rsidRPr="00475E67">
              <w:rPr>
                <w:rFonts w:ascii="Times New Roman" w:hAnsi="Times New Roman"/>
                <w:sz w:val="20"/>
                <w:szCs w:val="20"/>
              </w:rPr>
              <w:t>Стратегические цели Ханты-Мансийского автономного округа - Югры</w:t>
            </w:r>
          </w:p>
        </w:tc>
      </w:tr>
      <w:tr w:rsidR="004616EA" w:rsidRPr="00475E67" w:rsidTr="00280CEF">
        <w:trPr>
          <w:trHeight w:val="9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vMerge/>
            <w:vAlign w:val="center"/>
          </w:tcPr>
          <w:p w:rsidR="004616EA" w:rsidRPr="00475E67" w:rsidRDefault="004616EA" w:rsidP="000501D7">
            <w:pPr>
              <w:spacing w:after="0"/>
              <w:ind w:right="-65"/>
              <w:jc w:val="center"/>
              <w:rPr>
                <w:rFonts w:ascii="Times New Roman" w:hAnsi="Times New Roman"/>
                <w:sz w:val="20"/>
                <w:szCs w:val="20"/>
              </w:rPr>
            </w:pPr>
          </w:p>
        </w:tc>
        <w:tc>
          <w:tcPr>
            <w:tcW w:w="1990" w:type="pct"/>
            <w:gridSpan w:val="5"/>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 xml:space="preserve">О стратегии социально-экономического развития Ханты-Мансийского автономного округа-Югры до 2020 года и на период до 2030 года (распоряжение правительства Ханты-Мансийского автономного округа - Югры от </w:t>
            </w:r>
            <w:r>
              <w:rPr>
                <w:rFonts w:ascii="Times New Roman" w:hAnsi="Times New Roman"/>
                <w:sz w:val="20"/>
                <w:szCs w:val="20"/>
              </w:rPr>
              <w:t>22.03.2013 №</w:t>
            </w:r>
            <w:r w:rsidRPr="00475E67">
              <w:rPr>
                <w:rFonts w:ascii="Times New Roman" w:hAnsi="Times New Roman"/>
                <w:sz w:val="20"/>
                <w:szCs w:val="20"/>
              </w:rPr>
              <w:t>101-рп)</w:t>
            </w:r>
          </w:p>
        </w:tc>
        <w:tc>
          <w:tcPr>
            <w:tcW w:w="1640" w:type="pct"/>
            <w:gridSpan w:val="4"/>
            <w:vAlign w:val="center"/>
          </w:tcPr>
          <w:p w:rsidR="004616EA" w:rsidRPr="00475E67" w:rsidRDefault="004616EA" w:rsidP="005E2870">
            <w:pPr>
              <w:spacing w:after="0"/>
              <w:ind w:right="-65"/>
              <w:jc w:val="center"/>
              <w:rPr>
                <w:rFonts w:ascii="Times New Roman" w:hAnsi="Times New Roman"/>
                <w:sz w:val="20"/>
                <w:szCs w:val="20"/>
              </w:rPr>
            </w:pPr>
            <w:r w:rsidRPr="00475E67">
              <w:rPr>
                <w:rFonts w:ascii="Times New Roman" w:hAnsi="Times New Roman"/>
                <w:sz w:val="20"/>
                <w:szCs w:val="20"/>
              </w:rPr>
              <w:t xml:space="preserve">О мерах по реализации в Ханты-Мансийском автономном округе Стратегии социально-экономического развития Уральского федерального округа на период до 2020 года (распоряжение Губернатора </w:t>
            </w:r>
            <w:r w:rsidRPr="00E30F0B">
              <w:rPr>
                <w:rFonts w:ascii="Times New Roman" w:hAnsi="Times New Roman"/>
                <w:sz w:val="20"/>
                <w:szCs w:val="20"/>
              </w:rPr>
              <w:t xml:space="preserve">Ханты-Мансийского автономного округа </w:t>
            </w:r>
            <w:r w:rsidRPr="00475E67">
              <w:rPr>
                <w:rFonts w:ascii="Times New Roman" w:hAnsi="Times New Roman"/>
                <w:sz w:val="20"/>
                <w:szCs w:val="20"/>
              </w:rPr>
              <w:t>-Югры от 05.06.2012 №356-рг)</w:t>
            </w:r>
          </w:p>
        </w:tc>
      </w:tr>
      <w:tr w:rsidR="004616EA" w:rsidRPr="00475E67" w:rsidTr="00280CEF">
        <w:trPr>
          <w:trHeight w:val="2393"/>
        </w:trPr>
        <w:tc>
          <w:tcPr>
            <w:tcW w:w="152" w:type="pct"/>
            <w:vMerge/>
            <w:tcBorders>
              <w:bottom w:val="single" w:sz="8" w:space="0" w:color="000000"/>
            </w:tcBorders>
            <w:vAlign w:val="center"/>
          </w:tcPr>
          <w:p w:rsidR="004616EA" w:rsidRPr="00475E67" w:rsidRDefault="004616EA" w:rsidP="000501D7">
            <w:pPr>
              <w:spacing w:after="0"/>
              <w:jc w:val="center"/>
              <w:rPr>
                <w:rFonts w:ascii="Times New Roman" w:hAnsi="Times New Roman"/>
                <w:sz w:val="20"/>
                <w:szCs w:val="20"/>
              </w:rPr>
            </w:pPr>
          </w:p>
        </w:tc>
        <w:tc>
          <w:tcPr>
            <w:tcW w:w="486" w:type="pct"/>
            <w:vMerge/>
            <w:tcBorders>
              <w:bottom w:val="single" w:sz="8" w:space="0" w:color="000000"/>
            </w:tcBorders>
            <w:vAlign w:val="center"/>
          </w:tcPr>
          <w:p w:rsidR="004616EA" w:rsidRPr="00475E67" w:rsidRDefault="004616EA" w:rsidP="000501D7">
            <w:pPr>
              <w:spacing w:after="0"/>
              <w:jc w:val="center"/>
              <w:rPr>
                <w:rFonts w:ascii="Times New Roman" w:hAnsi="Times New Roman"/>
                <w:sz w:val="20"/>
                <w:szCs w:val="20"/>
              </w:rPr>
            </w:pPr>
          </w:p>
        </w:tc>
        <w:tc>
          <w:tcPr>
            <w:tcW w:w="732" w:type="pct"/>
            <w:vMerge/>
            <w:tcBorders>
              <w:bottom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516" w:type="pct"/>
            <w:tcBorders>
              <w:bottom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сохранение макроэкономической стабильности и переход к устойчивому развитию</w:t>
            </w:r>
          </w:p>
        </w:tc>
        <w:tc>
          <w:tcPr>
            <w:tcW w:w="343" w:type="pct"/>
            <w:tcBorders>
              <w:bottom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повышение качества жизни населения, снижение уровня социального неравенства</w:t>
            </w:r>
          </w:p>
        </w:tc>
        <w:tc>
          <w:tcPr>
            <w:tcW w:w="343" w:type="pct"/>
            <w:tcBorders>
              <w:bottom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обеспечение безопасности граждан</w:t>
            </w:r>
          </w:p>
        </w:tc>
        <w:tc>
          <w:tcPr>
            <w:tcW w:w="410" w:type="pct"/>
            <w:tcBorders>
              <w:bottom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обеспечение эффективности системы государственного управления</w:t>
            </w:r>
          </w:p>
        </w:tc>
        <w:tc>
          <w:tcPr>
            <w:tcW w:w="378" w:type="pct"/>
            <w:tcBorders>
              <w:bottom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экологическое развитие</w:t>
            </w:r>
          </w:p>
        </w:tc>
        <w:tc>
          <w:tcPr>
            <w:tcW w:w="307" w:type="pct"/>
            <w:tcBorders>
              <w:bottom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создание условий для эффективного развития экономики</w:t>
            </w:r>
          </w:p>
        </w:tc>
        <w:tc>
          <w:tcPr>
            <w:tcW w:w="548" w:type="pct"/>
            <w:tcBorders>
              <w:bottom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снятие транспортных, энергетических, информационных, телекоммуникационных и других инфраструктурных ограничений</w:t>
            </w:r>
          </w:p>
        </w:tc>
        <w:tc>
          <w:tcPr>
            <w:tcW w:w="353" w:type="pct"/>
            <w:tcBorders>
              <w:bottom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социальное развитие</w:t>
            </w:r>
          </w:p>
        </w:tc>
        <w:tc>
          <w:tcPr>
            <w:tcW w:w="432" w:type="pct"/>
            <w:tcBorders>
              <w:bottom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решение экологических проблем</w:t>
            </w:r>
          </w:p>
        </w:tc>
      </w:tr>
      <w:tr w:rsidR="004616EA" w:rsidRPr="00475E67" w:rsidTr="00280CEF">
        <w:trPr>
          <w:trHeight w:val="200"/>
        </w:trPr>
        <w:tc>
          <w:tcPr>
            <w:tcW w:w="152" w:type="pct"/>
            <w:tcBorders>
              <w:top w:val="single" w:sz="8" w:space="0" w:color="000000"/>
            </w:tcBorders>
            <w:vAlign w:val="center"/>
          </w:tcPr>
          <w:p w:rsidR="004616EA" w:rsidRPr="00475E67" w:rsidRDefault="004616EA" w:rsidP="000501D7">
            <w:pPr>
              <w:spacing w:after="0"/>
              <w:jc w:val="center"/>
              <w:rPr>
                <w:rFonts w:ascii="Times New Roman" w:hAnsi="Times New Roman"/>
                <w:sz w:val="20"/>
                <w:szCs w:val="20"/>
              </w:rPr>
            </w:pPr>
          </w:p>
        </w:tc>
        <w:tc>
          <w:tcPr>
            <w:tcW w:w="486" w:type="pct"/>
            <w:tcBorders>
              <w:top w:val="single" w:sz="8" w:space="0" w:color="000000"/>
            </w:tcBorders>
            <w:vAlign w:val="center"/>
          </w:tcPr>
          <w:p w:rsidR="004616EA" w:rsidRPr="00475E67" w:rsidRDefault="004616EA" w:rsidP="000501D7">
            <w:pPr>
              <w:spacing w:after="0"/>
              <w:jc w:val="center"/>
              <w:rPr>
                <w:rFonts w:ascii="Times New Roman" w:hAnsi="Times New Roman"/>
                <w:sz w:val="20"/>
                <w:szCs w:val="20"/>
              </w:rPr>
            </w:pPr>
            <w:r w:rsidRPr="00475E67">
              <w:rPr>
                <w:rFonts w:ascii="Times New Roman" w:hAnsi="Times New Roman"/>
                <w:sz w:val="20"/>
                <w:szCs w:val="20"/>
              </w:rPr>
              <w:t>1</w:t>
            </w:r>
          </w:p>
        </w:tc>
        <w:tc>
          <w:tcPr>
            <w:tcW w:w="7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2</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3</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4</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5</w:t>
            </w: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6</w:t>
            </w: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7</w:t>
            </w: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9</w:t>
            </w: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9</w:t>
            </w: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10</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11</w:t>
            </w:r>
          </w:p>
        </w:tc>
      </w:tr>
      <w:tr w:rsidR="004616EA" w:rsidRPr="00475E67" w:rsidTr="00280CEF">
        <w:trPr>
          <w:trHeight w:val="75"/>
        </w:trPr>
        <w:tc>
          <w:tcPr>
            <w:tcW w:w="152" w:type="pct"/>
            <w:vMerge w:val="restart"/>
            <w:tcBorders>
              <w:top w:val="single" w:sz="8" w:space="0" w:color="000000"/>
            </w:tcBorders>
            <w:vAlign w:val="center"/>
          </w:tcPr>
          <w:p w:rsidR="004616EA" w:rsidRPr="00475E67" w:rsidRDefault="004616EA" w:rsidP="000501D7">
            <w:pPr>
              <w:spacing w:after="0"/>
              <w:jc w:val="center"/>
              <w:rPr>
                <w:rFonts w:ascii="Times New Roman" w:hAnsi="Times New Roman"/>
                <w:sz w:val="20"/>
                <w:szCs w:val="20"/>
              </w:rPr>
            </w:pPr>
            <w:r w:rsidRPr="00475E67">
              <w:rPr>
                <w:rFonts w:ascii="Times New Roman" w:hAnsi="Times New Roman"/>
                <w:sz w:val="20"/>
                <w:szCs w:val="20"/>
              </w:rPr>
              <w:t>1</w:t>
            </w:r>
          </w:p>
        </w:tc>
        <w:tc>
          <w:tcPr>
            <w:tcW w:w="486" w:type="pct"/>
            <w:vMerge w:val="restart"/>
            <w:tcBorders>
              <w:top w:val="single" w:sz="8" w:space="0" w:color="000000"/>
            </w:tcBorders>
            <w:textDirection w:val="btLr"/>
            <w:vAlign w:val="center"/>
          </w:tcPr>
          <w:p w:rsidR="004616EA" w:rsidRPr="00475E67" w:rsidRDefault="004616EA" w:rsidP="000501D7">
            <w:pPr>
              <w:spacing w:after="0"/>
              <w:ind w:left="113" w:right="113"/>
              <w:jc w:val="center"/>
              <w:rPr>
                <w:rFonts w:ascii="Times New Roman" w:hAnsi="Times New Roman"/>
                <w:sz w:val="20"/>
                <w:szCs w:val="20"/>
              </w:rPr>
            </w:pPr>
            <w:r w:rsidRPr="00475E67">
              <w:rPr>
                <w:rFonts w:ascii="Times New Roman" w:hAnsi="Times New Roman"/>
                <w:sz w:val="20"/>
                <w:szCs w:val="20"/>
              </w:rPr>
              <w:t>Повышение эффективности и конкурентоспособности экономики</w:t>
            </w:r>
          </w:p>
        </w:tc>
        <w:tc>
          <w:tcPr>
            <w:tcW w:w="732" w:type="pct"/>
            <w:tcBorders>
              <w:top w:val="single" w:sz="8" w:space="0" w:color="000000"/>
            </w:tcBorders>
            <w:vAlign w:val="center"/>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повышение инвестиционной привлекательности городского округа город Когалым</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vAlign w:val="center"/>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создание условий для развития и поддержки субъектов малого и среднего предпринимательства</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r w:rsidR="004616EA" w:rsidRPr="00475E67" w:rsidTr="00280CEF">
        <w:trPr>
          <w:trHeight w:val="332"/>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vAlign w:val="center"/>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диверсификация экономики городского округа</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bl>
    <w:p w:rsidR="004616EA" w:rsidRDefault="004616EA">
      <w:pPr>
        <w:sectPr w:rsidR="004616EA" w:rsidSect="00461CB8">
          <w:pgSz w:w="16838" w:h="11906" w:orient="landscape"/>
          <w:pgMar w:top="567" w:right="567" w:bottom="2875" w:left="567" w:header="709" w:footer="709" w:gutter="0"/>
          <w:cols w:space="708"/>
          <w:docGrid w:linePitch="360"/>
        </w:sectPr>
      </w:pPr>
    </w:p>
    <w:tbl>
      <w:tblPr>
        <w:tblW w:w="50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89"/>
        <w:gridCol w:w="1560"/>
        <w:gridCol w:w="2350"/>
        <w:gridCol w:w="1657"/>
        <w:gridCol w:w="1101"/>
        <w:gridCol w:w="1101"/>
        <w:gridCol w:w="1316"/>
        <w:gridCol w:w="1214"/>
        <w:gridCol w:w="986"/>
        <w:gridCol w:w="1760"/>
        <w:gridCol w:w="1133"/>
        <w:gridCol w:w="1387"/>
      </w:tblGrid>
      <w:tr w:rsidR="004616EA" w:rsidRPr="00475E67" w:rsidTr="00280CEF">
        <w:trPr>
          <w:trHeight w:val="339"/>
        </w:trPr>
        <w:tc>
          <w:tcPr>
            <w:tcW w:w="152" w:type="pct"/>
            <w:vMerge w:val="restart"/>
            <w:vAlign w:val="center"/>
          </w:tcPr>
          <w:p w:rsidR="004616EA" w:rsidRPr="00475E67" w:rsidRDefault="004616EA" w:rsidP="000501D7">
            <w:pPr>
              <w:spacing w:after="0"/>
              <w:jc w:val="center"/>
              <w:rPr>
                <w:rFonts w:ascii="Times New Roman" w:hAnsi="Times New Roman"/>
                <w:sz w:val="20"/>
                <w:szCs w:val="20"/>
              </w:rPr>
            </w:pPr>
          </w:p>
        </w:tc>
        <w:tc>
          <w:tcPr>
            <w:tcW w:w="486" w:type="pct"/>
            <w:vMerge w:val="restart"/>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vAlign w:val="center"/>
          </w:tcPr>
          <w:p w:rsidR="004616EA" w:rsidRPr="00475E67" w:rsidRDefault="004616EA" w:rsidP="00501421">
            <w:pPr>
              <w:tabs>
                <w:tab w:val="left" w:pos="1134"/>
              </w:tabs>
              <w:spacing w:after="0"/>
              <w:jc w:val="both"/>
              <w:rPr>
                <w:rFonts w:ascii="Times New Roman" w:hAnsi="Times New Roman"/>
                <w:sz w:val="20"/>
                <w:szCs w:val="20"/>
              </w:rPr>
            </w:pPr>
            <w:r w:rsidRPr="00475E67">
              <w:rPr>
                <w:rFonts w:ascii="Times New Roman" w:hAnsi="Times New Roman"/>
                <w:sz w:val="20"/>
                <w:szCs w:val="20"/>
              </w:rPr>
              <w:t>кластерное развитие основных отраслей</w:t>
            </w:r>
          </w:p>
        </w:tc>
        <w:tc>
          <w:tcPr>
            <w:tcW w:w="516"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78"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548"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53"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vAlign w:val="center"/>
          </w:tcPr>
          <w:p w:rsidR="004616EA" w:rsidRPr="00475E67" w:rsidRDefault="004616EA" w:rsidP="00501421">
            <w:pPr>
              <w:tabs>
                <w:tab w:val="left" w:pos="1134"/>
              </w:tabs>
              <w:spacing w:after="0"/>
              <w:jc w:val="both"/>
              <w:rPr>
                <w:rFonts w:ascii="Times New Roman" w:hAnsi="Times New Roman"/>
                <w:sz w:val="20"/>
                <w:szCs w:val="20"/>
              </w:rPr>
            </w:pPr>
            <w:r w:rsidRPr="00475E67">
              <w:rPr>
                <w:rFonts w:ascii="Times New Roman" w:hAnsi="Times New Roman"/>
                <w:sz w:val="20"/>
                <w:szCs w:val="20"/>
              </w:rPr>
              <w:t>развитие потребительского рынка</w:t>
            </w:r>
          </w:p>
        </w:tc>
        <w:tc>
          <w:tcPr>
            <w:tcW w:w="516"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10"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p>
        </w:tc>
        <w:tc>
          <w:tcPr>
            <w:tcW w:w="548"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p>
        </w:tc>
      </w:tr>
      <w:tr w:rsidR="004616EA" w:rsidRPr="00475E67" w:rsidTr="00280CEF">
        <w:trPr>
          <w:cantSplit/>
          <w:trHeight w:val="1134"/>
        </w:trPr>
        <w:tc>
          <w:tcPr>
            <w:tcW w:w="152" w:type="pct"/>
            <w:vMerge w:val="restart"/>
            <w:vAlign w:val="center"/>
          </w:tcPr>
          <w:p w:rsidR="004616EA" w:rsidRPr="00475E67" w:rsidRDefault="004616EA" w:rsidP="000501D7">
            <w:pPr>
              <w:spacing w:after="0"/>
              <w:jc w:val="center"/>
              <w:rPr>
                <w:rFonts w:ascii="Times New Roman" w:hAnsi="Times New Roman"/>
                <w:sz w:val="20"/>
                <w:szCs w:val="20"/>
              </w:rPr>
            </w:pPr>
            <w:r w:rsidRPr="00475E67">
              <w:rPr>
                <w:rFonts w:ascii="Times New Roman" w:hAnsi="Times New Roman"/>
                <w:sz w:val="20"/>
                <w:szCs w:val="20"/>
              </w:rPr>
              <w:t>2</w:t>
            </w:r>
          </w:p>
        </w:tc>
        <w:tc>
          <w:tcPr>
            <w:tcW w:w="486" w:type="pct"/>
            <w:vMerge w:val="restart"/>
            <w:textDirection w:val="btLr"/>
            <w:vAlign w:val="center"/>
          </w:tcPr>
          <w:p w:rsidR="004616EA" w:rsidRPr="00475E67" w:rsidRDefault="004616EA" w:rsidP="000501D7">
            <w:pPr>
              <w:spacing w:after="0"/>
              <w:ind w:left="113" w:right="113"/>
              <w:jc w:val="center"/>
              <w:rPr>
                <w:rFonts w:ascii="Times New Roman" w:hAnsi="Times New Roman"/>
                <w:sz w:val="20"/>
                <w:szCs w:val="20"/>
              </w:rPr>
            </w:pPr>
            <w:r w:rsidRPr="00475E67">
              <w:rPr>
                <w:rFonts w:ascii="Times New Roman" w:hAnsi="Times New Roman"/>
                <w:sz w:val="20"/>
                <w:szCs w:val="20"/>
              </w:rPr>
              <w:t>Развитие человеческого капитала</w:t>
            </w:r>
          </w:p>
        </w:tc>
        <w:tc>
          <w:tcPr>
            <w:tcW w:w="732" w:type="pct"/>
            <w:tcBorders>
              <w:top w:val="single" w:sz="8" w:space="0" w:color="000000"/>
            </w:tcBorders>
            <w:vAlign w:val="center"/>
          </w:tcPr>
          <w:p w:rsidR="004616EA" w:rsidRPr="00475E67" w:rsidRDefault="004616EA" w:rsidP="000501D7">
            <w:pPr>
              <w:tabs>
                <w:tab w:val="left" w:pos="1134"/>
              </w:tabs>
              <w:spacing w:after="0"/>
              <w:rPr>
                <w:rFonts w:ascii="Times New Roman" w:hAnsi="Times New Roman"/>
                <w:sz w:val="20"/>
                <w:szCs w:val="20"/>
              </w:rPr>
            </w:pPr>
            <w:r w:rsidRPr="00475E67">
              <w:rPr>
                <w:rFonts w:ascii="Times New Roman" w:hAnsi="Times New Roman"/>
                <w:sz w:val="20"/>
                <w:szCs w:val="20"/>
              </w:rPr>
              <w:t xml:space="preserve">развитие жилищной сферы </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улучшение демографической ситуации</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улучшение уровня и качества жизни населения</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обеспечение сбалансированности рынка труда</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413260">
            <w:pPr>
              <w:tabs>
                <w:tab w:val="left" w:pos="1134"/>
              </w:tabs>
              <w:spacing w:after="0"/>
              <w:jc w:val="both"/>
              <w:rPr>
                <w:rFonts w:ascii="Times New Roman" w:hAnsi="Times New Roman"/>
                <w:sz w:val="20"/>
                <w:szCs w:val="20"/>
              </w:rPr>
            </w:pPr>
            <w:r w:rsidRPr="00475E67">
              <w:rPr>
                <w:rFonts w:ascii="Times New Roman" w:hAnsi="Times New Roman"/>
                <w:sz w:val="20"/>
                <w:szCs w:val="20"/>
              </w:rPr>
              <w:t>обеспечение доступности качественного образования, соответствующего современным потребностям общества и каждого жителя города Когалыма</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создание условий для развития и самореализации молодежи</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bl>
    <w:p w:rsidR="004616EA" w:rsidRDefault="004616EA">
      <w:pPr>
        <w:sectPr w:rsidR="004616EA" w:rsidSect="00461CB8">
          <w:type w:val="continuous"/>
          <w:pgSz w:w="16838" w:h="11906" w:orient="landscape"/>
          <w:pgMar w:top="2336" w:right="567" w:bottom="567" w:left="567" w:header="709" w:footer="709" w:gutter="0"/>
          <w:cols w:space="708"/>
          <w:docGrid w:linePitch="360"/>
        </w:sectPr>
      </w:pPr>
    </w:p>
    <w:p w:rsidR="004616EA" w:rsidRDefault="004616EA"/>
    <w:tbl>
      <w:tblPr>
        <w:tblW w:w="50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89"/>
        <w:gridCol w:w="1560"/>
        <w:gridCol w:w="2350"/>
        <w:gridCol w:w="1657"/>
        <w:gridCol w:w="1101"/>
        <w:gridCol w:w="1101"/>
        <w:gridCol w:w="1316"/>
        <w:gridCol w:w="1214"/>
        <w:gridCol w:w="986"/>
        <w:gridCol w:w="1760"/>
        <w:gridCol w:w="1133"/>
        <w:gridCol w:w="1387"/>
      </w:tblGrid>
      <w:tr w:rsidR="004616EA" w:rsidRPr="00475E67" w:rsidTr="00280CEF">
        <w:trPr>
          <w:trHeight w:val="339"/>
        </w:trPr>
        <w:tc>
          <w:tcPr>
            <w:tcW w:w="152" w:type="pct"/>
            <w:vMerge w:val="restart"/>
            <w:vAlign w:val="center"/>
          </w:tcPr>
          <w:p w:rsidR="004616EA" w:rsidRPr="00475E67" w:rsidRDefault="004616EA" w:rsidP="000501D7">
            <w:pPr>
              <w:spacing w:after="0"/>
              <w:jc w:val="center"/>
              <w:rPr>
                <w:rFonts w:ascii="Times New Roman" w:hAnsi="Times New Roman"/>
                <w:sz w:val="20"/>
                <w:szCs w:val="20"/>
              </w:rPr>
            </w:pPr>
          </w:p>
        </w:tc>
        <w:tc>
          <w:tcPr>
            <w:tcW w:w="486" w:type="pct"/>
            <w:vMerge w:val="restart"/>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обеспечение доступности и повышение качества медицинского обслуживания населения</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сохранение и популяризация культурного наследия города, реализация творческого потенциала жителей города, повышение качества предоставляемых услуг в области культуры и искусства</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сохранение культуры и традиций коренных малочисленных народов Севера</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улучшение экологического состояния территории</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развитие городской среды</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r>
      <w:tr w:rsidR="004616EA" w:rsidRPr="00475E67" w:rsidTr="00DD761A">
        <w:trPr>
          <w:trHeight w:val="1587"/>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 xml:space="preserve">повышение эффективности деятельности отрасли физическая культура и спорт, достижение спортсменами города </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bl>
    <w:p w:rsidR="004616EA" w:rsidRDefault="004616EA">
      <w:pPr>
        <w:sectPr w:rsidR="004616EA" w:rsidSect="00461CB8">
          <w:type w:val="continuous"/>
          <w:pgSz w:w="16838" w:h="11906" w:orient="landscape"/>
          <w:pgMar w:top="567" w:right="567" w:bottom="2876" w:left="567" w:header="709" w:footer="709" w:gutter="0"/>
          <w:cols w:space="708"/>
          <w:docGrid w:linePitch="360"/>
        </w:sectPr>
      </w:pPr>
    </w:p>
    <w:tbl>
      <w:tblPr>
        <w:tblW w:w="50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89"/>
        <w:gridCol w:w="1560"/>
        <w:gridCol w:w="2350"/>
        <w:gridCol w:w="1657"/>
        <w:gridCol w:w="1101"/>
        <w:gridCol w:w="1101"/>
        <w:gridCol w:w="1316"/>
        <w:gridCol w:w="1214"/>
        <w:gridCol w:w="986"/>
        <w:gridCol w:w="1760"/>
        <w:gridCol w:w="1133"/>
        <w:gridCol w:w="1387"/>
      </w:tblGrid>
      <w:tr w:rsidR="004616EA" w:rsidRPr="00475E67" w:rsidTr="00280CEF">
        <w:trPr>
          <w:trHeight w:val="339"/>
        </w:trPr>
        <w:tc>
          <w:tcPr>
            <w:tcW w:w="152" w:type="pct"/>
            <w:vMerge w:val="restart"/>
            <w:vAlign w:val="center"/>
          </w:tcPr>
          <w:p w:rsidR="004616EA" w:rsidRPr="00475E67" w:rsidRDefault="004616EA" w:rsidP="000501D7">
            <w:pPr>
              <w:spacing w:after="0"/>
              <w:jc w:val="center"/>
              <w:rPr>
                <w:rFonts w:ascii="Times New Roman" w:hAnsi="Times New Roman"/>
                <w:sz w:val="20"/>
                <w:szCs w:val="20"/>
              </w:rPr>
            </w:pPr>
          </w:p>
        </w:tc>
        <w:tc>
          <w:tcPr>
            <w:tcW w:w="486" w:type="pct"/>
            <w:vMerge w:val="restart"/>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Когалыма высших спортивных результатов на окружных, всероссийских и международных спортивных соревнованиях</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2C364E">
            <w:pPr>
              <w:tabs>
                <w:tab w:val="left" w:pos="1134"/>
              </w:tabs>
              <w:spacing w:after="0"/>
              <w:jc w:val="both"/>
              <w:rPr>
                <w:rFonts w:ascii="Times New Roman" w:hAnsi="Times New Roman"/>
                <w:sz w:val="20"/>
                <w:szCs w:val="20"/>
              </w:rPr>
            </w:pPr>
            <w:r w:rsidRPr="00475E67">
              <w:rPr>
                <w:rFonts w:ascii="Times New Roman" w:hAnsi="Times New Roman"/>
                <w:sz w:val="20"/>
                <w:szCs w:val="20"/>
              </w:rPr>
              <w:t>сохранение культуры и традиций коренных малочисленных народов Севера</w:t>
            </w:r>
          </w:p>
        </w:tc>
        <w:tc>
          <w:tcPr>
            <w:tcW w:w="516"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c>
          <w:tcPr>
            <w:tcW w:w="548"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2C364E">
            <w:pPr>
              <w:tabs>
                <w:tab w:val="left" w:pos="1134"/>
              </w:tabs>
              <w:spacing w:after="0"/>
              <w:jc w:val="both"/>
              <w:rPr>
                <w:rFonts w:ascii="Times New Roman" w:hAnsi="Times New Roman"/>
                <w:sz w:val="20"/>
                <w:szCs w:val="20"/>
              </w:rPr>
            </w:pPr>
            <w:r w:rsidRPr="00475E67">
              <w:rPr>
                <w:rFonts w:ascii="Times New Roman" w:hAnsi="Times New Roman"/>
                <w:sz w:val="20"/>
                <w:szCs w:val="20"/>
              </w:rPr>
              <w:t>обеспечение доступности объектов социальной инфраструктуры для инвалидов и других маломобильных групп населения</w:t>
            </w:r>
          </w:p>
        </w:tc>
        <w:tc>
          <w:tcPr>
            <w:tcW w:w="516"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c>
          <w:tcPr>
            <w:tcW w:w="548"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r>
      <w:tr w:rsidR="004616EA" w:rsidRPr="00475E67" w:rsidTr="00280CEF">
        <w:trPr>
          <w:cantSplit/>
          <w:trHeight w:val="723"/>
        </w:trPr>
        <w:tc>
          <w:tcPr>
            <w:tcW w:w="152" w:type="pct"/>
            <w:vMerge w:val="restart"/>
            <w:vAlign w:val="center"/>
          </w:tcPr>
          <w:p w:rsidR="004616EA" w:rsidRPr="00475E67" w:rsidRDefault="004616EA" w:rsidP="000501D7">
            <w:pPr>
              <w:spacing w:after="0"/>
              <w:jc w:val="center"/>
              <w:rPr>
                <w:rFonts w:ascii="Times New Roman" w:hAnsi="Times New Roman"/>
                <w:sz w:val="20"/>
                <w:szCs w:val="20"/>
              </w:rPr>
            </w:pPr>
            <w:r w:rsidRPr="00475E67">
              <w:rPr>
                <w:rFonts w:ascii="Times New Roman" w:hAnsi="Times New Roman"/>
                <w:sz w:val="20"/>
                <w:szCs w:val="20"/>
              </w:rPr>
              <w:t>3</w:t>
            </w:r>
          </w:p>
        </w:tc>
        <w:tc>
          <w:tcPr>
            <w:tcW w:w="486" w:type="pct"/>
            <w:vMerge w:val="restart"/>
            <w:textDirection w:val="btLr"/>
            <w:vAlign w:val="center"/>
          </w:tcPr>
          <w:p w:rsidR="004616EA" w:rsidRPr="00475E67" w:rsidRDefault="004616EA" w:rsidP="000501D7">
            <w:pPr>
              <w:spacing w:after="0"/>
              <w:ind w:left="113" w:right="113"/>
              <w:jc w:val="center"/>
              <w:rPr>
                <w:rFonts w:ascii="Times New Roman" w:hAnsi="Times New Roman"/>
                <w:sz w:val="20"/>
                <w:szCs w:val="20"/>
              </w:rPr>
            </w:pPr>
            <w:r w:rsidRPr="00475E67">
              <w:rPr>
                <w:rFonts w:ascii="Times New Roman" w:hAnsi="Times New Roman"/>
                <w:sz w:val="20"/>
                <w:szCs w:val="20"/>
              </w:rPr>
              <w:t>Инфраструктурное развитие</w:t>
            </w:r>
          </w:p>
        </w:tc>
        <w:tc>
          <w:tcPr>
            <w:tcW w:w="732" w:type="pct"/>
            <w:tcBorders>
              <w:top w:val="single" w:sz="8" w:space="0" w:color="000000"/>
            </w:tcBorders>
            <w:vAlign w:val="center"/>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развитие транспортной инфраструктуры</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vAlign w:val="center"/>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развитие инженерной инфраструктуры</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vAlign w:val="center"/>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развитие информационно-телекоммуникационного комплекса</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bl>
    <w:p w:rsidR="004616EA" w:rsidRDefault="004616EA">
      <w:pPr>
        <w:sectPr w:rsidR="004616EA" w:rsidSect="00461CB8">
          <w:type w:val="continuous"/>
          <w:pgSz w:w="16838" w:h="11906" w:orient="landscape"/>
          <w:pgMar w:top="2552" w:right="567" w:bottom="567" w:left="567" w:header="709" w:footer="709" w:gutter="0"/>
          <w:cols w:space="708"/>
          <w:docGrid w:linePitch="360"/>
        </w:sectPr>
      </w:pPr>
    </w:p>
    <w:p w:rsidR="004616EA" w:rsidRDefault="004616EA"/>
    <w:tbl>
      <w:tblPr>
        <w:tblW w:w="50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89"/>
        <w:gridCol w:w="1560"/>
        <w:gridCol w:w="2350"/>
        <w:gridCol w:w="1657"/>
        <w:gridCol w:w="1101"/>
        <w:gridCol w:w="1101"/>
        <w:gridCol w:w="1316"/>
        <w:gridCol w:w="1214"/>
        <w:gridCol w:w="986"/>
        <w:gridCol w:w="1760"/>
        <w:gridCol w:w="1133"/>
        <w:gridCol w:w="1387"/>
      </w:tblGrid>
      <w:tr w:rsidR="004616EA" w:rsidRPr="00475E67" w:rsidTr="00280CEF">
        <w:trPr>
          <w:trHeight w:val="200"/>
        </w:trPr>
        <w:tc>
          <w:tcPr>
            <w:tcW w:w="152" w:type="pct"/>
            <w:vMerge w:val="restart"/>
            <w:tcBorders>
              <w:top w:val="single" w:sz="8" w:space="0" w:color="000000"/>
            </w:tcBorders>
            <w:vAlign w:val="center"/>
          </w:tcPr>
          <w:p w:rsidR="004616EA" w:rsidRPr="00475E67" w:rsidRDefault="004616EA" w:rsidP="000501D7">
            <w:pPr>
              <w:keepNext/>
              <w:keepLines/>
              <w:spacing w:after="0"/>
              <w:jc w:val="center"/>
              <w:rPr>
                <w:rFonts w:ascii="Times New Roman" w:hAnsi="Times New Roman"/>
                <w:sz w:val="20"/>
                <w:szCs w:val="20"/>
              </w:rPr>
            </w:pPr>
            <w:r w:rsidRPr="00475E67">
              <w:rPr>
                <w:rFonts w:ascii="Times New Roman" w:hAnsi="Times New Roman"/>
                <w:sz w:val="20"/>
                <w:szCs w:val="20"/>
              </w:rPr>
              <w:t>4</w:t>
            </w:r>
          </w:p>
        </w:tc>
        <w:tc>
          <w:tcPr>
            <w:tcW w:w="486" w:type="pct"/>
            <w:vMerge w:val="restart"/>
            <w:tcBorders>
              <w:top w:val="single" w:sz="8" w:space="0" w:color="000000"/>
            </w:tcBorders>
            <w:textDirection w:val="btLr"/>
            <w:vAlign w:val="center"/>
          </w:tcPr>
          <w:p w:rsidR="004616EA" w:rsidRPr="00475E67" w:rsidRDefault="004616EA" w:rsidP="000501D7">
            <w:pPr>
              <w:keepNext/>
              <w:keepLines/>
              <w:spacing w:after="0"/>
              <w:ind w:left="113" w:right="113"/>
              <w:jc w:val="center"/>
              <w:rPr>
                <w:rFonts w:ascii="Times New Roman" w:hAnsi="Times New Roman"/>
                <w:sz w:val="20"/>
                <w:szCs w:val="20"/>
              </w:rPr>
            </w:pPr>
            <w:r w:rsidRPr="00475E67">
              <w:rPr>
                <w:rFonts w:ascii="Times New Roman" w:hAnsi="Times New Roman"/>
                <w:sz w:val="20"/>
                <w:szCs w:val="20"/>
              </w:rPr>
              <w:t>Развитие муниципального управления</w:t>
            </w:r>
          </w:p>
        </w:tc>
        <w:tc>
          <w:tcPr>
            <w:tcW w:w="732" w:type="pct"/>
            <w:tcBorders>
              <w:top w:val="single" w:sz="8" w:space="0" w:color="000000"/>
            </w:tcBorders>
            <w:vAlign w:val="center"/>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создание условий для создания стабильной и долгосрочной бюджетной системы, совершенствование системы управления муниципальными финансами</w:t>
            </w:r>
          </w:p>
        </w:tc>
        <w:tc>
          <w:tcPr>
            <w:tcW w:w="516"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r w:rsidRPr="00475E67">
              <w:rPr>
                <w:rFonts w:ascii="Times New Roman" w:hAnsi="Times New Roman"/>
                <w:sz w:val="20"/>
                <w:szCs w:val="20"/>
              </w:rPr>
              <w:t>+</w:t>
            </w:r>
          </w:p>
        </w:tc>
        <w:tc>
          <w:tcPr>
            <w:tcW w:w="378"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r w:rsidRPr="00475E67">
              <w:rPr>
                <w:rFonts w:ascii="Times New Roman" w:hAnsi="Times New Roman"/>
                <w:sz w:val="20"/>
                <w:szCs w:val="20"/>
              </w:rPr>
              <w:t>+</w:t>
            </w:r>
          </w:p>
        </w:tc>
        <w:tc>
          <w:tcPr>
            <w:tcW w:w="548"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p>
        </w:tc>
        <w:tc>
          <w:tcPr>
            <w:tcW w:w="432"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p>
        </w:tc>
      </w:tr>
      <w:tr w:rsidR="004616EA" w:rsidRPr="00475E67" w:rsidTr="00280CEF">
        <w:trPr>
          <w:trHeight w:val="200"/>
        </w:trPr>
        <w:tc>
          <w:tcPr>
            <w:tcW w:w="152" w:type="pct"/>
            <w:vMerge/>
            <w:vAlign w:val="center"/>
          </w:tcPr>
          <w:p w:rsidR="004616EA" w:rsidRPr="00475E67" w:rsidRDefault="004616EA" w:rsidP="000501D7">
            <w:pPr>
              <w:keepNext/>
              <w:keepLines/>
              <w:spacing w:after="0"/>
              <w:jc w:val="center"/>
              <w:rPr>
                <w:rFonts w:ascii="Times New Roman" w:hAnsi="Times New Roman"/>
                <w:sz w:val="20"/>
                <w:szCs w:val="20"/>
              </w:rPr>
            </w:pPr>
          </w:p>
        </w:tc>
        <w:tc>
          <w:tcPr>
            <w:tcW w:w="486" w:type="pct"/>
            <w:vMerge/>
            <w:vAlign w:val="center"/>
          </w:tcPr>
          <w:p w:rsidR="004616EA" w:rsidRPr="00475E67" w:rsidRDefault="004616EA" w:rsidP="000501D7">
            <w:pPr>
              <w:keepNext/>
              <w:keepLines/>
              <w:spacing w:after="0"/>
              <w:jc w:val="center"/>
              <w:rPr>
                <w:rFonts w:ascii="Times New Roman" w:hAnsi="Times New Roman"/>
                <w:sz w:val="20"/>
                <w:szCs w:val="20"/>
              </w:rPr>
            </w:pPr>
          </w:p>
        </w:tc>
        <w:tc>
          <w:tcPr>
            <w:tcW w:w="732" w:type="pct"/>
            <w:tcBorders>
              <w:top w:val="single" w:sz="8" w:space="0" w:color="000000"/>
            </w:tcBorders>
            <w:vAlign w:val="center"/>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формирование эффективной системы управления муниципальным имуществом</w:t>
            </w:r>
          </w:p>
        </w:tc>
        <w:tc>
          <w:tcPr>
            <w:tcW w:w="516"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r w:rsidRPr="00475E67">
              <w:rPr>
                <w:rFonts w:ascii="Times New Roman" w:hAnsi="Times New Roman"/>
                <w:sz w:val="20"/>
                <w:szCs w:val="20"/>
              </w:rPr>
              <w:t>+</w:t>
            </w:r>
          </w:p>
        </w:tc>
        <w:tc>
          <w:tcPr>
            <w:tcW w:w="378"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r w:rsidRPr="00475E67">
              <w:rPr>
                <w:rFonts w:ascii="Times New Roman" w:hAnsi="Times New Roman"/>
                <w:sz w:val="20"/>
                <w:szCs w:val="20"/>
              </w:rPr>
              <w:t>+</w:t>
            </w:r>
          </w:p>
        </w:tc>
        <w:tc>
          <w:tcPr>
            <w:tcW w:w="548"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r w:rsidRPr="00475E67">
              <w:rPr>
                <w:rFonts w:ascii="Times New Roman" w:hAnsi="Times New Roman"/>
                <w:sz w:val="20"/>
                <w:szCs w:val="20"/>
              </w:rPr>
              <w:t>+</w:t>
            </w:r>
          </w:p>
        </w:tc>
        <w:tc>
          <w:tcPr>
            <w:tcW w:w="353"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p>
        </w:tc>
      </w:tr>
    </w:tbl>
    <w:p w:rsidR="004616EA" w:rsidRPr="00475E67" w:rsidRDefault="004616EA" w:rsidP="00A60AF8">
      <w:pPr>
        <w:tabs>
          <w:tab w:val="left" w:pos="426"/>
        </w:tabs>
        <w:spacing w:after="0"/>
        <w:ind w:firstLine="709"/>
        <w:jc w:val="both"/>
        <w:rPr>
          <w:rStyle w:val="a4"/>
          <w:noProof/>
          <w:color w:val="auto"/>
          <w:sz w:val="24"/>
          <w:szCs w:val="24"/>
          <w:u w:val="none"/>
        </w:rPr>
        <w:sectPr w:rsidR="004616EA" w:rsidRPr="00475E67" w:rsidSect="00461CB8">
          <w:type w:val="continuous"/>
          <w:pgSz w:w="16838" w:h="11906" w:orient="landscape"/>
          <w:pgMar w:top="567" w:right="567" w:bottom="2552" w:left="567" w:header="709" w:footer="709" w:gutter="0"/>
          <w:cols w:space="708"/>
          <w:docGrid w:linePitch="360"/>
        </w:sectPr>
      </w:pPr>
    </w:p>
    <w:p w:rsidR="004616EA" w:rsidRPr="00280CEF" w:rsidRDefault="004616EA" w:rsidP="00280CEF">
      <w:pPr>
        <w:pStyle w:val="3"/>
        <w:spacing w:line="240" w:lineRule="auto"/>
        <w:ind w:firstLine="709"/>
        <w:rPr>
          <w:sz w:val="26"/>
        </w:rPr>
      </w:pPr>
      <w:bookmarkStart w:id="175" w:name="_Toc405805525"/>
      <w:r w:rsidRPr="00280CEF">
        <w:rPr>
          <w:sz w:val="26"/>
        </w:rPr>
        <w:t>8.3 Анализ охвата существующих проблем городского округа муниципальными программами</w:t>
      </w:r>
      <w:bookmarkEnd w:id="175"/>
    </w:p>
    <w:p w:rsidR="004616EA" w:rsidRPr="00280CEF" w:rsidRDefault="004616EA" w:rsidP="00280CEF">
      <w:pPr>
        <w:tabs>
          <w:tab w:val="left" w:pos="0"/>
        </w:tabs>
        <w:spacing w:after="0" w:line="240" w:lineRule="auto"/>
        <w:ind w:firstLine="709"/>
        <w:jc w:val="both"/>
        <w:rPr>
          <w:rFonts w:ascii="Times New Roman" w:hAnsi="Times New Roman"/>
          <w:sz w:val="26"/>
          <w:szCs w:val="26"/>
        </w:rPr>
      </w:pPr>
      <w:r w:rsidRPr="00280CEF">
        <w:rPr>
          <w:rFonts w:ascii="Times New Roman" w:hAnsi="Times New Roman"/>
          <w:sz w:val="26"/>
          <w:szCs w:val="26"/>
        </w:rPr>
        <w:t>Проведенный анализ взаимосвязи муниципальных программ социально-экономического развития и существующих проблем города Когалыма позволяет сделать следующие выводы:</w:t>
      </w:r>
    </w:p>
    <w:p w:rsidR="004616EA" w:rsidRPr="00280CEF" w:rsidRDefault="004616EA" w:rsidP="00280CEF">
      <w:pPr>
        <w:numPr>
          <w:ilvl w:val="0"/>
          <w:numId w:val="89"/>
        </w:numPr>
        <w:tabs>
          <w:tab w:val="left" w:pos="426"/>
          <w:tab w:val="center" w:pos="993"/>
          <w:tab w:val="left" w:pos="1276"/>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 xml:space="preserve">Все существующие проблемы социально-экономического развития городского округа могут быть решены с помощью использования методов программно-целевого планирования, прогнозирования и исполнения бюджета муниципального образования. </w:t>
      </w:r>
    </w:p>
    <w:p w:rsidR="004616EA" w:rsidRPr="00280CEF" w:rsidRDefault="004616EA" w:rsidP="00280CEF">
      <w:pPr>
        <w:tabs>
          <w:tab w:val="left" w:pos="426"/>
          <w:tab w:val="center" w:pos="993"/>
          <w:tab w:val="left" w:pos="1276"/>
        </w:tabs>
        <w:spacing w:after="0" w:line="240" w:lineRule="auto"/>
        <w:ind w:firstLine="709"/>
        <w:jc w:val="both"/>
        <w:rPr>
          <w:rFonts w:ascii="Times New Roman" w:hAnsi="Times New Roman"/>
          <w:sz w:val="26"/>
          <w:szCs w:val="26"/>
        </w:rPr>
      </w:pPr>
      <w:r w:rsidRPr="00280CEF">
        <w:rPr>
          <w:rFonts w:ascii="Times New Roman" w:hAnsi="Times New Roman"/>
          <w:sz w:val="26"/>
          <w:szCs w:val="26"/>
        </w:rPr>
        <w:t xml:space="preserve">В тоже время необходимо отметить, что доля проблем и программ с косвенным (слабым) уровнем зависимости составляет 26,9 % от общего количества, со средним уровнем зависимости – 35,6 %, с высоким уровнем зависимости – 37,5 %. </w:t>
      </w:r>
    </w:p>
    <w:p w:rsidR="004616EA" w:rsidRPr="00280CEF" w:rsidRDefault="004616EA" w:rsidP="00280CEF">
      <w:pPr>
        <w:numPr>
          <w:ilvl w:val="0"/>
          <w:numId w:val="89"/>
        </w:numPr>
        <w:tabs>
          <w:tab w:val="left" w:pos="426"/>
          <w:tab w:val="center" w:pos="993"/>
          <w:tab w:val="left" w:pos="1276"/>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Наибольшая степень охвата мероприятиями программ приходится на целевой стратегический ориентир «Повышение эффективности и конкурентоспособности экономики», на втором месте – «Развитие человеческого капитала», на третьем месте – «Инфраструктурное развитие», на четвертом – «Развитие муниципального управления».</w:t>
      </w:r>
    </w:p>
    <w:p w:rsidR="004616EA" w:rsidRPr="00280CEF" w:rsidRDefault="004616EA" w:rsidP="00280CEF">
      <w:pPr>
        <w:numPr>
          <w:ilvl w:val="0"/>
          <w:numId w:val="89"/>
        </w:numPr>
        <w:tabs>
          <w:tab w:val="left" w:pos="426"/>
          <w:tab w:val="center" w:pos="993"/>
          <w:tab w:val="left" w:pos="1276"/>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 xml:space="preserve">Среди проблем, требующих оперативного решения (проблемы высшего приоритета) наибольшая степень охвата мероприятиями программ отмечается у следующих проблем: </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 xml:space="preserve">неравномерное развитие экономики городского округа, низкий уровень диверсификации экономики; </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высокая зависимость социально-экономического развития городского округа от нефтегазодобывающей отрасли;</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ограниченность ресурсов (за исключением нефти) для развития обрабатывающих отраслей;</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слабое использование возможностей территории, в частности строительных материалов (песка, торфа) и пищевых лесных ресурсов (дикоросов);</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слабый уровень развития малого предпринимательства и сферы предоставления услуг населению;</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недостаточная обеспеченность населения общеобразовательными организациями, организациями дополнительного образования детей;</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наличие непригодного для проживания жилищного фонда (ветхого и аварийного);</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отсутствие дорог с капитальным покрытием в районах индивидуальной и малоэтажной застройки.</w:t>
      </w:r>
    </w:p>
    <w:p w:rsidR="004616EA" w:rsidRPr="00280CEF" w:rsidRDefault="004616EA" w:rsidP="00280CEF">
      <w:pPr>
        <w:tabs>
          <w:tab w:val="left" w:pos="426"/>
          <w:tab w:val="left" w:pos="1134"/>
        </w:tabs>
        <w:spacing w:after="0" w:line="240" w:lineRule="auto"/>
        <w:ind w:firstLine="709"/>
        <w:jc w:val="both"/>
        <w:rPr>
          <w:rFonts w:ascii="Times New Roman" w:hAnsi="Times New Roman"/>
          <w:sz w:val="26"/>
          <w:szCs w:val="26"/>
        </w:rPr>
      </w:pPr>
      <w:r w:rsidRPr="00280CEF">
        <w:rPr>
          <w:rFonts w:ascii="Times New Roman" w:hAnsi="Times New Roman"/>
          <w:sz w:val="26"/>
          <w:szCs w:val="26"/>
        </w:rPr>
        <w:t xml:space="preserve">Среди проблем, решаемых в среднесрочной перспективе (проблемы среднего приоритета), наибольшая степень охвата мероприятиями программ отмечается у проблем: </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недостаточный уровень инвестиций в основные фонды несырьевых секторов экономики;</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низкий уровень обеспеченности учреждениями культуры и искусства;</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недостаточный уровень доступности объектов социальной инфраструктуры для инвалидов и других маломобильных групп населения;</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недостаточный уровень развития кадрового потенциала;</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наличие в городском округе всего одного нефтеперерабатывающего завода.</w:t>
      </w:r>
    </w:p>
    <w:p w:rsidR="004616EA" w:rsidRPr="00280CEF" w:rsidRDefault="004616EA" w:rsidP="00280CEF">
      <w:pPr>
        <w:tabs>
          <w:tab w:val="left" w:pos="426"/>
          <w:tab w:val="left" w:pos="1134"/>
        </w:tabs>
        <w:spacing w:after="0" w:line="240" w:lineRule="auto"/>
        <w:ind w:firstLine="709"/>
        <w:jc w:val="both"/>
        <w:rPr>
          <w:rFonts w:ascii="Times New Roman" w:hAnsi="Times New Roman"/>
          <w:sz w:val="26"/>
          <w:szCs w:val="26"/>
        </w:rPr>
      </w:pPr>
      <w:r w:rsidRPr="00280CEF">
        <w:rPr>
          <w:rFonts w:ascii="Times New Roman" w:hAnsi="Times New Roman"/>
          <w:sz w:val="26"/>
          <w:szCs w:val="26"/>
        </w:rPr>
        <w:t xml:space="preserve">Среди проблем, решение которых возможно в долгосрочной перспективе (проблемы низшего приоритета), наибольшая степень охвата мероприятиями программ отмечается у следующих проблем: </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низкий уровень обеспеченности физкультурно-спортивными сооружениями;</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загрязнение водных объектов недостаточно очищенными сточными водами;</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невысокие темпы жилищного строительства;</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наличие ограничений территориального развития;</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 xml:space="preserve">низкий уровень диверсификации налоговых и неналоговых доходов. </w:t>
      </w:r>
    </w:p>
    <w:p w:rsidR="004616EA" w:rsidRPr="00280CEF" w:rsidRDefault="004616EA" w:rsidP="00280CEF">
      <w:pPr>
        <w:tabs>
          <w:tab w:val="left" w:pos="426"/>
          <w:tab w:val="left" w:pos="1134"/>
          <w:tab w:val="left" w:pos="1560"/>
        </w:tabs>
        <w:spacing w:after="0" w:line="240" w:lineRule="auto"/>
        <w:ind w:firstLine="709"/>
        <w:jc w:val="both"/>
        <w:rPr>
          <w:rFonts w:ascii="Times New Roman" w:hAnsi="Times New Roman"/>
          <w:sz w:val="26"/>
          <w:szCs w:val="26"/>
        </w:rPr>
      </w:pPr>
      <w:r w:rsidRPr="00280CEF">
        <w:rPr>
          <w:rFonts w:ascii="Times New Roman" w:hAnsi="Times New Roman"/>
          <w:sz w:val="26"/>
          <w:szCs w:val="26"/>
        </w:rPr>
        <w:t xml:space="preserve">Результаты анализа охвата выявленных проблем социально-экономического развития городского округа действующими муниципальными программами представлены в </w:t>
      </w:r>
      <w:r w:rsidR="001977F4">
        <w:fldChar w:fldCharType="begin"/>
      </w:r>
      <w:r w:rsidR="001977F4">
        <w:instrText xml:space="preserve"> REF _Ref394507723 \h  \* MERGEFORMAT </w:instrText>
      </w:r>
      <w:r w:rsidR="001977F4">
        <w:fldChar w:fldCharType="separate"/>
      </w:r>
      <w:r w:rsidR="001977F4" w:rsidRPr="001977F4">
        <w:rPr>
          <w:rFonts w:ascii="Times New Roman" w:hAnsi="Times New Roman"/>
          <w:sz w:val="26"/>
          <w:szCs w:val="26"/>
        </w:rPr>
        <w:t xml:space="preserve">Таблица </w:t>
      </w:r>
      <w:r w:rsidR="001977F4" w:rsidRPr="001977F4">
        <w:rPr>
          <w:rFonts w:ascii="Times New Roman" w:hAnsi="Times New Roman"/>
          <w:noProof/>
          <w:sz w:val="26"/>
          <w:szCs w:val="26"/>
        </w:rPr>
        <w:t>13</w:t>
      </w:r>
      <w:r w:rsidR="001977F4">
        <w:fldChar w:fldCharType="end"/>
      </w:r>
      <w:r w:rsidRPr="00280CEF">
        <w:rPr>
          <w:rFonts w:ascii="Times New Roman" w:hAnsi="Times New Roman"/>
          <w:sz w:val="26"/>
          <w:szCs w:val="26"/>
        </w:rPr>
        <w:t xml:space="preserve">. </w:t>
      </w:r>
    </w:p>
    <w:p w:rsidR="004616EA" w:rsidRPr="00475E67" w:rsidRDefault="004616EA" w:rsidP="00722374">
      <w:pPr>
        <w:tabs>
          <w:tab w:val="left" w:pos="426"/>
          <w:tab w:val="left" w:pos="1134"/>
          <w:tab w:val="left" w:pos="1418"/>
        </w:tabs>
        <w:spacing w:after="0" w:line="360" w:lineRule="auto"/>
        <w:ind w:firstLine="425"/>
        <w:jc w:val="both"/>
        <w:rPr>
          <w:rFonts w:ascii="Times New Roman" w:hAnsi="Times New Roman"/>
          <w:sz w:val="24"/>
          <w:szCs w:val="24"/>
        </w:rPr>
      </w:pPr>
    </w:p>
    <w:p w:rsidR="004616EA" w:rsidRPr="00475E67" w:rsidRDefault="004616EA" w:rsidP="00722374">
      <w:pPr>
        <w:tabs>
          <w:tab w:val="left" w:pos="426"/>
          <w:tab w:val="left" w:pos="1134"/>
          <w:tab w:val="left" w:pos="1418"/>
        </w:tabs>
        <w:spacing w:after="0" w:line="360" w:lineRule="auto"/>
        <w:ind w:firstLine="425"/>
        <w:jc w:val="both"/>
        <w:rPr>
          <w:rFonts w:ascii="Times New Roman" w:hAnsi="Times New Roman"/>
          <w:sz w:val="24"/>
          <w:szCs w:val="24"/>
        </w:rPr>
        <w:sectPr w:rsidR="004616EA" w:rsidRPr="00475E67" w:rsidSect="00F30319">
          <w:pgSz w:w="11906" w:h="16838"/>
          <w:pgMar w:top="1134" w:right="567" w:bottom="1134" w:left="2552" w:header="709" w:footer="709" w:gutter="0"/>
          <w:cols w:space="708"/>
          <w:docGrid w:linePitch="360"/>
        </w:sectPr>
      </w:pPr>
    </w:p>
    <w:p w:rsidR="004616EA" w:rsidRPr="00475E67" w:rsidRDefault="004616EA" w:rsidP="00722374">
      <w:pPr>
        <w:spacing w:after="0" w:line="360" w:lineRule="auto"/>
        <w:ind w:firstLine="425"/>
        <w:jc w:val="both"/>
        <w:rPr>
          <w:rFonts w:ascii="Times New Roman" w:hAnsi="Times New Roman"/>
          <w:bCs/>
          <w:sz w:val="24"/>
          <w:szCs w:val="24"/>
        </w:rPr>
      </w:pPr>
      <w:bookmarkStart w:id="176" w:name="_Ref394507723"/>
      <w:r w:rsidRPr="00475E67">
        <w:rPr>
          <w:rFonts w:ascii="Times New Roman" w:hAnsi="Times New Roman"/>
          <w:sz w:val="24"/>
          <w:szCs w:val="24"/>
        </w:rPr>
        <w:t xml:space="preserve">Таблица </w:t>
      </w:r>
      <w:r w:rsidRPr="00475E67">
        <w:rPr>
          <w:rFonts w:ascii="Times New Roman" w:hAnsi="Times New Roman"/>
          <w:sz w:val="24"/>
          <w:szCs w:val="24"/>
        </w:rPr>
        <w:fldChar w:fldCharType="begin"/>
      </w:r>
      <w:r w:rsidRPr="00475E67">
        <w:rPr>
          <w:rFonts w:ascii="Times New Roman" w:hAnsi="Times New Roman"/>
          <w:sz w:val="24"/>
          <w:szCs w:val="24"/>
        </w:rPr>
        <w:instrText xml:space="preserve"> SEQ Таблица \* ARABIC </w:instrText>
      </w:r>
      <w:r w:rsidRPr="00475E67">
        <w:rPr>
          <w:rFonts w:ascii="Times New Roman" w:hAnsi="Times New Roman"/>
          <w:sz w:val="24"/>
          <w:szCs w:val="24"/>
        </w:rPr>
        <w:fldChar w:fldCharType="separate"/>
      </w:r>
      <w:r w:rsidR="001977F4">
        <w:rPr>
          <w:rFonts w:ascii="Times New Roman" w:hAnsi="Times New Roman"/>
          <w:noProof/>
          <w:sz w:val="24"/>
          <w:szCs w:val="24"/>
        </w:rPr>
        <w:t>13</w:t>
      </w:r>
      <w:r w:rsidRPr="00475E67">
        <w:rPr>
          <w:rFonts w:ascii="Times New Roman" w:hAnsi="Times New Roman"/>
          <w:sz w:val="24"/>
          <w:szCs w:val="24"/>
        </w:rPr>
        <w:fldChar w:fldCharType="end"/>
      </w:r>
      <w:bookmarkEnd w:id="176"/>
      <w:r w:rsidRPr="00475E67">
        <w:rPr>
          <w:rFonts w:ascii="Times New Roman" w:hAnsi="Times New Roman"/>
          <w:sz w:val="24"/>
          <w:szCs w:val="24"/>
        </w:rPr>
        <w:t xml:space="preserve"> - Анализ охвата проблем </w:t>
      </w:r>
      <w:r w:rsidRPr="00475E67">
        <w:rPr>
          <w:rFonts w:ascii="Times New Roman" w:hAnsi="Times New Roman"/>
          <w:bCs/>
          <w:sz w:val="24"/>
          <w:szCs w:val="24"/>
        </w:rPr>
        <w:t>социально-экономического развития города Когалыма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043"/>
        <w:gridCol w:w="2537"/>
        <w:gridCol w:w="2395"/>
        <w:gridCol w:w="2395"/>
        <w:gridCol w:w="2416"/>
      </w:tblGrid>
      <w:tr w:rsidR="004616EA" w:rsidRPr="002121B4" w:rsidTr="000501D7">
        <w:trPr>
          <w:trHeight w:val="463"/>
        </w:trPr>
        <w:tc>
          <w:tcPr>
            <w:tcW w:w="1705" w:type="pct"/>
            <w:vMerge w:val="restar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
                <w:sz w:val="26"/>
                <w:szCs w:val="26"/>
              </w:rPr>
              <w:t>Приоритеты социально-экономического развития</w:t>
            </w:r>
          </w:p>
        </w:tc>
        <w:tc>
          <w:tcPr>
            <w:tcW w:w="2478" w:type="pct"/>
            <w:gridSpan w:val="3"/>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
                <w:sz w:val="26"/>
                <w:szCs w:val="26"/>
              </w:rPr>
              <w:t>Количество проблем социально-экономического развития городского округа*</w:t>
            </w:r>
          </w:p>
        </w:tc>
        <w:tc>
          <w:tcPr>
            <w:tcW w:w="817" w:type="pct"/>
            <w:vMerge w:val="restar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
                <w:sz w:val="26"/>
                <w:szCs w:val="26"/>
              </w:rPr>
              <w:t>Сумма баллов**</w:t>
            </w:r>
          </w:p>
        </w:tc>
      </w:tr>
      <w:tr w:rsidR="004616EA" w:rsidRPr="002121B4" w:rsidTr="000501D7">
        <w:trPr>
          <w:trHeight w:val="148"/>
        </w:trPr>
        <w:tc>
          <w:tcPr>
            <w:tcW w:w="1705" w:type="pct"/>
            <w:vMerge/>
            <w:vAlign w:val="center"/>
          </w:tcPr>
          <w:p w:rsidR="004616EA" w:rsidRPr="002121B4" w:rsidRDefault="004616EA" w:rsidP="002121B4">
            <w:pPr>
              <w:spacing w:after="0" w:line="240" w:lineRule="auto"/>
              <w:ind w:firstLine="425"/>
              <w:jc w:val="both"/>
              <w:rPr>
                <w:rFonts w:ascii="Times New Roman" w:hAnsi="Times New Roman"/>
                <w:bCs/>
                <w:sz w:val="26"/>
                <w:szCs w:val="26"/>
              </w:rPr>
            </w:pPr>
          </w:p>
        </w:tc>
        <w:tc>
          <w:tcPr>
            <w:tcW w:w="858" w:type="pct"/>
            <w:vAlign w:val="center"/>
          </w:tcPr>
          <w:p w:rsidR="004616EA" w:rsidRPr="002121B4" w:rsidRDefault="004616EA" w:rsidP="002121B4">
            <w:pPr>
              <w:spacing w:after="0" w:line="240" w:lineRule="auto"/>
              <w:jc w:val="both"/>
              <w:rPr>
                <w:rFonts w:ascii="Times New Roman" w:hAnsi="Times New Roman"/>
                <w:b/>
                <w:sz w:val="26"/>
                <w:szCs w:val="26"/>
              </w:rPr>
            </w:pPr>
            <w:r w:rsidRPr="002121B4">
              <w:rPr>
                <w:rFonts w:ascii="Times New Roman" w:hAnsi="Times New Roman"/>
                <w:b/>
                <w:sz w:val="26"/>
                <w:szCs w:val="26"/>
              </w:rPr>
              <w:t>высшего приоритета</w:t>
            </w:r>
          </w:p>
        </w:tc>
        <w:tc>
          <w:tcPr>
            <w:tcW w:w="810" w:type="pct"/>
            <w:vAlign w:val="center"/>
          </w:tcPr>
          <w:p w:rsidR="004616EA" w:rsidRPr="002121B4" w:rsidRDefault="004616EA" w:rsidP="002121B4">
            <w:pPr>
              <w:spacing w:after="0" w:line="240" w:lineRule="auto"/>
              <w:jc w:val="center"/>
              <w:rPr>
                <w:rFonts w:ascii="Times New Roman" w:hAnsi="Times New Roman"/>
                <w:b/>
                <w:sz w:val="26"/>
                <w:szCs w:val="26"/>
              </w:rPr>
            </w:pPr>
            <w:r w:rsidRPr="002121B4">
              <w:rPr>
                <w:rFonts w:ascii="Times New Roman" w:hAnsi="Times New Roman"/>
                <w:b/>
                <w:sz w:val="26"/>
                <w:szCs w:val="26"/>
              </w:rPr>
              <w:t>среднего приоритета</w:t>
            </w:r>
          </w:p>
        </w:tc>
        <w:tc>
          <w:tcPr>
            <w:tcW w:w="810" w:type="pct"/>
            <w:vAlign w:val="center"/>
          </w:tcPr>
          <w:p w:rsidR="004616EA" w:rsidRPr="002121B4" w:rsidRDefault="004616EA" w:rsidP="002121B4">
            <w:pPr>
              <w:spacing w:after="0" w:line="240" w:lineRule="auto"/>
              <w:jc w:val="center"/>
              <w:rPr>
                <w:rFonts w:ascii="Times New Roman" w:hAnsi="Times New Roman"/>
                <w:b/>
                <w:sz w:val="26"/>
                <w:szCs w:val="26"/>
              </w:rPr>
            </w:pPr>
            <w:r w:rsidRPr="002121B4">
              <w:rPr>
                <w:rFonts w:ascii="Times New Roman" w:hAnsi="Times New Roman"/>
                <w:b/>
                <w:sz w:val="26"/>
                <w:szCs w:val="26"/>
              </w:rPr>
              <w:t>низшего приоритета</w:t>
            </w:r>
          </w:p>
        </w:tc>
        <w:tc>
          <w:tcPr>
            <w:tcW w:w="817" w:type="pct"/>
            <w:vMerge/>
          </w:tcPr>
          <w:p w:rsidR="004616EA" w:rsidRPr="002121B4" w:rsidRDefault="004616EA" w:rsidP="002121B4">
            <w:pPr>
              <w:spacing w:after="0" w:line="240" w:lineRule="auto"/>
              <w:ind w:firstLine="425"/>
              <w:jc w:val="both"/>
              <w:rPr>
                <w:rFonts w:ascii="Times New Roman" w:hAnsi="Times New Roman"/>
                <w:bCs/>
                <w:sz w:val="26"/>
                <w:szCs w:val="26"/>
              </w:rPr>
            </w:pPr>
          </w:p>
        </w:tc>
      </w:tr>
      <w:tr w:rsidR="004616EA" w:rsidRPr="002121B4" w:rsidTr="000501D7">
        <w:trPr>
          <w:trHeight w:val="275"/>
        </w:trPr>
        <w:tc>
          <w:tcPr>
            <w:tcW w:w="1705" w:type="pct"/>
          </w:tcPr>
          <w:p w:rsidR="004616EA" w:rsidRPr="002121B4" w:rsidRDefault="004616EA" w:rsidP="002121B4">
            <w:pPr>
              <w:spacing w:after="0" w:line="240" w:lineRule="auto"/>
              <w:jc w:val="both"/>
              <w:rPr>
                <w:rFonts w:ascii="Times New Roman" w:hAnsi="Times New Roman"/>
                <w:bCs/>
                <w:sz w:val="26"/>
                <w:szCs w:val="26"/>
              </w:rPr>
            </w:pPr>
            <w:r w:rsidRPr="002121B4">
              <w:rPr>
                <w:rFonts w:ascii="Times New Roman" w:hAnsi="Times New Roman"/>
                <w:bCs/>
                <w:sz w:val="26"/>
                <w:szCs w:val="26"/>
              </w:rPr>
              <w:t>Повышение эффективности и конкурентоспособности экономики</w:t>
            </w:r>
          </w:p>
        </w:tc>
        <w:tc>
          <w:tcPr>
            <w:tcW w:w="858"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10</w:t>
            </w:r>
          </w:p>
        </w:tc>
        <w:tc>
          <w:tcPr>
            <w:tcW w:w="810" w:type="pct"/>
            <w:vAlign w:val="center"/>
          </w:tcPr>
          <w:p w:rsidR="004616EA" w:rsidRPr="002121B4" w:rsidRDefault="004616EA" w:rsidP="002121B4">
            <w:pPr>
              <w:spacing w:after="0" w:line="240" w:lineRule="auto"/>
              <w:jc w:val="center"/>
              <w:rPr>
                <w:rFonts w:ascii="Times New Roman" w:hAnsi="Times New Roman"/>
                <w:sz w:val="26"/>
                <w:szCs w:val="26"/>
              </w:rPr>
            </w:pPr>
            <w:r w:rsidRPr="002121B4">
              <w:rPr>
                <w:rFonts w:ascii="Times New Roman" w:hAnsi="Times New Roman"/>
                <w:bCs/>
                <w:sz w:val="26"/>
                <w:szCs w:val="26"/>
              </w:rPr>
              <w:t>5</w:t>
            </w:r>
          </w:p>
        </w:tc>
        <w:tc>
          <w:tcPr>
            <w:tcW w:w="810" w:type="pct"/>
            <w:vAlign w:val="center"/>
          </w:tcPr>
          <w:p w:rsidR="004616EA" w:rsidRPr="002121B4" w:rsidRDefault="004616EA" w:rsidP="002121B4">
            <w:pPr>
              <w:spacing w:after="0" w:line="240" w:lineRule="auto"/>
              <w:jc w:val="center"/>
              <w:rPr>
                <w:rFonts w:ascii="Times New Roman" w:hAnsi="Times New Roman"/>
                <w:sz w:val="26"/>
                <w:szCs w:val="26"/>
              </w:rPr>
            </w:pPr>
            <w:r w:rsidRPr="002121B4">
              <w:rPr>
                <w:rFonts w:ascii="Times New Roman" w:hAnsi="Times New Roman"/>
                <w:sz w:val="26"/>
                <w:szCs w:val="26"/>
              </w:rPr>
              <w:t>2</w:t>
            </w:r>
          </w:p>
        </w:tc>
        <w:tc>
          <w:tcPr>
            <w:tcW w:w="817"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106</w:t>
            </w:r>
          </w:p>
        </w:tc>
      </w:tr>
      <w:tr w:rsidR="004616EA" w:rsidRPr="002121B4" w:rsidTr="000501D7">
        <w:trPr>
          <w:trHeight w:val="275"/>
        </w:trPr>
        <w:tc>
          <w:tcPr>
            <w:tcW w:w="1705" w:type="pct"/>
          </w:tcPr>
          <w:p w:rsidR="004616EA" w:rsidRPr="002121B4" w:rsidRDefault="004616EA" w:rsidP="002121B4">
            <w:pPr>
              <w:spacing w:after="0" w:line="240" w:lineRule="auto"/>
              <w:jc w:val="both"/>
              <w:rPr>
                <w:rFonts w:ascii="Times New Roman" w:hAnsi="Times New Roman"/>
                <w:bCs/>
                <w:sz w:val="26"/>
                <w:szCs w:val="26"/>
              </w:rPr>
            </w:pPr>
            <w:r w:rsidRPr="002121B4">
              <w:rPr>
                <w:rFonts w:ascii="Times New Roman" w:hAnsi="Times New Roman"/>
                <w:bCs/>
                <w:sz w:val="26"/>
                <w:szCs w:val="26"/>
              </w:rPr>
              <w:t>Развитие человеческого капитала</w:t>
            </w:r>
          </w:p>
        </w:tc>
        <w:tc>
          <w:tcPr>
            <w:tcW w:w="858"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9</w:t>
            </w:r>
          </w:p>
        </w:tc>
        <w:tc>
          <w:tcPr>
            <w:tcW w:w="810"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8</w:t>
            </w:r>
          </w:p>
        </w:tc>
        <w:tc>
          <w:tcPr>
            <w:tcW w:w="810"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8</w:t>
            </w:r>
          </w:p>
        </w:tc>
        <w:tc>
          <w:tcPr>
            <w:tcW w:w="817"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93</w:t>
            </w:r>
          </w:p>
        </w:tc>
      </w:tr>
      <w:tr w:rsidR="004616EA" w:rsidRPr="002121B4" w:rsidTr="000501D7">
        <w:trPr>
          <w:trHeight w:val="292"/>
        </w:trPr>
        <w:tc>
          <w:tcPr>
            <w:tcW w:w="1705" w:type="pct"/>
          </w:tcPr>
          <w:p w:rsidR="004616EA" w:rsidRPr="002121B4" w:rsidRDefault="004616EA" w:rsidP="002121B4">
            <w:pPr>
              <w:spacing w:after="0" w:line="240" w:lineRule="auto"/>
              <w:jc w:val="both"/>
              <w:rPr>
                <w:rFonts w:ascii="Times New Roman" w:hAnsi="Times New Roman"/>
                <w:bCs/>
                <w:sz w:val="26"/>
                <w:szCs w:val="26"/>
              </w:rPr>
            </w:pPr>
            <w:r w:rsidRPr="002121B4">
              <w:rPr>
                <w:rFonts w:ascii="Times New Roman" w:hAnsi="Times New Roman"/>
                <w:bCs/>
                <w:sz w:val="26"/>
                <w:szCs w:val="26"/>
              </w:rPr>
              <w:t>Инфраструктурное развитие</w:t>
            </w:r>
          </w:p>
        </w:tc>
        <w:tc>
          <w:tcPr>
            <w:tcW w:w="858"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5</w:t>
            </w:r>
          </w:p>
        </w:tc>
        <w:tc>
          <w:tcPr>
            <w:tcW w:w="810"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6</w:t>
            </w:r>
          </w:p>
        </w:tc>
        <w:tc>
          <w:tcPr>
            <w:tcW w:w="810"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7</w:t>
            </w:r>
          </w:p>
        </w:tc>
        <w:tc>
          <w:tcPr>
            <w:tcW w:w="817"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43</w:t>
            </w:r>
          </w:p>
        </w:tc>
      </w:tr>
      <w:tr w:rsidR="004616EA" w:rsidRPr="002121B4" w:rsidTr="000501D7">
        <w:trPr>
          <w:trHeight w:val="275"/>
        </w:trPr>
        <w:tc>
          <w:tcPr>
            <w:tcW w:w="1705" w:type="pct"/>
          </w:tcPr>
          <w:p w:rsidR="004616EA" w:rsidRPr="002121B4" w:rsidRDefault="004616EA" w:rsidP="002121B4">
            <w:pPr>
              <w:spacing w:after="0" w:line="240" w:lineRule="auto"/>
              <w:jc w:val="both"/>
              <w:rPr>
                <w:rFonts w:ascii="Times New Roman" w:hAnsi="Times New Roman"/>
                <w:bCs/>
                <w:sz w:val="26"/>
                <w:szCs w:val="26"/>
              </w:rPr>
            </w:pPr>
            <w:r w:rsidRPr="002121B4">
              <w:rPr>
                <w:rFonts w:ascii="Times New Roman" w:hAnsi="Times New Roman"/>
                <w:bCs/>
                <w:sz w:val="26"/>
                <w:szCs w:val="26"/>
              </w:rPr>
              <w:t>Развитие муниципального управления</w:t>
            </w:r>
          </w:p>
        </w:tc>
        <w:tc>
          <w:tcPr>
            <w:tcW w:w="858"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1</w:t>
            </w:r>
          </w:p>
        </w:tc>
        <w:tc>
          <w:tcPr>
            <w:tcW w:w="810"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2</w:t>
            </w:r>
          </w:p>
        </w:tc>
        <w:tc>
          <w:tcPr>
            <w:tcW w:w="810"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3</w:t>
            </w:r>
          </w:p>
        </w:tc>
        <w:tc>
          <w:tcPr>
            <w:tcW w:w="817"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19</w:t>
            </w:r>
          </w:p>
        </w:tc>
      </w:tr>
      <w:tr w:rsidR="004616EA" w:rsidRPr="002121B4" w:rsidTr="000501D7">
        <w:trPr>
          <w:trHeight w:val="275"/>
        </w:trPr>
        <w:tc>
          <w:tcPr>
            <w:tcW w:w="1705" w:type="pct"/>
          </w:tcPr>
          <w:p w:rsidR="004616EA" w:rsidRPr="002121B4" w:rsidRDefault="004616EA" w:rsidP="002121B4">
            <w:pPr>
              <w:spacing w:after="0" w:line="240" w:lineRule="auto"/>
              <w:ind w:firstLine="425"/>
              <w:jc w:val="both"/>
              <w:rPr>
                <w:rFonts w:ascii="Times New Roman" w:hAnsi="Times New Roman"/>
                <w:bCs/>
                <w:sz w:val="26"/>
                <w:szCs w:val="26"/>
              </w:rPr>
            </w:pPr>
            <w:r w:rsidRPr="002121B4">
              <w:rPr>
                <w:rFonts w:ascii="Times New Roman" w:hAnsi="Times New Roman"/>
                <w:bCs/>
                <w:sz w:val="26"/>
                <w:szCs w:val="26"/>
              </w:rPr>
              <w:t>Итого</w:t>
            </w:r>
          </w:p>
        </w:tc>
        <w:tc>
          <w:tcPr>
            <w:tcW w:w="858"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25</w:t>
            </w:r>
          </w:p>
        </w:tc>
        <w:tc>
          <w:tcPr>
            <w:tcW w:w="810"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21</w:t>
            </w:r>
          </w:p>
        </w:tc>
        <w:tc>
          <w:tcPr>
            <w:tcW w:w="810"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20</w:t>
            </w:r>
          </w:p>
        </w:tc>
        <w:tc>
          <w:tcPr>
            <w:tcW w:w="817"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261</w:t>
            </w:r>
          </w:p>
        </w:tc>
      </w:tr>
    </w:tbl>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Примечания:</w:t>
      </w:r>
    </w:p>
    <w:p w:rsidR="004616EA" w:rsidRPr="002121B4" w:rsidRDefault="004616EA" w:rsidP="002121B4">
      <w:pPr>
        <w:numPr>
          <w:ilvl w:val="0"/>
          <w:numId w:val="91"/>
        </w:numPr>
        <w:tabs>
          <w:tab w:val="left" w:pos="284"/>
        </w:tabs>
        <w:spacing w:after="0" w:line="240" w:lineRule="auto"/>
        <w:ind w:left="0" w:firstLine="709"/>
        <w:jc w:val="both"/>
        <w:rPr>
          <w:rFonts w:ascii="Times New Roman" w:hAnsi="Times New Roman"/>
          <w:sz w:val="26"/>
          <w:szCs w:val="26"/>
        </w:rPr>
      </w:pPr>
      <w:r w:rsidRPr="002121B4">
        <w:rPr>
          <w:rFonts w:ascii="Times New Roman" w:hAnsi="Times New Roman"/>
          <w:sz w:val="26"/>
          <w:szCs w:val="26"/>
        </w:rPr>
        <w:t>Источник: аналитика ООО «Институт территориального планирования «ГРАД»;</w:t>
      </w:r>
    </w:p>
    <w:p w:rsidR="004616EA" w:rsidRPr="002121B4" w:rsidRDefault="004616EA" w:rsidP="002121B4">
      <w:pPr>
        <w:numPr>
          <w:ilvl w:val="0"/>
          <w:numId w:val="91"/>
        </w:numPr>
        <w:tabs>
          <w:tab w:val="left" w:pos="284"/>
        </w:tabs>
        <w:spacing w:after="0" w:line="240" w:lineRule="auto"/>
        <w:ind w:left="0" w:firstLine="709"/>
        <w:jc w:val="both"/>
        <w:rPr>
          <w:rFonts w:ascii="Times New Roman" w:hAnsi="Times New Roman"/>
          <w:sz w:val="26"/>
          <w:szCs w:val="26"/>
        </w:rPr>
      </w:pPr>
      <w:r w:rsidRPr="002121B4">
        <w:rPr>
          <w:rFonts w:ascii="Times New Roman" w:hAnsi="Times New Roman"/>
          <w:sz w:val="26"/>
          <w:szCs w:val="26"/>
        </w:rPr>
        <w:t>* Рассматриваемые проблемы соответствуют выявленным в результате проведенного анализа сложившейся ситуации в социально-экономическом положении городского округа проблемам. Проблемы сгруппированы в соответствии со стратегическими направлениями перспективного социально-экономического развития городского округа;</w:t>
      </w:r>
    </w:p>
    <w:p w:rsidR="004616EA" w:rsidRPr="002121B4" w:rsidRDefault="004616EA" w:rsidP="002121B4">
      <w:pPr>
        <w:numPr>
          <w:ilvl w:val="0"/>
          <w:numId w:val="91"/>
        </w:numPr>
        <w:tabs>
          <w:tab w:val="left" w:pos="284"/>
        </w:tabs>
        <w:spacing w:after="0" w:line="240" w:lineRule="auto"/>
        <w:ind w:left="0" w:firstLine="709"/>
        <w:jc w:val="both"/>
        <w:rPr>
          <w:rFonts w:ascii="Times New Roman" w:hAnsi="Times New Roman"/>
          <w:sz w:val="26"/>
          <w:szCs w:val="26"/>
        </w:rPr>
      </w:pPr>
      <w:r w:rsidRPr="002121B4">
        <w:rPr>
          <w:rFonts w:ascii="Times New Roman" w:hAnsi="Times New Roman"/>
          <w:sz w:val="26"/>
          <w:szCs w:val="26"/>
        </w:rPr>
        <w:t xml:space="preserve">** Для оценки степени возможной решаемости проблем социально-экономического развития городского округа с помощью муниципальных программ построена структурированная аналитическая матрица «Проблема-Программа» и использована трехзначная система, включающая в себя градацию: 3 балла – сильное взаимодействие (наличие в программе мероприятий непосредственно влияющих на решение той или иной проблемы), 2 балла – среднее влияние (наличие в программе смежных мероприятий, оказывающих влияние на решение проблемы), 1 балл – слабое влияние (наличие косвенного влияния мероприятий программы на решение проблемы). В данной таблице столбец «Сумма баллов» рассчитан путем сложения баллов по группам проблем, относящихся к одному стратегическому направлению. </w:t>
      </w:r>
    </w:p>
    <w:p w:rsidR="004616EA" w:rsidRPr="00475E67" w:rsidRDefault="004616EA" w:rsidP="00722374">
      <w:pPr>
        <w:tabs>
          <w:tab w:val="left" w:pos="426"/>
          <w:tab w:val="left" w:pos="1134"/>
          <w:tab w:val="left" w:pos="1418"/>
        </w:tabs>
        <w:spacing w:after="0" w:line="360" w:lineRule="auto"/>
        <w:ind w:firstLine="425"/>
        <w:jc w:val="both"/>
        <w:rPr>
          <w:rFonts w:ascii="Times New Roman" w:hAnsi="Times New Roman"/>
          <w:sz w:val="24"/>
          <w:szCs w:val="24"/>
        </w:rPr>
        <w:sectPr w:rsidR="004616EA" w:rsidRPr="00475E67" w:rsidSect="00461CB8">
          <w:pgSz w:w="16838" w:h="11906" w:orient="landscape"/>
          <w:pgMar w:top="2552" w:right="1134" w:bottom="567" w:left="1134" w:header="709" w:footer="709" w:gutter="0"/>
          <w:cols w:space="708"/>
          <w:docGrid w:linePitch="360"/>
        </w:sectPr>
      </w:pPr>
    </w:p>
    <w:p w:rsidR="004616EA" w:rsidRPr="002121B4" w:rsidRDefault="004616EA" w:rsidP="002121B4">
      <w:pPr>
        <w:numPr>
          <w:ilvl w:val="0"/>
          <w:numId w:val="89"/>
        </w:numPr>
        <w:tabs>
          <w:tab w:val="left" w:pos="426"/>
          <w:tab w:val="center" w:pos="993"/>
          <w:tab w:val="left" w:pos="1276"/>
        </w:tabs>
        <w:spacing w:after="0" w:line="240" w:lineRule="auto"/>
        <w:ind w:left="0" w:firstLine="709"/>
        <w:jc w:val="both"/>
        <w:rPr>
          <w:rFonts w:ascii="Times New Roman" w:hAnsi="Times New Roman"/>
          <w:sz w:val="26"/>
          <w:szCs w:val="26"/>
        </w:rPr>
      </w:pPr>
      <w:r w:rsidRPr="002121B4">
        <w:rPr>
          <w:rFonts w:ascii="Times New Roman" w:hAnsi="Times New Roman"/>
          <w:sz w:val="26"/>
          <w:szCs w:val="26"/>
        </w:rPr>
        <w:t xml:space="preserve">По приоритетности решения существующих проблем социально-экономического развития города Когалыма (и соответственно приоритетности достижения основных направлений развития городского округа) по критерию финансовой обеспеченности мероприятий муниципальных программ выявлена следующая тенденция: наибольший объем бюджетного финансирования направлен на группу приоритетов «Развитие человеческого капитала», на втором месте – «Инфраструктурное развитие», третье место – «Развитие муниципального управления» и четвертое – «Повышение эффективности и конкурентоспособности экономики». </w:t>
      </w:r>
    </w:p>
    <w:p w:rsidR="004616EA" w:rsidRPr="002121B4" w:rsidRDefault="004616EA" w:rsidP="002121B4">
      <w:pPr>
        <w:tabs>
          <w:tab w:val="left" w:pos="426"/>
          <w:tab w:val="center" w:pos="993"/>
          <w:tab w:val="left" w:pos="1276"/>
        </w:tabs>
        <w:spacing w:after="0" w:line="240" w:lineRule="auto"/>
        <w:ind w:firstLine="709"/>
        <w:jc w:val="both"/>
        <w:rPr>
          <w:rFonts w:ascii="Times New Roman" w:hAnsi="Times New Roman"/>
          <w:sz w:val="26"/>
          <w:szCs w:val="26"/>
        </w:rPr>
      </w:pPr>
      <w:r w:rsidRPr="002121B4">
        <w:rPr>
          <w:rFonts w:ascii="Times New Roman" w:hAnsi="Times New Roman"/>
          <w:sz w:val="26"/>
          <w:szCs w:val="26"/>
        </w:rPr>
        <w:t>Таким образом, для устранения существующих проблем социально-экономического развития города Когалыма, которые препятствуют планомерному развитию, Администрации муниципального образования целесообразно перераспределить имеющиеся возможности прямого и косвенного воздействия следующим образом: на первом месте должна находится группа приоритетов по повышению эффективности и конкурентоспособности экономики, на втором – группа по развитию человеческого капитала, на третьем – группа по инфраструктурному развитию, на четвертом – группа по развитию муниципального управления (</w:t>
      </w:r>
      <w:r w:rsidR="001977F4">
        <w:fldChar w:fldCharType="begin"/>
      </w:r>
      <w:r w:rsidR="001977F4">
        <w:instrText xml:space="preserve"> REF _Ref400805613 \h  \* MERGEFORMAT </w:instrText>
      </w:r>
      <w:r w:rsidR="001977F4">
        <w:fldChar w:fldCharType="separate"/>
      </w:r>
      <w:r w:rsidR="001977F4" w:rsidRPr="002121B4">
        <w:rPr>
          <w:rFonts w:ascii="Times New Roman" w:hAnsi="Times New Roman"/>
          <w:sz w:val="26"/>
          <w:szCs w:val="26"/>
        </w:rPr>
        <w:t xml:space="preserve">Таблица </w:t>
      </w:r>
      <w:r w:rsidR="001977F4" w:rsidRPr="001977F4">
        <w:rPr>
          <w:rFonts w:ascii="Times New Roman" w:hAnsi="Times New Roman"/>
          <w:noProof/>
          <w:sz w:val="26"/>
          <w:szCs w:val="26"/>
        </w:rPr>
        <w:t>14</w:t>
      </w:r>
      <w:r w:rsidR="001977F4">
        <w:fldChar w:fldCharType="end"/>
      </w:r>
      <w:r w:rsidRPr="002121B4">
        <w:rPr>
          <w:rFonts w:ascii="Times New Roman" w:hAnsi="Times New Roman"/>
          <w:sz w:val="26"/>
          <w:szCs w:val="26"/>
        </w:rPr>
        <w:t>).</w:t>
      </w:r>
    </w:p>
    <w:p w:rsidR="004616EA" w:rsidRPr="002121B4" w:rsidRDefault="004616EA" w:rsidP="002121B4">
      <w:pPr>
        <w:pStyle w:val="af1"/>
        <w:keepNext/>
        <w:spacing w:after="0"/>
        <w:ind w:firstLine="709"/>
        <w:jc w:val="both"/>
        <w:rPr>
          <w:rFonts w:ascii="Times New Roman" w:hAnsi="Times New Roman"/>
          <w:b w:val="0"/>
          <w:color w:val="auto"/>
          <w:sz w:val="26"/>
          <w:szCs w:val="26"/>
        </w:rPr>
      </w:pPr>
      <w:bookmarkStart w:id="177" w:name="_Ref400805613"/>
      <w:r w:rsidRPr="002121B4">
        <w:rPr>
          <w:rFonts w:ascii="Times New Roman" w:hAnsi="Times New Roman"/>
          <w:b w:val="0"/>
          <w:color w:val="auto"/>
          <w:sz w:val="26"/>
          <w:szCs w:val="26"/>
        </w:rPr>
        <w:t xml:space="preserve">Таблица </w:t>
      </w:r>
      <w:r w:rsidRPr="002121B4">
        <w:rPr>
          <w:rFonts w:ascii="Times New Roman" w:hAnsi="Times New Roman"/>
          <w:b w:val="0"/>
          <w:color w:val="auto"/>
          <w:sz w:val="26"/>
          <w:szCs w:val="26"/>
        </w:rPr>
        <w:fldChar w:fldCharType="begin"/>
      </w:r>
      <w:r w:rsidRPr="002121B4">
        <w:rPr>
          <w:rFonts w:ascii="Times New Roman" w:hAnsi="Times New Roman"/>
          <w:b w:val="0"/>
          <w:color w:val="auto"/>
          <w:sz w:val="26"/>
          <w:szCs w:val="26"/>
        </w:rPr>
        <w:instrText xml:space="preserve"> SEQ Таблица \* ARABIC </w:instrText>
      </w:r>
      <w:r w:rsidRPr="002121B4">
        <w:rPr>
          <w:rFonts w:ascii="Times New Roman" w:hAnsi="Times New Roman"/>
          <w:b w:val="0"/>
          <w:color w:val="auto"/>
          <w:sz w:val="26"/>
          <w:szCs w:val="26"/>
        </w:rPr>
        <w:fldChar w:fldCharType="separate"/>
      </w:r>
      <w:r w:rsidR="001977F4">
        <w:rPr>
          <w:rFonts w:ascii="Times New Roman" w:hAnsi="Times New Roman"/>
          <w:b w:val="0"/>
          <w:noProof/>
          <w:color w:val="auto"/>
          <w:sz w:val="26"/>
          <w:szCs w:val="26"/>
        </w:rPr>
        <w:t>14</w:t>
      </w:r>
      <w:r w:rsidRPr="002121B4">
        <w:rPr>
          <w:rFonts w:ascii="Times New Roman" w:hAnsi="Times New Roman"/>
          <w:b w:val="0"/>
          <w:color w:val="auto"/>
          <w:sz w:val="26"/>
          <w:szCs w:val="26"/>
        </w:rPr>
        <w:fldChar w:fldCharType="end"/>
      </w:r>
      <w:bookmarkEnd w:id="177"/>
      <w:r w:rsidRPr="002121B4">
        <w:rPr>
          <w:rFonts w:ascii="Times New Roman" w:hAnsi="Times New Roman"/>
          <w:b w:val="0"/>
          <w:color w:val="auto"/>
          <w:sz w:val="26"/>
          <w:szCs w:val="26"/>
        </w:rPr>
        <w:t xml:space="preserve"> - Приоритетность направлений социально-экономического развития города Когалыма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37"/>
        <w:gridCol w:w="2551"/>
        <w:gridCol w:w="2515"/>
      </w:tblGrid>
      <w:tr w:rsidR="004616EA" w:rsidRPr="002121B4" w:rsidTr="00CB11C3">
        <w:tc>
          <w:tcPr>
            <w:tcW w:w="2186" w:type="pct"/>
            <w:vAlign w:val="center"/>
          </w:tcPr>
          <w:p w:rsidR="004616EA" w:rsidRPr="002121B4" w:rsidRDefault="004616EA" w:rsidP="002121B4">
            <w:pPr>
              <w:tabs>
                <w:tab w:val="left" w:pos="426"/>
                <w:tab w:val="center" w:pos="993"/>
                <w:tab w:val="left" w:pos="1276"/>
              </w:tabs>
              <w:spacing w:after="0" w:line="240" w:lineRule="auto"/>
              <w:jc w:val="center"/>
              <w:rPr>
                <w:rFonts w:ascii="Times New Roman" w:hAnsi="Times New Roman"/>
                <w:sz w:val="26"/>
                <w:szCs w:val="26"/>
              </w:rPr>
            </w:pPr>
            <w:r w:rsidRPr="002121B4">
              <w:rPr>
                <w:rFonts w:ascii="Times New Roman" w:hAnsi="Times New Roman"/>
                <w:sz w:val="26"/>
                <w:szCs w:val="26"/>
              </w:rPr>
              <w:t>Приоритеты социально-экономического развития</w:t>
            </w:r>
          </w:p>
        </w:tc>
        <w:tc>
          <w:tcPr>
            <w:tcW w:w="1417" w:type="pct"/>
            <w:vAlign w:val="center"/>
          </w:tcPr>
          <w:p w:rsidR="004616EA" w:rsidRPr="002121B4" w:rsidRDefault="004616EA" w:rsidP="002121B4">
            <w:pPr>
              <w:tabs>
                <w:tab w:val="left" w:pos="426"/>
                <w:tab w:val="center" w:pos="993"/>
                <w:tab w:val="left" w:pos="1276"/>
              </w:tabs>
              <w:spacing w:after="0" w:line="240" w:lineRule="auto"/>
              <w:jc w:val="center"/>
              <w:rPr>
                <w:rFonts w:ascii="Times New Roman" w:hAnsi="Times New Roman"/>
                <w:sz w:val="26"/>
                <w:szCs w:val="26"/>
              </w:rPr>
            </w:pPr>
            <w:r w:rsidRPr="002121B4">
              <w:rPr>
                <w:rFonts w:ascii="Times New Roman" w:hAnsi="Times New Roman"/>
                <w:sz w:val="26"/>
                <w:szCs w:val="26"/>
              </w:rPr>
              <w:t>Ранжирование реализации целей, задач в соответствии со Стратегией</w:t>
            </w:r>
          </w:p>
        </w:tc>
        <w:tc>
          <w:tcPr>
            <w:tcW w:w="1397" w:type="pct"/>
            <w:vAlign w:val="center"/>
          </w:tcPr>
          <w:p w:rsidR="004616EA" w:rsidRPr="002121B4" w:rsidRDefault="004616EA" w:rsidP="002121B4">
            <w:pPr>
              <w:tabs>
                <w:tab w:val="left" w:pos="426"/>
                <w:tab w:val="center" w:pos="993"/>
                <w:tab w:val="left" w:pos="1276"/>
              </w:tabs>
              <w:spacing w:after="0" w:line="240" w:lineRule="auto"/>
              <w:jc w:val="center"/>
              <w:rPr>
                <w:rFonts w:ascii="Times New Roman" w:hAnsi="Times New Roman"/>
                <w:sz w:val="26"/>
                <w:szCs w:val="26"/>
              </w:rPr>
            </w:pPr>
            <w:r w:rsidRPr="002121B4">
              <w:rPr>
                <w:rFonts w:ascii="Times New Roman" w:hAnsi="Times New Roman"/>
                <w:sz w:val="26"/>
                <w:szCs w:val="26"/>
              </w:rPr>
              <w:t>Ранжирование реализации целей, задач в соответствии с существующим распределением бюджетных расходов</w:t>
            </w:r>
          </w:p>
        </w:tc>
      </w:tr>
      <w:tr w:rsidR="004616EA" w:rsidRPr="002121B4" w:rsidTr="00CB11C3">
        <w:tc>
          <w:tcPr>
            <w:tcW w:w="2186" w:type="pct"/>
          </w:tcPr>
          <w:p w:rsidR="004616EA" w:rsidRPr="002121B4" w:rsidRDefault="004616EA" w:rsidP="002121B4">
            <w:pPr>
              <w:spacing w:after="0" w:line="240" w:lineRule="auto"/>
              <w:jc w:val="both"/>
              <w:rPr>
                <w:rFonts w:ascii="Times New Roman" w:hAnsi="Times New Roman"/>
                <w:bCs/>
                <w:sz w:val="26"/>
                <w:szCs w:val="26"/>
              </w:rPr>
            </w:pPr>
            <w:r w:rsidRPr="002121B4">
              <w:rPr>
                <w:rFonts w:ascii="Times New Roman" w:hAnsi="Times New Roman"/>
                <w:bCs/>
                <w:sz w:val="26"/>
                <w:szCs w:val="26"/>
              </w:rPr>
              <w:t>Повышение эффективности и конкурентоспособности экономики</w:t>
            </w:r>
          </w:p>
        </w:tc>
        <w:tc>
          <w:tcPr>
            <w:tcW w:w="1417" w:type="pct"/>
            <w:vAlign w:val="center"/>
          </w:tcPr>
          <w:p w:rsidR="004616EA" w:rsidRPr="002121B4" w:rsidRDefault="004616EA" w:rsidP="002121B4">
            <w:pPr>
              <w:tabs>
                <w:tab w:val="left" w:pos="426"/>
                <w:tab w:val="center" w:pos="993"/>
                <w:tab w:val="left" w:pos="1276"/>
              </w:tabs>
              <w:spacing w:after="0" w:line="240" w:lineRule="auto"/>
              <w:ind w:firstLine="425"/>
              <w:jc w:val="center"/>
              <w:rPr>
                <w:rFonts w:ascii="Times New Roman" w:hAnsi="Times New Roman"/>
                <w:sz w:val="26"/>
                <w:szCs w:val="26"/>
              </w:rPr>
            </w:pPr>
            <w:r w:rsidRPr="002121B4">
              <w:rPr>
                <w:rFonts w:ascii="Times New Roman" w:hAnsi="Times New Roman"/>
                <w:sz w:val="26"/>
                <w:szCs w:val="26"/>
                <w:lang w:val="en-US"/>
              </w:rPr>
              <w:t>I</w:t>
            </w:r>
          </w:p>
        </w:tc>
        <w:tc>
          <w:tcPr>
            <w:tcW w:w="1397" w:type="pct"/>
            <w:vAlign w:val="center"/>
          </w:tcPr>
          <w:p w:rsidR="004616EA" w:rsidRPr="002121B4" w:rsidRDefault="004616EA" w:rsidP="002121B4">
            <w:pPr>
              <w:tabs>
                <w:tab w:val="left" w:pos="426"/>
                <w:tab w:val="center" w:pos="993"/>
                <w:tab w:val="left" w:pos="1276"/>
              </w:tabs>
              <w:spacing w:after="0" w:line="240" w:lineRule="auto"/>
              <w:ind w:firstLine="425"/>
              <w:jc w:val="center"/>
              <w:rPr>
                <w:rFonts w:ascii="Times New Roman" w:hAnsi="Times New Roman"/>
                <w:sz w:val="26"/>
                <w:szCs w:val="26"/>
              </w:rPr>
            </w:pPr>
            <w:r w:rsidRPr="002121B4">
              <w:rPr>
                <w:rFonts w:ascii="Times New Roman" w:hAnsi="Times New Roman"/>
                <w:sz w:val="26"/>
                <w:szCs w:val="26"/>
                <w:lang w:val="en-US"/>
              </w:rPr>
              <w:t>IV</w:t>
            </w:r>
          </w:p>
        </w:tc>
      </w:tr>
      <w:tr w:rsidR="004616EA" w:rsidRPr="002121B4" w:rsidTr="00CB11C3">
        <w:tc>
          <w:tcPr>
            <w:tcW w:w="2186" w:type="pct"/>
          </w:tcPr>
          <w:p w:rsidR="004616EA" w:rsidRPr="002121B4" w:rsidRDefault="004616EA" w:rsidP="002121B4">
            <w:pPr>
              <w:spacing w:after="0" w:line="240" w:lineRule="auto"/>
              <w:jc w:val="both"/>
              <w:rPr>
                <w:rFonts w:ascii="Times New Roman" w:hAnsi="Times New Roman"/>
                <w:bCs/>
                <w:sz w:val="26"/>
                <w:szCs w:val="26"/>
              </w:rPr>
            </w:pPr>
            <w:r w:rsidRPr="002121B4">
              <w:rPr>
                <w:rFonts w:ascii="Times New Roman" w:hAnsi="Times New Roman"/>
                <w:bCs/>
                <w:sz w:val="26"/>
                <w:szCs w:val="26"/>
              </w:rPr>
              <w:t>Развитие человеческого капитала</w:t>
            </w:r>
          </w:p>
        </w:tc>
        <w:tc>
          <w:tcPr>
            <w:tcW w:w="1417" w:type="pct"/>
            <w:vAlign w:val="center"/>
          </w:tcPr>
          <w:p w:rsidR="004616EA" w:rsidRPr="002121B4" w:rsidRDefault="004616EA" w:rsidP="002121B4">
            <w:pPr>
              <w:tabs>
                <w:tab w:val="left" w:pos="426"/>
                <w:tab w:val="center" w:pos="993"/>
                <w:tab w:val="left" w:pos="1276"/>
              </w:tabs>
              <w:spacing w:after="0" w:line="240" w:lineRule="auto"/>
              <w:ind w:firstLine="425"/>
              <w:jc w:val="center"/>
              <w:rPr>
                <w:rFonts w:ascii="Times New Roman" w:hAnsi="Times New Roman"/>
                <w:sz w:val="26"/>
                <w:szCs w:val="26"/>
              </w:rPr>
            </w:pPr>
            <w:r w:rsidRPr="002121B4">
              <w:rPr>
                <w:rFonts w:ascii="Times New Roman" w:hAnsi="Times New Roman"/>
                <w:sz w:val="26"/>
                <w:szCs w:val="26"/>
                <w:lang w:val="en-US"/>
              </w:rPr>
              <w:t>II</w:t>
            </w:r>
          </w:p>
        </w:tc>
        <w:tc>
          <w:tcPr>
            <w:tcW w:w="1397" w:type="pct"/>
            <w:vAlign w:val="center"/>
          </w:tcPr>
          <w:p w:rsidR="004616EA" w:rsidRPr="002121B4" w:rsidRDefault="004616EA" w:rsidP="002121B4">
            <w:pPr>
              <w:tabs>
                <w:tab w:val="left" w:pos="426"/>
                <w:tab w:val="center" w:pos="993"/>
                <w:tab w:val="left" w:pos="1276"/>
              </w:tabs>
              <w:spacing w:after="0" w:line="240" w:lineRule="auto"/>
              <w:ind w:firstLine="425"/>
              <w:jc w:val="center"/>
              <w:rPr>
                <w:rFonts w:ascii="Times New Roman" w:hAnsi="Times New Roman"/>
                <w:sz w:val="26"/>
                <w:szCs w:val="26"/>
                <w:lang w:val="en-US"/>
              </w:rPr>
            </w:pPr>
            <w:r w:rsidRPr="002121B4">
              <w:rPr>
                <w:rFonts w:ascii="Times New Roman" w:hAnsi="Times New Roman"/>
                <w:sz w:val="26"/>
                <w:szCs w:val="26"/>
                <w:lang w:val="en-US"/>
              </w:rPr>
              <w:t>I</w:t>
            </w:r>
          </w:p>
        </w:tc>
      </w:tr>
      <w:tr w:rsidR="004616EA" w:rsidRPr="002121B4" w:rsidTr="00CB11C3">
        <w:tc>
          <w:tcPr>
            <w:tcW w:w="2186" w:type="pct"/>
          </w:tcPr>
          <w:p w:rsidR="004616EA" w:rsidRPr="002121B4" w:rsidRDefault="004616EA" w:rsidP="002121B4">
            <w:pPr>
              <w:spacing w:after="0" w:line="240" w:lineRule="auto"/>
              <w:jc w:val="both"/>
              <w:rPr>
                <w:rFonts w:ascii="Times New Roman" w:hAnsi="Times New Roman"/>
                <w:bCs/>
                <w:sz w:val="26"/>
                <w:szCs w:val="26"/>
              </w:rPr>
            </w:pPr>
            <w:r w:rsidRPr="002121B4">
              <w:rPr>
                <w:rFonts w:ascii="Times New Roman" w:hAnsi="Times New Roman"/>
                <w:bCs/>
                <w:sz w:val="26"/>
                <w:szCs w:val="26"/>
              </w:rPr>
              <w:t>Инфраструктурное развитие</w:t>
            </w:r>
          </w:p>
        </w:tc>
        <w:tc>
          <w:tcPr>
            <w:tcW w:w="1417" w:type="pct"/>
            <w:vAlign w:val="center"/>
          </w:tcPr>
          <w:p w:rsidR="004616EA" w:rsidRPr="002121B4" w:rsidRDefault="004616EA" w:rsidP="002121B4">
            <w:pPr>
              <w:tabs>
                <w:tab w:val="left" w:pos="426"/>
                <w:tab w:val="center" w:pos="993"/>
                <w:tab w:val="left" w:pos="1276"/>
              </w:tabs>
              <w:spacing w:after="0" w:line="240" w:lineRule="auto"/>
              <w:ind w:firstLine="425"/>
              <w:jc w:val="center"/>
              <w:rPr>
                <w:rFonts w:ascii="Times New Roman" w:hAnsi="Times New Roman"/>
                <w:sz w:val="26"/>
                <w:szCs w:val="26"/>
                <w:lang w:val="en-US"/>
              </w:rPr>
            </w:pPr>
            <w:r w:rsidRPr="002121B4">
              <w:rPr>
                <w:rFonts w:ascii="Times New Roman" w:hAnsi="Times New Roman"/>
                <w:sz w:val="26"/>
                <w:szCs w:val="26"/>
                <w:lang w:val="en-US"/>
              </w:rPr>
              <w:t>III</w:t>
            </w:r>
          </w:p>
        </w:tc>
        <w:tc>
          <w:tcPr>
            <w:tcW w:w="1397" w:type="pct"/>
            <w:vAlign w:val="center"/>
          </w:tcPr>
          <w:p w:rsidR="004616EA" w:rsidRPr="002121B4" w:rsidRDefault="004616EA" w:rsidP="002121B4">
            <w:pPr>
              <w:tabs>
                <w:tab w:val="left" w:pos="426"/>
                <w:tab w:val="center" w:pos="993"/>
                <w:tab w:val="left" w:pos="1276"/>
              </w:tabs>
              <w:spacing w:after="0" w:line="240" w:lineRule="auto"/>
              <w:ind w:firstLine="425"/>
              <w:jc w:val="center"/>
              <w:rPr>
                <w:rFonts w:ascii="Times New Roman" w:hAnsi="Times New Roman"/>
                <w:sz w:val="26"/>
                <w:szCs w:val="26"/>
              </w:rPr>
            </w:pPr>
            <w:r w:rsidRPr="002121B4">
              <w:rPr>
                <w:rFonts w:ascii="Times New Roman" w:hAnsi="Times New Roman"/>
                <w:sz w:val="26"/>
                <w:szCs w:val="26"/>
                <w:lang w:val="en-US"/>
              </w:rPr>
              <w:t>II</w:t>
            </w:r>
          </w:p>
        </w:tc>
      </w:tr>
      <w:tr w:rsidR="004616EA" w:rsidRPr="002121B4" w:rsidTr="00CB11C3">
        <w:tc>
          <w:tcPr>
            <w:tcW w:w="2186" w:type="pct"/>
          </w:tcPr>
          <w:p w:rsidR="004616EA" w:rsidRPr="002121B4" w:rsidRDefault="004616EA" w:rsidP="002121B4">
            <w:pPr>
              <w:spacing w:after="0" w:line="240" w:lineRule="auto"/>
              <w:jc w:val="both"/>
              <w:rPr>
                <w:rFonts w:ascii="Times New Roman" w:hAnsi="Times New Roman"/>
                <w:bCs/>
                <w:sz w:val="26"/>
                <w:szCs w:val="26"/>
              </w:rPr>
            </w:pPr>
            <w:r w:rsidRPr="002121B4">
              <w:rPr>
                <w:rFonts w:ascii="Times New Roman" w:hAnsi="Times New Roman"/>
                <w:bCs/>
                <w:sz w:val="26"/>
                <w:szCs w:val="26"/>
              </w:rPr>
              <w:t>Развитие муниципального управления</w:t>
            </w:r>
          </w:p>
        </w:tc>
        <w:tc>
          <w:tcPr>
            <w:tcW w:w="1417" w:type="pct"/>
            <w:vAlign w:val="center"/>
          </w:tcPr>
          <w:p w:rsidR="004616EA" w:rsidRPr="002121B4" w:rsidRDefault="004616EA" w:rsidP="002121B4">
            <w:pPr>
              <w:tabs>
                <w:tab w:val="left" w:pos="426"/>
                <w:tab w:val="center" w:pos="993"/>
                <w:tab w:val="left" w:pos="1276"/>
              </w:tabs>
              <w:spacing w:after="0" w:line="240" w:lineRule="auto"/>
              <w:ind w:firstLine="425"/>
              <w:jc w:val="center"/>
              <w:rPr>
                <w:rFonts w:ascii="Times New Roman" w:hAnsi="Times New Roman"/>
                <w:sz w:val="26"/>
                <w:szCs w:val="26"/>
                <w:lang w:val="en-US"/>
              </w:rPr>
            </w:pPr>
            <w:r w:rsidRPr="002121B4">
              <w:rPr>
                <w:rFonts w:ascii="Times New Roman" w:hAnsi="Times New Roman"/>
                <w:sz w:val="26"/>
                <w:szCs w:val="26"/>
                <w:lang w:val="en-US"/>
              </w:rPr>
              <w:t>IV</w:t>
            </w:r>
          </w:p>
        </w:tc>
        <w:tc>
          <w:tcPr>
            <w:tcW w:w="1397" w:type="pct"/>
            <w:vAlign w:val="center"/>
          </w:tcPr>
          <w:p w:rsidR="004616EA" w:rsidRPr="002121B4" w:rsidRDefault="004616EA" w:rsidP="002121B4">
            <w:pPr>
              <w:tabs>
                <w:tab w:val="left" w:pos="426"/>
                <w:tab w:val="center" w:pos="993"/>
                <w:tab w:val="left" w:pos="1276"/>
              </w:tabs>
              <w:spacing w:after="0" w:line="240" w:lineRule="auto"/>
              <w:ind w:firstLine="425"/>
              <w:jc w:val="center"/>
              <w:rPr>
                <w:rFonts w:ascii="Times New Roman" w:hAnsi="Times New Roman"/>
                <w:sz w:val="26"/>
                <w:szCs w:val="26"/>
                <w:lang w:val="en-US"/>
              </w:rPr>
            </w:pPr>
            <w:r w:rsidRPr="002121B4">
              <w:rPr>
                <w:rFonts w:ascii="Times New Roman" w:hAnsi="Times New Roman"/>
                <w:sz w:val="26"/>
                <w:szCs w:val="26"/>
                <w:lang w:val="en-US"/>
              </w:rPr>
              <w:t>III</w:t>
            </w:r>
          </w:p>
        </w:tc>
      </w:tr>
    </w:tbl>
    <w:p w:rsidR="004616EA" w:rsidRPr="002121B4" w:rsidRDefault="004616EA" w:rsidP="002121B4">
      <w:pPr>
        <w:tabs>
          <w:tab w:val="left" w:pos="993"/>
        </w:tabs>
        <w:spacing w:after="0" w:line="240" w:lineRule="auto"/>
        <w:ind w:firstLine="709"/>
        <w:jc w:val="both"/>
        <w:rPr>
          <w:rFonts w:ascii="Times New Roman" w:hAnsi="Times New Roman"/>
          <w:sz w:val="26"/>
          <w:szCs w:val="26"/>
          <w:lang w:eastAsia="ru-RU"/>
        </w:rPr>
      </w:pPr>
      <w:r w:rsidRPr="002121B4">
        <w:rPr>
          <w:rFonts w:ascii="Times New Roman" w:hAnsi="Times New Roman"/>
          <w:sz w:val="26"/>
          <w:szCs w:val="26"/>
        </w:rPr>
        <w:t xml:space="preserve">Инструментом для решения всех существующих проблем могут стать дополнительные мероприятия действующих муниципальных программ, разработка и утверждение новых программ городского округа, а также активное использование возможности привлечения бюджетных средств в рамках реализации государственных программ Ханты-Мансийского автономного округа - Югры. </w:t>
      </w:r>
    </w:p>
    <w:p w:rsidR="004616EA" w:rsidRPr="00475E67" w:rsidRDefault="004616EA" w:rsidP="00973F2A">
      <w:pPr>
        <w:spacing w:after="0" w:line="360" w:lineRule="auto"/>
        <w:ind w:firstLine="708"/>
        <w:jc w:val="both"/>
        <w:rPr>
          <w:rFonts w:ascii="Times New Roman" w:hAnsi="Times New Roman"/>
          <w:sz w:val="24"/>
          <w:szCs w:val="24"/>
          <w:lang w:eastAsia="ru-RU"/>
        </w:rPr>
        <w:sectPr w:rsidR="004616EA" w:rsidRPr="00475E67" w:rsidSect="00F30319">
          <w:pgSz w:w="11906" w:h="16838"/>
          <w:pgMar w:top="1134" w:right="567" w:bottom="1134" w:left="2552" w:header="709" w:footer="709" w:gutter="0"/>
          <w:cols w:space="708"/>
          <w:docGrid w:linePitch="360"/>
        </w:sectPr>
      </w:pPr>
    </w:p>
    <w:p w:rsidR="004616EA" w:rsidRDefault="004616EA" w:rsidP="002121B4">
      <w:pPr>
        <w:pStyle w:val="1"/>
        <w:spacing w:before="0" w:after="0"/>
        <w:ind w:firstLine="709"/>
        <w:jc w:val="both"/>
        <w:rPr>
          <w:sz w:val="26"/>
          <w:szCs w:val="26"/>
        </w:rPr>
      </w:pPr>
      <w:bookmarkStart w:id="178" w:name="_Toc369265383"/>
      <w:bookmarkStart w:id="179" w:name="_Toc389051105"/>
      <w:bookmarkStart w:id="180" w:name="_Toc405805526"/>
      <w:r w:rsidRPr="002121B4">
        <w:rPr>
          <w:sz w:val="26"/>
          <w:szCs w:val="26"/>
        </w:rPr>
        <w:t xml:space="preserve">9 Основные механизмы реализации стратегических целей и задач социально-экономического развития </w:t>
      </w:r>
      <w:bookmarkEnd w:id="178"/>
      <w:bookmarkEnd w:id="179"/>
      <w:r w:rsidRPr="002121B4">
        <w:rPr>
          <w:sz w:val="26"/>
          <w:szCs w:val="26"/>
        </w:rPr>
        <w:t>города когалыма до 2020 года и на период до 2030 года</w:t>
      </w:r>
      <w:bookmarkEnd w:id="180"/>
    </w:p>
    <w:p w:rsidR="004616EA" w:rsidRPr="002121B4" w:rsidRDefault="004616EA" w:rsidP="002121B4">
      <w:pPr>
        <w:spacing w:after="0" w:line="240" w:lineRule="auto"/>
        <w:ind w:firstLine="709"/>
        <w:jc w:val="both"/>
      </w:pP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Реализация Стратегии социально-экономического развития городского округа город Когалым </w:t>
      </w:r>
      <w:r w:rsidRPr="002121B4">
        <w:rPr>
          <w:rFonts w:ascii="Times New Roman" w:hAnsi="Times New Roman"/>
          <w:bCs/>
          <w:sz w:val="26"/>
          <w:szCs w:val="26"/>
        </w:rPr>
        <w:t xml:space="preserve">до 2020 года и на период до 2030 года </w:t>
      </w:r>
      <w:r w:rsidRPr="002121B4">
        <w:rPr>
          <w:rFonts w:ascii="Times New Roman" w:hAnsi="Times New Roman"/>
          <w:sz w:val="26"/>
          <w:szCs w:val="26"/>
        </w:rPr>
        <w:t>должна обеспечиваться неуклонным соблюдением всех участников следующих принципов:</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 законность или строгое, точное и неуклонное соблюдение требований законодательства Российской Федерации всеми участниками мероприятий по реализации Стратегии. В рамках учета указанного принципа требуется проведение работы по приведению нормативных правовых актов администрации города Когалыма в соответствие с нормами законодательства Российской Федерации, а также четкое распределение на уровне положений о структурных подразделениях и должностных инструкций полномочий, прав и обязанностей по решению вопросов местного значения в городском округе город Когалым, осуществлению иных полномочий; </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 единообразное понимание целей Стратегии органами государственной власти, реализующими полномочия на территории города Когалыма, органами местного самоуправления и муниципальными учреждениями, унитарными предприятиями, должностными лицами, исполнителями процессов реализации Стратегии. Соблюдение указанного принципа достигается путем создания постоянно действующих координирующих органов, проведения широкой разъяснительной и методической работы; </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приоритетность и согласованность в выборе и реализации мероприятий Стратегии, установки последовательности их осуществления, с учётом социально-экономической обстановки. Обеспечение реализации данного принципа достигается путем разработки и утверждения четкого плана действий с закреплением в нем конкретных сроков реализации и ответственных структурных подразделений администрации города Когалыма;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экономичность и последовательный учет реализации мероприятий Стратегии. Указанный принцип предполагает наличие обязательного экономического обоснования реализации мероприятий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Достижение целей Стратегии развития города Когалыма во многом зависит от способности органов местного самоуправления построить эффективный механизм принятия и реализации решений, направленных на достижение стратегических целей. </w:t>
      </w:r>
    </w:p>
    <w:p w:rsidR="004616EA" w:rsidRPr="002121B4" w:rsidRDefault="004616EA" w:rsidP="002121B4">
      <w:pPr>
        <w:pStyle w:val="Default"/>
        <w:ind w:firstLine="709"/>
        <w:jc w:val="both"/>
        <w:rPr>
          <w:color w:val="auto"/>
          <w:sz w:val="26"/>
          <w:szCs w:val="26"/>
        </w:rPr>
      </w:pPr>
      <w:r w:rsidRPr="002121B4">
        <w:rPr>
          <w:color w:val="auto"/>
          <w:sz w:val="26"/>
          <w:szCs w:val="26"/>
        </w:rPr>
        <w:t>Для Стратегии разработаны пять групп основных механизмов реализации, играющих ключевую роль в процессе ее внедрения.</w:t>
      </w:r>
    </w:p>
    <w:p w:rsidR="004616EA" w:rsidRPr="002121B4" w:rsidRDefault="004616EA" w:rsidP="002121B4">
      <w:pPr>
        <w:pStyle w:val="3"/>
        <w:spacing w:line="240" w:lineRule="auto"/>
        <w:ind w:firstLine="709"/>
        <w:rPr>
          <w:sz w:val="26"/>
        </w:rPr>
      </w:pPr>
      <w:bookmarkStart w:id="181" w:name="_Toc369265384"/>
      <w:bookmarkStart w:id="182" w:name="_Toc389051106"/>
      <w:bookmarkStart w:id="183" w:name="_Toc405805527"/>
      <w:r w:rsidRPr="002121B4">
        <w:rPr>
          <w:sz w:val="26"/>
        </w:rPr>
        <w:t>9.1 Организационные механизмы</w:t>
      </w:r>
      <w:bookmarkEnd w:id="181"/>
      <w:bookmarkEnd w:id="182"/>
      <w:bookmarkEnd w:id="183"/>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Организационные механизмы предполагают создание системы стратегического управления развитием города Когалыма посредством выделения в организационной структуре лиц, осуществляющих стратегическое управление и обеспечивающих единство принимаемых решений во исполнение Стратегии развития города Когалыма.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Субъектами такого механизма могут являться: федеральные органы государственной власти, органы государственной власти Ханты-Мансийского автономного округа – Югры, органы местного самоуправления города Когалыма; бизнес-группы; представители банковской системы, инвесторы; общественность; приглашенные специалисты и консультанты.</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lang w:eastAsia="ru-RU"/>
        </w:rPr>
      </w:pPr>
      <w:r w:rsidRPr="002121B4">
        <w:rPr>
          <w:rFonts w:ascii="Times New Roman" w:hAnsi="Times New Roman"/>
          <w:sz w:val="26"/>
          <w:szCs w:val="26"/>
          <w:lang w:eastAsia="ru-RU"/>
        </w:rPr>
        <w:t xml:space="preserve">В основе управления развитием </w:t>
      </w:r>
      <w:r w:rsidRPr="002121B4">
        <w:rPr>
          <w:rFonts w:ascii="Times New Roman" w:hAnsi="Times New Roman"/>
          <w:sz w:val="26"/>
          <w:szCs w:val="26"/>
        </w:rPr>
        <w:t xml:space="preserve">города Когалыма </w:t>
      </w:r>
      <w:r w:rsidRPr="002121B4">
        <w:rPr>
          <w:rFonts w:ascii="Times New Roman" w:hAnsi="Times New Roman"/>
          <w:sz w:val="26"/>
          <w:szCs w:val="26"/>
          <w:lang w:eastAsia="ru-RU"/>
        </w:rPr>
        <w:t>лежит способность органов местного самоуправления выстроить эффективный механизм принятия и реализации решений, направленных на достижение целей и задач, заложенных в Стратегии.</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Система организационных механизмов реализации Стратегии включает в себя следующие ключевые мероприятия:</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1) вовлечение в процесс реализации Стратегии широкого круга политических и общественных организаций, бизнеса и структур гражданского общества;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2) использование механизмов социального партнерства, отражение стратегических целей и задач в коллективных соглашениях и договорах;</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3) регулярное рассмотрение хода реализации Стратегии развития города Когалыма;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4) подготовка Администрацией города Когалыма документов с целью получения финансирования из бюджета Ханты-Мансийского автономного округа – Югры для реализации мероприятий по социально-экономическому развитию города Когалыма;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5) создание системы планирования реализации задач Стратегии и их координации с задачами генерального плана города Когалыма, программами и инвестиционными проектами, бюджетом города Когалыма; системы мониторинга и оценки реализации Стратегии; системы информационного обеспечения процесса реализации Стратегии;</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6) разработка и принятие муниципальных правовых актов, необходимых для решения задач Стратегии.</w:t>
      </w:r>
    </w:p>
    <w:p w:rsidR="004616EA" w:rsidRPr="002121B4" w:rsidRDefault="004616EA" w:rsidP="002121B4">
      <w:pPr>
        <w:spacing w:after="0" w:line="240" w:lineRule="auto"/>
        <w:ind w:firstLine="709"/>
        <w:jc w:val="both"/>
        <w:rPr>
          <w:rFonts w:ascii="Times New Roman" w:hAnsi="Times New Roman"/>
          <w:sz w:val="26"/>
          <w:szCs w:val="26"/>
          <w:lang w:eastAsia="ru-RU"/>
        </w:rPr>
      </w:pPr>
      <w:r w:rsidRPr="002121B4">
        <w:rPr>
          <w:rFonts w:ascii="Times New Roman" w:hAnsi="Times New Roman"/>
          <w:sz w:val="26"/>
          <w:szCs w:val="26"/>
        </w:rPr>
        <w:t>Для реализации ключевых мероприятий и оценки их результатов может быть создан Координационный совет, в который целесообразно включить (по возможности) представителей всех перечисленных выше субъектов.</w:t>
      </w:r>
      <w:r w:rsidRPr="002121B4">
        <w:rPr>
          <w:rFonts w:ascii="Times New Roman" w:hAnsi="Times New Roman"/>
          <w:sz w:val="26"/>
          <w:szCs w:val="26"/>
          <w:lang w:eastAsia="ru-RU"/>
        </w:rPr>
        <w:t xml:space="preserve"> Его основными задачами станет </w:t>
      </w:r>
      <w:r w:rsidRPr="002121B4">
        <w:rPr>
          <w:rFonts w:ascii="Times New Roman" w:hAnsi="Times New Roman"/>
          <w:sz w:val="26"/>
          <w:szCs w:val="26"/>
        </w:rPr>
        <w:t xml:space="preserve">разработка и подписание необходимых соглашений о сотрудничестве, направленном на решение задач Стратегии в форме государственно-частного и муниципально-частного партнерства; регулирование межмуниципального сотрудничества; </w:t>
      </w:r>
      <w:r w:rsidRPr="002121B4">
        <w:rPr>
          <w:rFonts w:ascii="Times New Roman" w:hAnsi="Times New Roman"/>
          <w:sz w:val="26"/>
          <w:szCs w:val="26"/>
          <w:lang w:eastAsia="ru-RU"/>
        </w:rPr>
        <w:t xml:space="preserve">налаживание обратной связи со всеми заинтересованными субъектами экономической, политической и общественной жизни </w:t>
      </w:r>
      <w:r w:rsidRPr="002121B4">
        <w:rPr>
          <w:rFonts w:ascii="Times New Roman" w:hAnsi="Times New Roman"/>
          <w:sz w:val="26"/>
          <w:szCs w:val="26"/>
        </w:rPr>
        <w:t>города Когалыма</w:t>
      </w:r>
      <w:r w:rsidRPr="002121B4">
        <w:rPr>
          <w:rFonts w:ascii="Times New Roman" w:hAnsi="Times New Roman"/>
          <w:sz w:val="26"/>
          <w:szCs w:val="26"/>
          <w:lang w:eastAsia="ru-RU"/>
        </w:rPr>
        <w:t>.</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Реализация межмуниципального сотрудничества позволит, в конечном счете, сформировать и поддержать различные формы партнерства (в том числе ГЧП – государственно-частное партнерство - между окружной и городской властью, между муниципальным образованием и бизнесом, между властью и общественными структурами).</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Государственно-частное партнерство (ГЧП) - способ взаимодействия государства и частных компаний для решения социально-экономических задач и достижения целей, выгодных обеим сторонам. Принципы ГЧП применяются, прежде всего, по отношению к реализации инвестиционных проектов в капиталоемких отраслях экономики, за развитие которых должно отвечать государство.</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Преимущества проектов ГЧП:</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привлечение немуниципального финансирования для инвестиций в объекты городского значения;</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сокращение муниципальных расходов на содержание (эксплуатацию) объектов инфраструктуры;</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разделение рисков проекта между муниципальным образованием и частными инвесторами;</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обеспечение экономически эффективного управления реализацией проекта путем передачи управленческих функций частному инвестору;</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привлечение современных, высокоэффективных технологий в развитие инфраструктуры;</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улучшение инвестиционного климата.</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Привлекательность ГЧП для деловых кругов:</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доступ к традиционно государственной сфере;</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прямая государственная поддержка и участие;</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использование зарубежного опыта;</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возможность долговременного размещения инвестиций под устраивающие гарантии;</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возможность выбора из большого числа проектов.</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Привлекательность ГЧП для государства:</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решение системных проблем развития (неразвитость инфраструктуры, энергетики, ЖКХ и т.д.);</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снижение бюджетных затрат за счет привлечения средств;</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повышение качества и эффективности работ и услуг;</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увеличение поступлений от налогов и других выплат в бюджет;</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повышение инвестиционной и инновационной активности;</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повышение уровня конкуренции, снижение тарифов - укрепление социальной стабильности;</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возможность разделить риски, переложить их на партнеров.</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Таким образом, государственно-частное партнерство является эффективным механизмом привлечения долгосрочных инвестиций, направленных на развитие инновационных проектов и секторов экономики.</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lang w:eastAsia="ru-RU"/>
        </w:rPr>
        <w:t xml:space="preserve">Реализация ключевых мероприятий позволит оперативно принимать решения, корректировать плановые мероприятия, оценивать достигнутые результаты и внедрять новые методы для достижения целевых ориентиров развития </w:t>
      </w:r>
      <w:r w:rsidRPr="002121B4">
        <w:rPr>
          <w:rFonts w:ascii="Times New Roman" w:hAnsi="Times New Roman"/>
          <w:sz w:val="26"/>
          <w:szCs w:val="26"/>
        </w:rPr>
        <w:t>города Когалыма</w:t>
      </w:r>
      <w:r w:rsidRPr="002121B4">
        <w:rPr>
          <w:rFonts w:ascii="Times New Roman" w:hAnsi="Times New Roman"/>
          <w:sz w:val="26"/>
          <w:szCs w:val="26"/>
          <w:lang w:eastAsia="ru-RU"/>
        </w:rPr>
        <w:t>.</w:t>
      </w:r>
    </w:p>
    <w:p w:rsidR="004616EA" w:rsidRPr="002121B4" w:rsidRDefault="004616EA" w:rsidP="002121B4">
      <w:pPr>
        <w:pStyle w:val="3"/>
        <w:spacing w:line="240" w:lineRule="auto"/>
        <w:ind w:firstLine="709"/>
        <w:rPr>
          <w:sz w:val="26"/>
        </w:rPr>
      </w:pPr>
      <w:bookmarkStart w:id="184" w:name="_Toc369265385"/>
      <w:bookmarkStart w:id="185" w:name="_Toc389051107"/>
      <w:bookmarkStart w:id="186" w:name="_Toc405805528"/>
      <w:r w:rsidRPr="002121B4">
        <w:rPr>
          <w:sz w:val="26"/>
        </w:rPr>
        <w:t>9.2 Правовые механизмы</w:t>
      </w:r>
      <w:bookmarkEnd w:id="184"/>
      <w:bookmarkEnd w:id="185"/>
      <w:bookmarkEnd w:id="186"/>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Стратегия является документом долгосрочного планирования социально-экономического развития города Когалыма, определяет долгосрочную цель, приоритетные направления, задачи развития города Когалыма.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Правовые механизмы реализации Стратегии заключаются в определении приоритетов нормотворческой деятельности, формировании пакета нормативных правовых актов, регламентирующих процесс реализации Стратегии, а также организацию мониторинга их исполнения.</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Совершенствование нормативной базы заключается в принятии муниципальных правовых актов города Когалыма по проведению основных социально-экономических преобразований в русле изменений федерального и регионального законодательств, административной реформы, экономического и социального развития, налоговой и бюджетной политики, реализации приоритетных национальных проектов, реформы местного самоуправления, по другим наиболее важным направлениям.</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В настоящее время в городе Когалыме разработаны программные документы и целевые программы различного уровня. Необходимо осуществление консолидации всех мероприятий, обозначенных в программных документах, в целях обеспечения системного характера этих программ и включенных в них мероприятий, исключение дублирования действий, придание всем программным мероприятиям единой направленности на реализацию основных целей, обозначенных в Стратегии социально-экономического развития.</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lang w:eastAsia="ru-RU"/>
        </w:rPr>
      </w:pPr>
      <w:r w:rsidRPr="002121B4">
        <w:rPr>
          <w:rFonts w:ascii="Times New Roman" w:hAnsi="Times New Roman"/>
          <w:sz w:val="26"/>
          <w:szCs w:val="26"/>
          <w:lang w:eastAsia="ru-RU"/>
        </w:rPr>
        <w:t>Основным элементом правового регулирования социально-экономического развития должен стать специальный нормативно-правовой акт, устанавливающий правовой статус Стратегии. В нем должны быть определены компетенции, полномочия и ответственность должностных лиц и иных структур, участвующих в ее реализации. Также он должен регламентировать процедуры создания и функционирования Координационного совета и рабочих групп, цели их деятельности и порядок работы.</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lang w:eastAsia="ru-RU"/>
        </w:rPr>
      </w:pPr>
      <w:r w:rsidRPr="002121B4">
        <w:rPr>
          <w:rFonts w:ascii="Times New Roman" w:hAnsi="Times New Roman"/>
          <w:sz w:val="26"/>
          <w:szCs w:val="26"/>
          <w:lang w:eastAsia="ru-RU"/>
        </w:rPr>
        <w:t>Далее должна быть разработана и утверждена система нормативных правовых актов, детализирующая положения Стратегии на отраслевом и функциональном уровнях. Ее основными составляющими являются следующие нормативные документы:</w:t>
      </w:r>
    </w:p>
    <w:p w:rsidR="004616EA" w:rsidRPr="002121B4" w:rsidRDefault="004616EA" w:rsidP="002121B4">
      <w:pPr>
        <w:numPr>
          <w:ilvl w:val="0"/>
          <w:numId w:val="86"/>
        </w:numPr>
        <w:tabs>
          <w:tab w:val="left" w:pos="851"/>
          <w:tab w:val="left" w:pos="1134"/>
        </w:tabs>
        <w:autoSpaceDE w:val="0"/>
        <w:autoSpaceDN w:val="0"/>
        <w:adjustRightInd w:val="0"/>
        <w:spacing w:after="0" w:line="240" w:lineRule="auto"/>
        <w:ind w:left="0" w:firstLine="709"/>
        <w:jc w:val="both"/>
        <w:rPr>
          <w:rFonts w:ascii="Times New Roman" w:hAnsi="Times New Roman"/>
          <w:sz w:val="26"/>
          <w:szCs w:val="26"/>
          <w:lang w:eastAsia="ru-RU"/>
        </w:rPr>
      </w:pPr>
      <w:r w:rsidRPr="002121B4">
        <w:rPr>
          <w:rFonts w:ascii="Times New Roman" w:hAnsi="Times New Roman"/>
          <w:sz w:val="26"/>
          <w:szCs w:val="26"/>
          <w:lang w:eastAsia="ru-RU"/>
        </w:rPr>
        <w:t>муниципальные программы, соответствующие целям и задачам долгосрочного развития;</w:t>
      </w:r>
    </w:p>
    <w:p w:rsidR="004616EA" w:rsidRPr="002121B4" w:rsidRDefault="004616EA" w:rsidP="002121B4">
      <w:pPr>
        <w:numPr>
          <w:ilvl w:val="0"/>
          <w:numId w:val="86"/>
        </w:numPr>
        <w:tabs>
          <w:tab w:val="left" w:pos="851"/>
          <w:tab w:val="left" w:pos="1134"/>
        </w:tabs>
        <w:autoSpaceDE w:val="0"/>
        <w:autoSpaceDN w:val="0"/>
        <w:adjustRightInd w:val="0"/>
        <w:spacing w:after="0" w:line="240" w:lineRule="auto"/>
        <w:ind w:left="0" w:firstLine="709"/>
        <w:jc w:val="both"/>
        <w:rPr>
          <w:rFonts w:ascii="Times New Roman" w:hAnsi="Times New Roman"/>
          <w:sz w:val="26"/>
          <w:szCs w:val="26"/>
          <w:lang w:eastAsia="ru-RU"/>
        </w:rPr>
      </w:pPr>
      <w:r w:rsidRPr="002121B4">
        <w:rPr>
          <w:rFonts w:ascii="Times New Roman" w:hAnsi="Times New Roman"/>
          <w:sz w:val="26"/>
          <w:szCs w:val="26"/>
          <w:lang w:eastAsia="ru-RU"/>
        </w:rPr>
        <w:t>инструментальные нормативные правовые акты муниципального уровня (решения, постановления и т.д.), регламентирующие порядок, сроки, структуру ответственных лиц по исполнению программ;</w:t>
      </w:r>
    </w:p>
    <w:p w:rsidR="004616EA" w:rsidRPr="002121B4" w:rsidRDefault="004616EA" w:rsidP="002121B4">
      <w:pPr>
        <w:numPr>
          <w:ilvl w:val="0"/>
          <w:numId w:val="86"/>
        </w:numPr>
        <w:tabs>
          <w:tab w:val="left" w:pos="851"/>
          <w:tab w:val="left" w:pos="1134"/>
        </w:tabs>
        <w:autoSpaceDE w:val="0"/>
        <w:autoSpaceDN w:val="0"/>
        <w:adjustRightInd w:val="0"/>
        <w:spacing w:after="0" w:line="240" w:lineRule="auto"/>
        <w:ind w:left="0" w:firstLine="709"/>
        <w:jc w:val="both"/>
        <w:rPr>
          <w:rFonts w:ascii="Times New Roman" w:hAnsi="Times New Roman"/>
          <w:sz w:val="26"/>
          <w:szCs w:val="26"/>
          <w:lang w:eastAsia="ru-RU"/>
        </w:rPr>
      </w:pPr>
      <w:r w:rsidRPr="002121B4">
        <w:rPr>
          <w:rFonts w:ascii="Times New Roman" w:hAnsi="Times New Roman"/>
          <w:sz w:val="26"/>
          <w:szCs w:val="26"/>
          <w:lang w:eastAsia="ru-RU"/>
        </w:rPr>
        <w:t>нормативные правовые акты, корректирующие существующую правовую базу в направлении соответствия стратегическим приоритетам развития;</w:t>
      </w:r>
    </w:p>
    <w:p w:rsidR="004616EA" w:rsidRPr="002121B4" w:rsidRDefault="004616EA" w:rsidP="002121B4">
      <w:pPr>
        <w:numPr>
          <w:ilvl w:val="0"/>
          <w:numId w:val="86"/>
        </w:numPr>
        <w:tabs>
          <w:tab w:val="left" w:pos="851"/>
          <w:tab w:val="left" w:pos="1134"/>
        </w:tabs>
        <w:autoSpaceDE w:val="0"/>
        <w:autoSpaceDN w:val="0"/>
        <w:adjustRightInd w:val="0"/>
        <w:spacing w:after="0" w:line="240" w:lineRule="auto"/>
        <w:ind w:left="0" w:firstLine="709"/>
        <w:jc w:val="both"/>
        <w:rPr>
          <w:rFonts w:ascii="Times New Roman" w:hAnsi="Times New Roman"/>
          <w:sz w:val="26"/>
          <w:szCs w:val="26"/>
          <w:lang w:eastAsia="ru-RU"/>
        </w:rPr>
      </w:pPr>
      <w:r w:rsidRPr="002121B4">
        <w:rPr>
          <w:rFonts w:ascii="Times New Roman" w:hAnsi="Times New Roman"/>
          <w:sz w:val="26"/>
          <w:szCs w:val="26"/>
          <w:lang w:eastAsia="ru-RU"/>
        </w:rPr>
        <w:t>разработка муниципальных заданий, обеспечивающих качество и доступность муниципальных услуг.</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Таким образом, будет обеспечена необходимая нормативная основа для принятия стратегических и оперативных управленческих решений. Исходя из этого, будут приниматься соответствующие нормативные правовые акты, и осуществляться изменения в функциях, а также, при необходимости, и в структуре органов местного самоуправления города Когалыма, направленные на обеспечение эффективной координации процесса реализации Стратегии.</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Реализация Стратегии будет обеспечиваться путем реализации муниципальных программ и инвестиционных проектов развития города Когалыма.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Правовые механизмы реализации Стратегии должны охватывать следующие сферы: систему стратегического социально-экономического и территориального планирования; предпринимательскую, инвестиционную и градостроительную деятельности; общественные финансы и межбюджетные отношения; внедрение бюджетирования; муниципально-частное партнерство; государственно-частное партнерство, местное самоуправление и другие.</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Эффективное взаимодействие органов местного самоуправления и частного бизнеса (инвесторов), основанное на достижении взаимных интересов, является одним из важнейших условий устойчивого социально-экономического развития города Когалыма, повышения инвестиционной и предпринимательской деятельности, развития инфраструктуры муниципального хозяйства. В целях привлечения инвестиций в экономику и социальную сферу города Когалыма Постановлением Администрации города Когалыма от 05.06.2012 №1323 утверждено Положение об участии муниципального образования Ханты-Мансийского автономного округа – Югры городской округ город Когалым в государственно-частных партнерствах. На условиях государственно-частного партнерства возможна реализация таких проектов, как программа газификации населенных пунктов Югры; проекты в области строительства и модернизации транспортной инфраструктуры, жилищно-коммунального хозяйства, энергоснабжения, связи и телекоммуникаций, образования и иных объектов социальной инфраструктуры. Кроме этого, объектами соглашения государственно-частных партнерств должны стать инвестиционные площадки в сфере развития жилищного строительства для целей комплексного освоения и коммерческого найма.</w:t>
      </w:r>
    </w:p>
    <w:p w:rsidR="004616EA" w:rsidRPr="002121B4" w:rsidRDefault="004616EA" w:rsidP="002121B4">
      <w:pPr>
        <w:spacing w:after="0" w:line="240" w:lineRule="auto"/>
        <w:ind w:firstLine="709"/>
        <w:jc w:val="both"/>
        <w:rPr>
          <w:rStyle w:val="a4"/>
          <w:color w:val="auto"/>
          <w:sz w:val="26"/>
          <w:szCs w:val="26"/>
        </w:rPr>
      </w:pPr>
      <w:r w:rsidRPr="002121B4">
        <w:rPr>
          <w:rFonts w:ascii="Times New Roman" w:hAnsi="Times New Roman"/>
          <w:sz w:val="26"/>
          <w:szCs w:val="26"/>
        </w:rPr>
        <w:t>В результате будет сформирована система правовых актов, обеспечивающих планирование, реализацию, мониторинг и оценку, а также контроль реализации Стратегии.</w:t>
      </w:r>
    </w:p>
    <w:p w:rsidR="004616EA" w:rsidRPr="002121B4" w:rsidRDefault="004616EA" w:rsidP="002121B4">
      <w:pPr>
        <w:pStyle w:val="3"/>
        <w:spacing w:line="240" w:lineRule="auto"/>
        <w:ind w:firstLine="709"/>
        <w:rPr>
          <w:sz w:val="26"/>
        </w:rPr>
      </w:pPr>
      <w:bookmarkStart w:id="187" w:name="_Toc405805529"/>
      <w:r w:rsidRPr="002121B4">
        <w:rPr>
          <w:sz w:val="26"/>
        </w:rPr>
        <w:t>9.3 Реализация Стратегии посредством создания Комплексной системы управления развитием территории и недвижимости</w:t>
      </w:r>
      <w:bookmarkEnd w:id="187"/>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Стратегия является базовым документом планирования развития города Когалыма, формирующим системы долгосрочных приоритетов, целей, задач, мероприятий социально-экономического развития, выраженного в повышении качества жизни населения города Когалыма.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Реализация Стратегии может происходить посредством создания комплексной системы управления развитием территории и недвижимости.</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Комплексная система управления развитием территории и недвижимости подразумевает единство социально-экономического и территориального планирования.</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Обеспечение комплексности управления развитием территории и недвижимости предлагается за счёт системы документов развития города Когалыма, в частности: стратегии социально-экономического развития, местных нормативов градостроительного проектирования, генерального плана города Когалыма, муниципальных программ развития города Когалыма.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Стратегия является основой для формирования пространственной проекции стратегических приоритетов развития города Когалыма в документах территориального планирования. Целевые показатели развития территории, формируемые в Стратегии, составляют важную часть исходных данных, используемых при разработке (внесении изменений) в генеральный план города Когалыма. Это обеспечит своевременную гармонизацию приоритетов и целевых показателей социально-экономического развития города Когалыма, определенных в Стратегии, с решениями генерального плана и позволит выполнить требования ч. 5 ст. 9 Градостроительного кодекса РФ.</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Единство социально-экономического и территориального планирования основано на постоянном взаимном согласовании, учёте, отображении и мониторинге одних и тех же показателей во всех документах. Большинство этих показателей связано с пространственными объектами. </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На основе Стратегии выстраивается комплексная система мер по улучшению качества жизни населения, обеспечению благоприятного инвестиционного климата на территории, повышению эффективности экономической деятельности в городе Когалыме.</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Местные нормативы градостроительного проектирования являются связующим звеном между документами социально-экономического развития и территориального планирования через обязательность использования Стратегии социально-экономического развития в качестве основы для генерального плана города Когалыма. </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Местные нормативы градостроительного проектирования призваны установить параметры территориального развития, соответствующего потребностям и возможностям населения, проживающего на территории города Когалыма.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Комплексная система управления развитием территории и недвижимости подразумевает подготовку необходимой градостроительной документации на всю территорию города Когалыма в увязке с информационным обеспечением системы управления развитием территории. Преимуществом комплексной системы будет являться сохранение преемственности и гармонизация проектных решений документов различных уровней: от стратегии и программ социально-экономического развития территории до уровня генерального плана города Когалыма, от генерального плана города Когалыма к проектам планировки территории. Это позволит улучшить качество проектов, избежать множества градостроительных ошибок и эффективно использовать территорию города Когалыма и управлять ее развитием.</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Комплексная система управления развитием территории должна быть направлена на защиту общественных интересов по повышению качества среды, обеспечение государственных гарантий прав собственников на недвижимость за счёт полноты и непротиворечивости градостроительных решений и установленных прав на объекты недвижимости, повышение доверия населения органам местного самоуправления и улучшение инвестиционного климата.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Таким образом, в рамках комплексной системы управления развитием территории и недвижимости необходима: актуализация информационной системы обеспечения градостроительной деятельности; разработка местных нормативов градостроительного проектирования города Когалыма; внесение изменений в генеральный план города Когалыма; разработка/внесение изменений в муниципальные программы развития города Когалыма в целях выполнения задач Стратегии. Документы должны разрабатываться с соблюдением единых методологических подходов, принципов целостности и системности по отношению ко всем видам градостроительной и иной документации в составе комплексной системы управления развитием территории и недвижимости.</w:t>
      </w:r>
    </w:p>
    <w:p w:rsidR="004616EA" w:rsidRPr="002121B4" w:rsidRDefault="004616EA" w:rsidP="002121B4">
      <w:pPr>
        <w:spacing w:after="0" w:line="240" w:lineRule="auto"/>
        <w:ind w:firstLine="709"/>
        <w:jc w:val="both"/>
        <w:rPr>
          <w:rStyle w:val="a4"/>
          <w:color w:val="auto"/>
          <w:sz w:val="26"/>
          <w:szCs w:val="26"/>
        </w:rPr>
      </w:pPr>
      <w:r w:rsidRPr="002121B4">
        <w:rPr>
          <w:rFonts w:ascii="Times New Roman" w:hAnsi="Times New Roman"/>
          <w:sz w:val="26"/>
          <w:szCs w:val="26"/>
        </w:rPr>
        <w:t>Комплексная система управления развитием территории и недвижимости будет являться инструментом управления территориальным развитием города Когалыма, регулирования земельно-имущественных отношений, учета и взимания налоговых и неналоговых платежей за землю и иное недвижимое имущество, повышения инвестиционной привлекательности территории.</w:t>
      </w:r>
    </w:p>
    <w:p w:rsidR="004616EA" w:rsidRPr="002121B4" w:rsidRDefault="004616EA" w:rsidP="002121B4">
      <w:pPr>
        <w:pStyle w:val="3"/>
        <w:spacing w:line="240" w:lineRule="auto"/>
        <w:ind w:firstLine="709"/>
        <w:rPr>
          <w:sz w:val="26"/>
        </w:rPr>
      </w:pPr>
      <w:bookmarkStart w:id="188" w:name="_Toc369265387"/>
      <w:bookmarkStart w:id="189" w:name="_Toc389051109"/>
      <w:bookmarkStart w:id="190" w:name="_Toc405805530"/>
      <w:r w:rsidRPr="002121B4">
        <w:rPr>
          <w:sz w:val="26"/>
        </w:rPr>
        <w:t>9.4 Информационные механизмы</w:t>
      </w:r>
      <w:bookmarkEnd w:id="188"/>
      <w:bookmarkEnd w:id="189"/>
      <w:bookmarkEnd w:id="190"/>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Стратегия социально-экономического развития города Когалыма, а также результаты реализации Стратегии социально-экономического развития города Когалыма должны периодически обсуждаться с привлечением экспертного сообщества, заинтересованных лиц города Когалыма, активной части населения.</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Эффективное согласование интересов участников социально-экономического развития города Когалыма предполагает активное использование информационных механизмов в реализации сформулированных целей и задач, которое позволит обеспечить:</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повышение конкурентоспособности и узнаваемости города Когалыма на уровне региона и на уровне страны;</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повышение инвестиционной привлекательности города Когалыма и развитие его социально-экономического потенциала;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укрепление государственных гарантий конституционных прав человека и гражданина по доступу к информации и информационно-коммуникационным технологиям;</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 – повышение эффективности и качества муниципального управления.</w:t>
      </w:r>
    </w:p>
    <w:p w:rsidR="004616EA" w:rsidRPr="002121B4" w:rsidRDefault="004616EA" w:rsidP="002121B4">
      <w:pPr>
        <w:spacing w:after="0" w:line="240" w:lineRule="auto"/>
        <w:ind w:firstLine="709"/>
        <w:jc w:val="both"/>
        <w:rPr>
          <w:rStyle w:val="a4"/>
          <w:noProof/>
          <w:color w:val="auto"/>
          <w:sz w:val="26"/>
          <w:szCs w:val="26"/>
        </w:rPr>
      </w:pPr>
      <w:r w:rsidRPr="002121B4">
        <w:rPr>
          <w:rFonts w:ascii="Times New Roman" w:hAnsi="Times New Roman"/>
          <w:sz w:val="26"/>
          <w:szCs w:val="26"/>
        </w:rPr>
        <w:t>Для достижения обозначенных выше эффектов необходимо активно использовать компьютерные технологии и возможности современных дистанционных коммуникаций. Это позволит создать единую информационно-коммуникационную среду, обеспечивающую качественную оперативную связь со всеми участниками социально-экономических процессов.</w:t>
      </w:r>
    </w:p>
    <w:p w:rsidR="004616EA" w:rsidRPr="002121B4" w:rsidRDefault="004616EA" w:rsidP="002121B4">
      <w:pPr>
        <w:pStyle w:val="3"/>
        <w:spacing w:line="240" w:lineRule="auto"/>
        <w:ind w:firstLine="709"/>
        <w:rPr>
          <w:sz w:val="26"/>
        </w:rPr>
      </w:pPr>
      <w:bookmarkStart w:id="191" w:name="_Toc369265388"/>
      <w:bookmarkStart w:id="192" w:name="_Toc389051110"/>
      <w:bookmarkStart w:id="193" w:name="_Toc405805531"/>
      <w:r w:rsidRPr="002121B4">
        <w:rPr>
          <w:sz w:val="26"/>
        </w:rPr>
        <w:t>9.5 Финансовые механизмы</w:t>
      </w:r>
      <w:bookmarkEnd w:id="191"/>
      <w:bookmarkEnd w:id="192"/>
      <w:bookmarkEnd w:id="193"/>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В современных условиях хозяйствования целесообразно использование схем многоканального финансирования приоритетных мероприятий с привлечением как внутренних, так и внешних источников. </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Бюджетные инвестиции необходимы в первую очередь для решения задач социального характера, которые не могут быть выполнены на рыночной основе в требуемом объеме и качестве. Финансовое обеспечение реализации мероприятий за счет бюджетных средств в запланированных объемах требует интенсивной работы по трем основным направлениям: в привлечении средств федерального и окружного бюджетов в город Когалым; в мобилизации бюджетного потенциала города Когалыма в части собственных доходов; в оптимизации бюджетных расходов на муниципальном уровне.</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Основными источниками бюджетных инвестиций в реализацию стратегических мероприятий по социально-экономическому развитию города Когалыма могут стать: </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 – государственные программы Российской Федерации в сферах образования, обеспечения доступным и комфортным жильем, социально-экономического развития, инвестиций и инноваций, обеспечения прав и законных интересов населения, обеспечения экологической безопасности, а также за счет средств на реализацию приоритетных национальных проектов («Образование», «Доступное жилье», «Развитие агропромышленного комплекса»);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средства Федерального фонда реформирования жилищно-коммунального хозяйства;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средства государственной корпорации «Роснано», направляемые на поддержку инноваций и прикладных научных исследований;</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 участие в конкурсах, проводимых федеральными органами исполнительной власти; </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инициирование участия в Программе по финансированию содействия проектам регионального и муниципального развития, реализуемой под эгидой Внешэкономбанка;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 развитие системы имущественных платежей как инструмента прямого и косвенного наполнения муниципальной казны; </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государственные программы Ханты-Мансийского автономного округа -Югры;</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средства окружного бюджета, направляемые на выравнивание бюджетной обеспеченности муниципальных образований;</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средства окружного бюджета в виде безвозмездных перечислений в муниципальный бюджет.</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Стратегическими направлениями бюджетного инвестирования в долгосрочном периоде должны стать:</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стимулирование и поддержка жилищного строительства;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укрепление материально-технической базы учреждений социальной сферы;</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бюджетная поддержка приоритетных отраслей экономики;</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развитие объектов энергетики и связи.</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Несмотря на существенное значение бюджетных инвестиций, основным источником воспроизводственных процессов в экономике города Когалыма должны быть внебюджетные инвестиционные ресурсы. В качестве важнейших источников внебюджетных средств, которые будут определять масштабы инвестиционной деятельности, являются: собственные средства предприятий и организаций, кредиты банков и заемные средства других организаций, средства естественных монополистов и крупных российских финансово-промышленных групп, средства населения, выпуск в обращение ценных бумаг организаций.</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Финансовые и страховые компании, банки и другие кредитные организации являются одним из наиболее перспективных источников внебюджетных инвестиций. Однако мировой финансово-экономический кризис заметно снизил доступность использования этого механизма (особенно для предприятий малого и среднего бизнеса). В этой связи необходимо стимулировать процессы трансформации сбережений в инвестиции, межотраслевой перелив капитала, рост инвестиционной привлекательности и экономической безопасности города Когалыма.</w:t>
      </w:r>
    </w:p>
    <w:p w:rsidR="004616EA" w:rsidRPr="002121B4" w:rsidRDefault="004616EA" w:rsidP="002121B4">
      <w:pPr>
        <w:spacing w:after="0" w:line="240" w:lineRule="auto"/>
        <w:ind w:firstLine="709"/>
        <w:jc w:val="both"/>
        <w:rPr>
          <w:rStyle w:val="a4"/>
          <w:color w:val="auto"/>
          <w:sz w:val="26"/>
          <w:szCs w:val="26"/>
        </w:rPr>
      </w:pPr>
      <w:r w:rsidRPr="002121B4">
        <w:rPr>
          <w:rFonts w:ascii="Times New Roman" w:hAnsi="Times New Roman"/>
          <w:sz w:val="26"/>
          <w:szCs w:val="26"/>
        </w:rPr>
        <w:t>Необходимо налаживать эффективное взаимодействие с предприятиями градообразующей отрасли с целью достижения сбалансированности государственных и частных интересов, закрепления их социальной ответственности по созданию новых или сохранению существующих рабочих мест и обязательств по проведению мероприятий, направленных на оздоровление и развитие территории.</w:t>
      </w:r>
    </w:p>
    <w:p w:rsidR="004616EA" w:rsidRPr="002121B4" w:rsidRDefault="004616EA" w:rsidP="002121B4">
      <w:pPr>
        <w:pStyle w:val="3"/>
        <w:spacing w:line="240" w:lineRule="auto"/>
        <w:ind w:firstLine="709"/>
        <w:rPr>
          <w:sz w:val="26"/>
        </w:rPr>
      </w:pPr>
      <w:bookmarkStart w:id="194" w:name="_Toc378854694"/>
      <w:bookmarkStart w:id="195" w:name="_Toc405805532"/>
      <w:r w:rsidRPr="002121B4">
        <w:rPr>
          <w:sz w:val="26"/>
        </w:rPr>
        <w:t xml:space="preserve">9.6 Система управления реализации Стратегии социально-экономического развития </w:t>
      </w:r>
      <w:bookmarkEnd w:id="194"/>
      <w:r w:rsidRPr="002121B4">
        <w:rPr>
          <w:sz w:val="26"/>
        </w:rPr>
        <w:t>города Когалыма до 2020 года и на период до 2030 года</w:t>
      </w:r>
      <w:bookmarkEnd w:id="195"/>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Создание эффективной системы управления реализации Стратегии является одним из важнейших элементов стратегического управления, поскольку от того, насколько оптимально будет обеспечена работа по решению основных задач и достижению целей Стратегии зависит успешность не только ее реализации, но также и успешность развития в целом городского округа город Когалым.</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Органам местного самоуправления городского округа город Когалым необходимо:</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1. Закрепить компетенцию органов или должностных лиц по:</w:t>
      </w:r>
    </w:p>
    <w:p w:rsidR="004616EA" w:rsidRPr="002121B4" w:rsidRDefault="004616EA" w:rsidP="002121B4">
      <w:pPr>
        <w:pStyle w:val="a7"/>
        <w:numPr>
          <w:ilvl w:val="0"/>
          <w:numId w:val="97"/>
        </w:numPr>
        <w:spacing w:after="0" w:line="240" w:lineRule="auto"/>
        <w:ind w:left="0" w:firstLine="709"/>
        <w:contextualSpacing w:val="0"/>
        <w:jc w:val="both"/>
        <w:rPr>
          <w:rFonts w:ascii="Times New Roman" w:hAnsi="Times New Roman"/>
          <w:bCs/>
          <w:sz w:val="26"/>
          <w:szCs w:val="26"/>
        </w:rPr>
      </w:pPr>
      <w:r w:rsidRPr="002121B4">
        <w:rPr>
          <w:rFonts w:ascii="Times New Roman" w:hAnsi="Times New Roman"/>
          <w:bCs/>
          <w:sz w:val="26"/>
          <w:szCs w:val="26"/>
        </w:rPr>
        <w:t xml:space="preserve">Общему руководству реализации Стратегии; </w:t>
      </w:r>
    </w:p>
    <w:p w:rsidR="004616EA" w:rsidRPr="002121B4" w:rsidRDefault="004616EA" w:rsidP="002121B4">
      <w:pPr>
        <w:pStyle w:val="a7"/>
        <w:numPr>
          <w:ilvl w:val="0"/>
          <w:numId w:val="97"/>
        </w:numPr>
        <w:spacing w:after="0" w:line="240" w:lineRule="auto"/>
        <w:ind w:left="0" w:firstLine="709"/>
        <w:contextualSpacing w:val="0"/>
        <w:jc w:val="both"/>
        <w:rPr>
          <w:rFonts w:ascii="Times New Roman" w:hAnsi="Times New Roman"/>
          <w:bCs/>
          <w:sz w:val="26"/>
          <w:szCs w:val="26"/>
        </w:rPr>
      </w:pPr>
      <w:r w:rsidRPr="002121B4">
        <w:rPr>
          <w:rFonts w:ascii="Times New Roman" w:hAnsi="Times New Roman"/>
          <w:bCs/>
          <w:sz w:val="26"/>
          <w:szCs w:val="26"/>
        </w:rPr>
        <w:t>Текущему (оперативному) руководству реализации Стратегии;</w:t>
      </w:r>
    </w:p>
    <w:p w:rsidR="004616EA" w:rsidRPr="002121B4" w:rsidRDefault="004616EA" w:rsidP="002121B4">
      <w:pPr>
        <w:pStyle w:val="a7"/>
        <w:numPr>
          <w:ilvl w:val="0"/>
          <w:numId w:val="97"/>
        </w:numPr>
        <w:spacing w:after="0" w:line="240" w:lineRule="auto"/>
        <w:ind w:left="0" w:firstLine="709"/>
        <w:contextualSpacing w:val="0"/>
        <w:jc w:val="both"/>
        <w:rPr>
          <w:rFonts w:ascii="Times New Roman" w:hAnsi="Times New Roman"/>
          <w:bCs/>
          <w:sz w:val="26"/>
          <w:szCs w:val="26"/>
        </w:rPr>
      </w:pPr>
      <w:r w:rsidRPr="002121B4">
        <w:rPr>
          <w:rFonts w:ascii="Times New Roman" w:hAnsi="Times New Roman"/>
          <w:bCs/>
          <w:sz w:val="26"/>
          <w:szCs w:val="26"/>
        </w:rPr>
        <w:t>Мониторингу достижения заявленных в Стратегии целей;</w:t>
      </w:r>
    </w:p>
    <w:p w:rsidR="004616EA" w:rsidRPr="002121B4" w:rsidRDefault="004616EA" w:rsidP="002121B4">
      <w:pPr>
        <w:pStyle w:val="a7"/>
        <w:numPr>
          <w:ilvl w:val="0"/>
          <w:numId w:val="97"/>
        </w:numPr>
        <w:spacing w:after="0" w:line="240" w:lineRule="auto"/>
        <w:ind w:left="0" w:firstLine="709"/>
        <w:contextualSpacing w:val="0"/>
        <w:jc w:val="both"/>
        <w:rPr>
          <w:rFonts w:ascii="Times New Roman" w:hAnsi="Times New Roman"/>
          <w:bCs/>
          <w:sz w:val="26"/>
          <w:szCs w:val="26"/>
        </w:rPr>
      </w:pPr>
      <w:r w:rsidRPr="002121B4">
        <w:rPr>
          <w:rFonts w:ascii="Times New Roman" w:hAnsi="Times New Roman"/>
          <w:bCs/>
          <w:sz w:val="26"/>
          <w:szCs w:val="26"/>
        </w:rPr>
        <w:t>Контролю реализации всеми ответственными лицами и структурными подразделениями задач и целей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2. Обеспечить приведение нормативной правовой базы (устава, положения об администрации, положений о структурных подразделениях, должностные инструкции) в соответствие в действующим законодательством, а также в целях закрепления прав и обязанностей органов и должностных лиц по реализации задач и целей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3. Создать механизмы общественной вовлеченности в процесс реализации Стратегии в целях выявления и учета мнения населения о приоритетах в реализации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4. Обеспечить открытость и прозрачность реализации задач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5. Создать механизмы координации реализуемых задач и целей органов государственной власти, участвующих в развитии городского округа город Когалым и органов местного самоуправления.</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sz w:val="26"/>
          <w:szCs w:val="26"/>
        </w:rPr>
        <w:t>6. Ресурсное, в том числе бюджетное, обеспечение реализации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Детальное раскрытие мероприятий по созданию системы управления реализации Стратегии города Когалыма может быть предметом самостоятельного плана и быть утверждено главой муниципального образования. При этом могут быть учтены следующие аспекты:</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1. Закрепление компетенции органов или должностных лиц:</w:t>
      </w:r>
    </w:p>
    <w:p w:rsidR="004616EA" w:rsidRPr="002121B4" w:rsidRDefault="004616EA" w:rsidP="002121B4">
      <w:pPr>
        <w:pStyle w:val="a7"/>
        <w:numPr>
          <w:ilvl w:val="0"/>
          <w:numId w:val="97"/>
        </w:numPr>
        <w:spacing w:after="0" w:line="240" w:lineRule="auto"/>
        <w:ind w:left="0" w:firstLine="709"/>
        <w:contextualSpacing w:val="0"/>
        <w:jc w:val="both"/>
        <w:rPr>
          <w:rFonts w:ascii="Times New Roman" w:hAnsi="Times New Roman"/>
          <w:bCs/>
          <w:sz w:val="26"/>
          <w:szCs w:val="26"/>
        </w:rPr>
      </w:pPr>
      <w:r w:rsidRPr="002121B4">
        <w:rPr>
          <w:rFonts w:ascii="Times New Roman" w:hAnsi="Times New Roman"/>
          <w:b/>
          <w:bCs/>
          <w:sz w:val="26"/>
          <w:szCs w:val="26"/>
        </w:rPr>
        <w:t>Общее руководство реализации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Общее руководство реализацией Стратегии на практике относится к компетенции главы муниципального образования. Статья 19 Устава муниципального образования город Когалым к исключительной компетенции Думы города относит принятие планов и программ развития городского округа, утверждение отчетов об их исполнении. При этом Устав не закрепляет компетенции по реализации программ развития города, в том числе стратегий социально-экономического развития. Статья 24 Устава, устанавливая нормы, связанные с деятельностью главы муниципального образования, закрепляет, что Глава города является высшим должностным лицом городского округа, наделенным настоящим Уставом собственными полномочиями по решению вопросов местного значения. В Уставе отсутствует перечень собственных полномочий главы города. Следовательно, закрепление компетенции главы города по руководству реализации Стратегии потребует специального принятия акта о наделении соответствующей компетенцией. При этом глава городского округа город Когалым может быть наделен полномочиями по:</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-утверждению Стратегии и контролю ее реализации;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-рассмотрению и утверждению изменений и дополнений в Стратегию;</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-реализации в установленном порядке правотворческих инициатив, обеспечивающих реализацию Стратегии и ее координацию с федеральными стратегическими документами и стратегическими документами Ханты-Мансийского Автономного округа – Югры;</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-утверждению сформированных целевых показателей социально-экономического развития города Когалыма;</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-контролю достижения целей Стратегии, рассмотрению и утверждению отчетов о реализации Стратегии.</w:t>
      </w:r>
    </w:p>
    <w:p w:rsidR="004616EA" w:rsidRPr="002121B4" w:rsidRDefault="004616EA" w:rsidP="002121B4">
      <w:pPr>
        <w:pStyle w:val="a7"/>
        <w:numPr>
          <w:ilvl w:val="0"/>
          <w:numId w:val="97"/>
        </w:numPr>
        <w:spacing w:after="0" w:line="240" w:lineRule="auto"/>
        <w:ind w:left="0" w:firstLine="709"/>
        <w:contextualSpacing w:val="0"/>
        <w:jc w:val="both"/>
        <w:rPr>
          <w:rFonts w:ascii="Times New Roman" w:hAnsi="Times New Roman"/>
          <w:b/>
          <w:bCs/>
          <w:sz w:val="26"/>
          <w:szCs w:val="26"/>
        </w:rPr>
      </w:pPr>
      <w:r w:rsidRPr="002121B4">
        <w:rPr>
          <w:rFonts w:ascii="Times New Roman" w:hAnsi="Times New Roman"/>
          <w:b/>
          <w:bCs/>
          <w:sz w:val="26"/>
          <w:szCs w:val="26"/>
        </w:rPr>
        <w:t>Текущее (оперативное) руководство реализации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Организационная структура управления реализацией Стратегии определяет состав органов управления реализацией Стратегии, их функции по управлению реализацией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В силу общей компетенции исполнительно-распорядительного органа муниципального образования, которым является администрация, текущее (оперативное) руководство реализацией Стратегии целесообразно возложить на администрацию, что может потребовать внесения изменений в статью 28 Устава городского округа город Когалым, устанавливающую полномочия администрации города.</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xml:space="preserve">Помимо установления общей компетенции администрации города Когалыма целесообразно распределить сферы ответственности за реализацию различных направлений Стратегии между руководством и структурными подразделениями. </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В целях оперативного руководства реализацией Стратегии также целесообразно создание либо структурной единицы (самостоятельной или в составе одного из действующих структурных подразделений), либо коллегиального органа, нацеленного на выполнение указанных функций с четким положением, устанавливающим компетенцию данного подразделения или органа. Данное подразделение или орган должен обеспечивать выполнение функций планирования реализации задач и достижение целей Стратегии, мониторинг состояния достижения заявленных целей.</w:t>
      </w:r>
    </w:p>
    <w:p w:rsidR="004616EA" w:rsidRPr="002121B4" w:rsidRDefault="004616EA" w:rsidP="002121B4">
      <w:pPr>
        <w:pStyle w:val="a7"/>
        <w:numPr>
          <w:ilvl w:val="0"/>
          <w:numId w:val="97"/>
        </w:numPr>
        <w:spacing w:after="0" w:line="240" w:lineRule="auto"/>
        <w:ind w:left="0" w:firstLine="709"/>
        <w:contextualSpacing w:val="0"/>
        <w:jc w:val="both"/>
        <w:rPr>
          <w:rFonts w:ascii="Times New Roman" w:hAnsi="Times New Roman"/>
          <w:b/>
          <w:bCs/>
          <w:sz w:val="26"/>
          <w:szCs w:val="26"/>
        </w:rPr>
      </w:pPr>
      <w:r w:rsidRPr="002121B4">
        <w:rPr>
          <w:rFonts w:ascii="Times New Roman" w:hAnsi="Times New Roman"/>
          <w:b/>
          <w:bCs/>
          <w:sz w:val="26"/>
          <w:szCs w:val="26"/>
        </w:rPr>
        <w:t>Мониторинг достижения заявленных в Стратегии целей</w:t>
      </w:r>
    </w:p>
    <w:p w:rsidR="004616EA" w:rsidRPr="002121B4" w:rsidRDefault="004616EA" w:rsidP="002121B4">
      <w:pPr>
        <w:tabs>
          <w:tab w:val="left" w:pos="1134"/>
        </w:tabs>
        <w:suppressAutoHyphens/>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xml:space="preserve">Для </w:t>
      </w:r>
      <w:r w:rsidRPr="002121B4">
        <w:rPr>
          <w:rFonts w:ascii="Times New Roman" w:hAnsi="Times New Roman"/>
          <w:sz w:val="26"/>
          <w:szCs w:val="26"/>
        </w:rPr>
        <w:t xml:space="preserve">анализа степени достижения стратегических целей, а также продвижения городского округа город Когалым по стратегическим направлениям развития, </w:t>
      </w:r>
      <w:r w:rsidRPr="002121B4">
        <w:rPr>
          <w:rFonts w:ascii="Times New Roman" w:hAnsi="Times New Roman"/>
          <w:bCs/>
          <w:sz w:val="26"/>
          <w:szCs w:val="26"/>
        </w:rPr>
        <w:t>повышения эффективности выполнения Стратегии формируется система мониторинга ее реализации, которая предполагает:</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формирование для каждого этапа реализации Стратегии плана мероприятий с учетом достижения запланированных показателей предыдущего этапа;</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корректировку положений Стратегии в целях обеспечения ее согласованности с меняющимися приоритетами социально-экономического развития;</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создание механизма мониторинга реализации Стратегии, включая формирование системы индикаторов достижения системы отчетности исполнителей мероприятий.</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Задачами мониторинга должны стать следующие:</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оценка уровня и темпов изменения уровня социально-экономического развития городского округа город Когалым по итогам реализации различных этапов и мероприятий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оценка эффективности деятельности ответственных лиц и органов за реализацию различных направлений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получение достоверной и объективной статистической, социологической и другой информации, систематизация ее для формирования обобщенных представлений о протекающих в городском округе город Когалым социально-экономических процессах;</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оценка и анализ тенденций в приоритетных сферах экономики;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определение степени достижения стратегических целей, решения основных задач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выявление причин, вызывающих изменения в социально-экономическом положении города Когалыма, а также причин не достижения тех или иных показателей и целей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обеспечение заинтересованных лиц и органов мониторинговой информацией;</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подготовка предложений по стимулированию реализации Стратегии в целом и отдельных ее частей;</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подготовка рекомендаций, направленных на преодоление негативных и поддержку позитивных тенденций.</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В целях эффективного ведения мониторинга реализации Стратегии в администрации города Когалыма может быть разработана методика ее реализации.</w:t>
      </w:r>
    </w:p>
    <w:p w:rsidR="004616EA" w:rsidRPr="002121B4" w:rsidRDefault="004616EA" w:rsidP="002121B4">
      <w:pPr>
        <w:tabs>
          <w:tab w:val="left" w:pos="1134"/>
        </w:tabs>
        <w:suppressAutoHyphens/>
        <w:spacing w:after="0" w:line="240" w:lineRule="auto"/>
        <w:ind w:firstLine="709"/>
        <w:jc w:val="both"/>
        <w:rPr>
          <w:rFonts w:ascii="Times New Roman" w:hAnsi="Times New Roman"/>
          <w:sz w:val="26"/>
          <w:szCs w:val="26"/>
        </w:rPr>
      </w:pPr>
      <w:r w:rsidRPr="002121B4">
        <w:rPr>
          <w:rFonts w:ascii="Times New Roman" w:hAnsi="Times New Roman"/>
          <w:sz w:val="26"/>
          <w:szCs w:val="26"/>
        </w:rPr>
        <w:t>На основе данных мониторинга должны осуществляться:</w:t>
      </w:r>
    </w:p>
    <w:p w:rsidR="004616EA" w:rsidRPr="002121B4" w:rsidRDefault="004616EA" w:rsidP="002121B4">
      <w:pPr>
        <w:numPr>
          <w:ilvl w:val="0"/>
          <w:numId w:val="87"/>
        </w:numPr>
        <w:tabs>
          <w:tab w:val="left" w:pos="1134"/>
        </w:tabs>
        <w:suppressAutoHyphens/>
        <w:spacing w:after="0" w:line="240" w:lineRule="auto"/>
        <w:ind w:left="0" w:firstLine="709"/>
        <w:jc w:val="both"/>
        <w:rPr>
          <w:rFonts w:ascii="Times New Roman" w:hAnsi="Times New Roman"/>
          <w:sz w:val="26"/>
          <w:szCs w:val="26"/>
        </w:rPr>
      </w:pPr>
      <w:r w:rsidRPr="002121B4">
        <w:rPr>
          <w:rFonts w:ascii="Times New Roman" w:hAnsi="Times New Roman"/>
          <w:sz w:val="26"/>
          <w:szCs w:val="26"/>
        </w:rPr>
        <w:t>корректировка Стратегии с учетом новых перспектив и угроз развития городского округа город Когалым (значение показателей, инструменты реализации задач и т.д.);</w:t>
      </w:r>
    </w:p>
    <w:p w:rsidR="004616EA" w:rsidRPr="002121B4" w:rsidRDefault="004616EA" w:rsidP="002121B4">
      <w:pPr>
        <w:numPr>
          <w:ilvl w:val="0"/>
          <w:numId w:val="87"/>
        </w:numPr>
        <w:tabs>
          <w:tab w:val="left" w:pos="1134"/>
        </w:tabs>
        <w:suppressAutoHyphens/>
        <w:spacing w:after="0" w:line="240" w:lineRule="auto"/>
        <w:ind w:left="0" w:firstLine="709"/>
        <w:jc w:val="both"/>
        <w:rPr>
          <w:rFonts w:ascii="Times New Roman" w:hAnsi="Times New Roman"/>
          <w:sz w:val="26"/>
          <w:szCs w:val="26"/>
        </w:rPr>
      </w:pPr>
      <w:r w:rsidRPr="002121B4">
        <w:rPr>
          <w:rFonts w:ascii="Times New Roman" w:hAnsi="Times New Roman"/>
          <w:sz w:val="26"/>
          <w:szCs w:val="26"/>
        </w:rPr>
        <w:t>инициирование разработки и реализации новых программ и проектов по реализации Стратегии;</w:t>
      </w:r>
    </w:p>
    <w:p w:rsidR="004616EA" w:rsidRPr="002121B4" w:rsidRDefault="004616EA" w:rsidP="002121B4">
      <w:pPr>
        <w:numPr>
          <w:ilvl w:val="0"/>
          <w:numId w:val="87"/>
        </w:numPr>
        <w:tabs>
          <w:tab w:val="left" w:pos="1134"/>
        </w:tabs>
        <w:suppressAutoHyphens/>
        <w:spacing w:after="0" w:line="240" w:lineRule="auto"/>
        <w:ind w:left="0" w:firstLine="709"/>
        <w:jc w:val="both"/>
        <w:rPr>
          <w:rFonts w:ascii="Times New Roman" w:hAnsi="Times New Roman"/>
          <w:sz w:val="26"/>
          <w:szCs w:val="26"/>
        </w:rPr>
      </w:pPr>
      <w:r w:rsidRPr="002121B4">
        <w:rPr>
          <w:rFonts w:ascii="Times New Roman" w:hAnsi="Times New Roman"/>
          <w:sz w:val="26"/>
          <w:szCs w:val="26"/>
        </w:rPr>
        <w:t>корректировка компонентов Стратегии и их целей;</w:t>
      </w:r>
    </w:p>
    <w:p w:rsidR="004616EA" w:rsidRPr="002121B4" w:rsidRDefault="004616EA" w:rsidP="002121B4">
      <w:pPr>
        <w:numPr>
          <w:ilvl w:val="0"/>
          <w:numId w:val="87"/>
        </w:numPr>
        <w:tabs>
          <w:tab w:val="left" w:pos="1134"/>
        </w:tabs>
        <w:suppressAutoHyphens/>
        <w:spacing w:after="0" w:line="240" w:lineRule="auto"/>
        <w:ind w:left="0" w:firstLine="709"/>
        <w:jc w:val="both"/>
        <w:rPr>
          <w:rFonts w:ascii="Times New Roman" w:hAnsi="Times New Roman"/>
          <w:sz w:val="26"/>
          <w:szCs w:val="26"/>
        </w:rPr>
      </w:pPr>
      <w:r w:rsidRPr="002121B4">
        <w:rPr>
          <w:rFonts w:ascii="Times New Roman" w:hAnsi="Times New Roman"/>
          <w:sz w:val="26"/>
          <w:szCs w:val="26"/>
        </w:rPr>
        <w:t>информирование населения о ходе реализации Стратегии;</w:t>
      </w:r>
    </w:p>
    <w:p w:rsidR="004616EA" w:rsidRPr="002121B4" w:rsidRDefault="004616EA" w:rsidP="002121B4">
      <w:pPr>
        <w:numPr>
          <w:ilvl w:val="0"/>
          <w:numId w:val="87"/>
        </w:numPr>
        <w:tabs>
          <w:tab w:val="left" w:pos="1134"/>
        </w:tabs>
        <w:suppressAutoHyphens/>
        <w:spacing w:after="0" w:line="240" w:lineRule="auto"/>
        <w:ind w:left="0" w:firstLine="709"/>
        <w:jc w:val="both"/>
        <w:rPr>
          <w:rFonts w:ascii="Times New Roman" w:hAnsi="Times New Roman"/>
          <w:sz w:val="26"/>
          <w:szCs w:val="26"/>
        </w:rPr>
      </w:pPr>
      <w:r w:rsidRPr="002121B4">
        <w:rPr>
          <w:rFonts w:ascii="Times New Roman" w:hAnsi="Times New Roman"/>
          <w:sz w:val="26"/>
          <w:szCs w:val="26"/>
        </w:rPr>
        <w:t>перераспределение ресурсов по компонентам Стратегии.</w:t>
      </w:r>
    </w:p>
    <w:p w:rsidR="004616EA" w:rsidRPr="002121B4" w:rsidRDefault="004616EA" w:rsidP="002121B4">
      <w:pPr>
        <w:tabs>
          <w:tab w:val="left" w:pos="1134"/>
        </w:tabs>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На основе мониторинга могут разрабатываться рекомендации по совершенствованию системы муниципального управления или управления реализацией Стратегии.</w:t>
      </w:r>
    </w:p>
    <w:p w:rsidR="004616EA" w:rsidRPr="002121B4" w:rsidRDefault="004616EA" w:rsidP="002121B4">
      <w:pPr>
        <w:tabs>
          <w:tab w:val="left" w:pos="1134"/>
        </w:tabs>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Источниками информации для мониторинга и оценки Стратегии могут являться:</w:t>
      </w:r>
    </w:p>
    <w:p w:rsidR="004616EA" w:rsidRPr="002121B4" w:rsidRDefault="004616EA" w:rsidP="002121B4">
      <w:pPr>
        <w:numPr>
          <w:ilvl w:val="0"/>
          <w:numId w:val="87"/>
        </w:numPr>
        <w:tabs>
          <w:tab w:val="left" w:pos="1134"/>
        </w:tabs>
        <w:suppressAutoHyphens/>
        <w:spacing w:after="0" w:line="240" w:lineRule="auto"/>
        <w:ind w:left="0" w:firstLine="709"/>
        <w:jc w:val="both"/>
        <w:rPr>
          <w:rFonts w:ascii="Times New Roman" w:hAnsi="Times New Roman"/>
          <w:sz w:val="26"/>
          <w:szCs w:val="26"/>
        </w:rPr>
      </w:pPr>
      <w:r w:rsidRPr="002121B4">
        <w:rPr>
          <w:rFonts w:ascii="Times New Roman" w:hAnsi="Times New Roman"/>
          <w:sz w:val="26"/>
          <w:szCs w:val="26"/>
        </w:rPr>
        <w:t>статистическая информация о развитии городского округа город Когалым;</w:t>
      </w:r>
    </w:p>
    <w:p w:rsidR="004616EA" w:rsidRPr="002121B4" w:rsidRDefault="004616EA" w:rsidP="002121B4">
      <w:pPr>
        <w:numPr>
          <w:ilvl w:val="0"/>
          <w:numId w:val="87"/>
        </w:numPr>
        <w:tabs>
          <w:tab w:val="left" w:pos="1134"/>
        </w:tabs>
        <w:suppressAutoHyphens/>
        <w:spacing w:after="0" w:line="240" w:lineRule="auto"/>
        <w:ind w:left="0" w:firstLine="709"/>
        <w:jc w:val="both"/>
        <w:rPr>
          <w:rFonts w:ascii="Times New Roman" w:hAnsi="Times New Roman"/>
          <w:sz w:val="26"/>
          <w:szCs w:val="26"/>
        </w:rPr>
      </w:pPr>
      <w:r w:rsidRPr="002121B4">
        <w:rPr>
          <w:rFonts w:ascii="Times New Roman" w:hAnsi="Times New Roman"/>
          <w:sz w:val="26"/>
          <w:szCs w:val="26"/>
        </w:rPr>
        <w:t>нормативная правовая база;</w:t>
      </w:r>
    </w:p>
    <w:p w:rsidR="004616EA" w:rsidRPr="002121B4" w:rsidRDefault="004616EA" w:rsidP="002121B4">
      <w:pPr>
        <w:numPr>
          <w:ilvl w:val="0"/>
          <w:numId w:val="87"/>
        </w:numPr>
        <w:tabs>
          <w:tab w:val="left" w:pos="1134"/>
        </w:tabs>
        <w:suppressAutoHyphens/>
        <w:spacing w:after="0" w:line="240" w:lineRule="auto"/>
        <w:ind w:left="0" w:firstLine="709"/>
        <w:jc w:val="both"/>
        <w:rPr>
          <w:rFonts w:ascii="Times New Roman" w:hAnsi="Times New Roman"/>
          <w:sz w:val="26"/>
          <w:szCs w:val="26"/>
        </w:rPr>
      </w:pPr>
      <w:r w:rsidRPr="002121B4">
        <w:rPr>
          <w:rFonts w:ascii="Times New Roman" w:hAnsi="Times New Roman"/>
          <w:sz w:val="26"/>
          <w:szCs w:val="26"/>
        </w:rPr>
        <w:t>отчеты структурных подразделений администрации о ходе реализации Стратегии;</w:t>
      </w:r>
    </w:p>
    <w:p w:rsidR="004616EA" w:rsidRPr="002121B4" w:rsidRDefault="004616EA" w:rsidP="002121B4">
      <w:pPr>
        <w:numPr>
          <w:ilvl w:val="0"/>
          <w:numId w:val="87"/>
        </w:numPr>
        <w:tabs>
          <w:tab w:val="left" w:pos="1134"/>
        </w:tabs>
        <w:suppressAutoHyphens/>
        <w:spacing w:after="0" w:line="240" w:lineRule="auto"/>
        <w:ind w:left="0" w:firstLine="709"/>
        <w:jc w:val="both"/>
        <w:rPr>
          <w:rFonts w:ascii="Times New Roman" w:hAnsi="Times New Roman"/>
          <w:sz w:val="26"/>
          <w:szCs w:val="26"/>
        </w:rPr>
      </w:pPr>
      <w:r w:rsidRPr="002121B4">
        <w:rPr>
          <w:rFonts w:ascii="Times New Roman" w:hAnsi="Times New Roman"/>
          <w:sz w:val="26"/>
          <w:szCs w:val="26"/>
        </w:rPr>
        <w:t>анализ общественного мнения, в том числе:</w:t>
      </w:r>
    </w:p>
    <w:p w:rsidR="004616EA" w:rsidRPr="002121B4" w:rsidRDefault="004616EA" w:rsidP="002121B4">
      <w:pPr>
        <w:numPr>
          <w:ilvl w:val="0"/>
          <w:numId w:val="98"/>
        </w:numPr>
        <w:tabs>
          <w:tab w:val="left" w:pos="993"/>
          <w:tab w:val="left" w:pos="1134"/>
          <w:tab w:val="left" w:pos="1276"/>
        </w:tabs>
        <w:autoSpaceDE w:val="0"/>
        <w:autoSpaceDN w:val="0"/>
        <w:adjustRightInd w:val="0"/>
        <w:spacing w:after="0" w:line="240" w:lineRule="auto"/>
        <w:ind w:left="0" w:firstLine="709"/>
        <w:jc w:val="both"/>
        <w:rPr>
          <w:rFonts w:ascii="Times New Roman" w:hAnsi="Times New Roman"/>
          <w:sz w:val="26"/>
          <w:szCs w:val="26"/>
        </w:rPr>
      </w:pPr>
      <w:r w:rsidRPr="002121B4">
        <w:rPr>
          <w:rFonts w:ascii="Times New Roman" w:hAnsi="Times New Roman"/>
          <w:sz w:val="26"/>
          <w:szCs w:val="26"/>
        </w:rPr>
        <w:t>социологические исследования;</w:t>
      </w:r>
    </w:p>
    <w:p w:rsidR="004616EA" w:rsidRPr="002121B4" w:rsidRDefault="004616EA" w:rsidP="002121B4">
      <w:pPr>
        <w:numPr>
          <w:ilvl w:val="0"/>
          <w:numId w:val="98"/>
        </w:numPr>
        <w:tabs>
          <w:tab w:val="left" w:pos="993"/>
          <w:tab w:val="left" w:pos="1134"/>
          <w:tab w:val="left" w:pos="1276"/>
        </w:tabs>
        <w:autoSpaceDE w:val="0"/>
        <w:autoSpaceDN w:val="0"/>
        <w:adjustRightInd w:val="0"/>
        <w:spacing w:after="0" w:line="240" w:lineRule="auto"/>
        <w:ind w:left="0" w:firstLine="709"/>
        <w:jc w:val="both"/>
        <w:rPr>
          <w:rFonts w:ascii="Times New Roman" w:hAnsi="Times New Roman"/>
          <w:sz w:val="26"/>
          <w:szCs w:val="26"/>
        </w:rPr>
      </w:pPr>
      <w:r w:rsidRPr="002121B4">
        <w:rPr>
          <w:rFonts w:ascii="Times New Roman" w:hAnsi="Times New Roman"/>
          <w:sz w:val="26"/>
          <w:szCs w:val="26"/>
        </w:rPr>
        <w:t>телефонные горячие линии, интернет;</w:t>
      </w:r>
    </w:p>
    <w:p w:rsidR="004616EA" w:rsidRPr="002121B4" w:rsidRDefault="004616EA" w:rsidP="002121B4">
      <w:pPr>
        <w:numPr>
          <w:ilvl w:val="0"/>
          <w:numId w:val="98"/>
        </w:numPr>
        <w:tabs>
          <w:tab w:val="left" w:pos="993"/>
          <w:tab w:val="left" w:pos="1276"/>
        </w:tabs>
        <w:autoSpaceDE w:val="0"/>
        <w:autoSpaceDN w:val="0"/>
        <w:adjustRightInd w:val="0"/>
        <w:spacing w:after="0" w:line="240" w:lineRule="auto"/>
        <w:ind w:left="0" w:firstLine="709"/>
        <w:jc w:val="both"/>
        <w:rPr>
          <w:rFonts w:ascii="Times New Roman" w:hAnsi="Times New Roman"/>
          <w:sz w:val="26"/>
          <w:szCs w:val="26"/>
        </w:rPr>
      </w:pPr>
      <w:r w:rsidRPr="002121B4">
        <w:rPr>
          <w:rFonts w:ascii="Times New Roman" w:hAnsi="Times New Roman"/>
          <w:sz w:val="26"/>
          <w:szCs w:val="26"/>
        </w:rPr>
        <w:t>проведение общественных мероприятий по проблемам развития города Когалыма.</w:t>
      </w:r>
    </w:p>
    <w:p w:rsidR="004616EA" w:rsidRPr="002121B4" w:rsidRDefault="004616EA" w:rsidP="002121B4">
      <w:pPr>
        <w:pStyle w:val="a7"/>
        <w:numPr>
          <w:ilvl w:val="0"/>
          <w:numId w:val="97"/>
        </w:numPr>
        <w:spacing w:after="0" w:line="240" w:lineRule="auto"/>
        <w:ind w:left="0" w:firstLine="709"/>
        <w:contextualSpacing w:val="0"/>
        <w:jc w:val="both"/>
        <w:rPr>
          <w:rFonts w:ascii="Times New Roman" w:hAnsi="Times New Roman"/>
          <w:b/>
          <w:bCs/>
          <w:sz w:val="26"/>
          <w:szCs w:val="26"/>
        </w:rPr>
      </w:pPr>
      <w:r w:rsidRPr="002121B4">
        <w:rPr>
          <w:rFonts w:ascii="Times New Roman" w:hAnsi="Times New Roman"/>
          <w:b/>
          <w:bCs/>
          <w:sz w:val="26"/>
          <w:szCs w:val="26"/>
        </w:rPr>
        <w:t xml:space="preserve">Контроль реализации всеми ответственными лицами и структурными </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
          <w:bCs/>
          <w:sz w:val="26"/>
          <w:szCs w:val="26"/>
        </w:rPr>
        <w:t>подразделениями задач и целей Стратегии</w:t>
      </w:r>
    </w:p>
    <w:p w:rsidR="004616EA" w:rsidRPr="002121B4" w:rsidRDefault="004616EA" w:rsidP="002121B4">
      <w:pPr>
        <w:pStyle w:val="af5"/>
        <w:shd w:val="clear" w:color="auto" w:fill="FFFFFF"/>
        <w:spacing w:before="0" w:beforeAutospacing="0" w:after="0" w:afterAutospacing="0"/>
        <w:ind w:firstLine="709"/>
        <w:jc w:val="both"/>
        <w:rPr>
          <w:sz w:val="26"/>
          <w:szCs w:val="26"/>
        </w:rPr>
      </w:pPr>
      <w:r w:rsidRPr="002121B4">
        <w:rPr>
          <w:bCs/>
          <w:sz w:val="26"/>
          <w:szCs w:val="26"/>
        </w:rPr>
        <w:t>Главное назначение контроля состоит в своевременном обнаружении возможных отклонений от заданных стратегических целей, а также своевременное принятие мер по их ликвидации. Процесс контроля должен состоять из разработки и утверждения стандартов/индикаторов выполнения мероприятий Стратегии, измерения фактически достигнутых результатов и проведения корректировок в том случае, если достигнутые результаты существенно отличаются от установленных стандартов. Система контроля за реализацией</w:t>
      </w:r>
      <w:r w:rsidRPr="002121B4">
        <w:rPr>
          <w:sz w:val="26"/>
          <w:szCs w:val="26"/>
        </w:rPr>
        <w:t xml:space="preserve"> задач и достижением целей Стратегии должна обладать следующими характеристиками:</w:t>
      </w:r>
    </w:p>
    <w:p w:rsidR="004616EA" w:rsidRPr="002121B4" w:rsidRDefault="004616EA" w:rsidP="002121B4">
      <w:pPr>
        <w:pStyle w:val="af5"/>
        <w:shd w:val="clear" w:color="auto" w:fill="FFFFFF"/>
        <w:spacing w:before="0" w:beforeAutospacing="0" w:after="0" w:afterAutospacing="0"/>
        <w:ind w:firstLine="709"/>
        <w:jc w:val="both"/>
        <w:rPr>
          <w:sz w:val="26"/>
          <w:szCs w:val="26"/>
        </w:rPr>
      </w:pPr>
      <w:r w:rsidRPr="002121B4">
        <w:rPr>
          <w:sz w:val="26"/>
          <w:szCs w:val="26"/>
        </w:rPr>
        <w:t>- интегрированность в общую систему управления контроля в муниципальном образовании;</w:t>
      </w:r>
    </w:p>
    <w:p w:rsidR="004616EA" w:rsidRPr="002121B4" w:rsidRDefault="004616EA" w:rsidP="002121B4">
      <w:pPr>
        <w:pStyle w:val="af5"/>
        <w:shd w:val="clear" w:color="auto" w:fill="FFFFFF"/>
        <w:spacing w:before="0" w:beforeAutospacing="0" w:after="0" w:afterAutospacing="0"/>
        <w:ind w:firstLine="709"/>
        <w:jc w:val="both"/>
        <w:rPr>
          <w:sz w:val="26"/>
          <w:szCs w:val="26"/>
        </w:rPr>
      </w:pPr>
      <w:r w:rsidRPr="002121B4">
        <w:rPr>
          <w:sz w:val="26"/>
          <w:szCs w:val="26"/>
        </w:rPr>
        <w:t>- объективность, то есть получение детально проверенной информации;</w:t>
      </w:r>
    </w:p>
    <w:p w:rsidR="004616EA" w:rsidRPr="002121B4" w:rsidRDefault="004616EA" w:rsidP="002121B4">
      <w:pPr>
        <w:pStyle w:val="af5"/>
        <w:shd w:val="clear" w:color="auto" w:fill="FFFFFF"/>
        <w:spacing w:before="0" w:beforeAutospacing="0" w:after="0" w:afterAutospacing="0"/>
        <w:ind w:firstLine="709"/>
        <w:jc w:val="both"/>
        <w:rPr>
          <w:sz w:val="26"/>
          <w:szCs w:val="26"/>
        </w:rPr>
      </w:pPr>
      <w:r w:rsidRPr="002121B4">
        <w:rPr>
          <w:sz w:val="26"/>
          <w:szCs w:val="26"/>
        </w:rPr>
        <w:t>- точность, то есть предоставление полной и правильной информации.</w:t>
      </w:r>
    </w:p>
    <w:p w:rsidR="004616EA" w:rsidRPr="002121B4" w:rsidRDefault="004616EA" w:rsidP="002121B4">
      <w:pPr>
        <w:pStyle w:val="af5"/>
        <w:shd w:val="clear" w:color="auto" w:fill="FFFFFF"/>
        <w:spacing w:before="0" w:beforeAutospacing="0" w:after="0" w:afterAutospacing="0"/>
        <w:ind w:firstLine="709"/>
        <w:jc w:val="both"/>
        <w:rPr>
          <w:sz w:val="26"/>
          <w:szCs w:val="26"/>
        </w:rPr>
      </w:pPr>
      <w:r w:rsidRPr="002121B4">
        <w:rPr>
          <w:sz w:val="26"/>
          <w:szCs w:val="26"/>
        </w:rPr>
        <w:t>- своевременность, то есть предоставление информации тогда, когда в ней есть необходимость;</w:t>
      </w:r>
    </w:p>
    <w:p w:rsidR="004616EA" w:rsidRPr="002121B4" w:rsidRDefault="004616EA" w:rsidP="002121B4">
      <w:pPr>
        <w:pStyle w:val="af5"/>
        <w:shd w:val="clear" w:color="auto" w:fill="FFFFFF"/>
        <w:spacing w:before="0" w:beforeAutospacing="0" w:after="0" w:afterAutospacing="0"/>
        <w:ind w:firstLine="709"/>
        <w:jc w:val="both"/>
        <w:rPr>
          <w:sz w:val="26"/>
          <w:szCs w:val="26"/>
        </w:rPr>
      </w:pPr>
      <w:r w:rsidRPr="002121B4">
        <w:rPr>
          <w:sz w:val="26"/>
          <w:szCs w:val="26"/>
        </w:rPr>
        <w:t>- гибкость, то есть ведение таких систем контроля, которые согласовывают изменения внутри и вне администрации.</w:t>
      </w:r>
    </w:p>
    <w:p w:rsidR="004616EA" w:rsidRPr="002121B4" w:rsidRDefault="004616EA" w:rsidP="002121B4">
      <w:pPr>
        <w:pStyle w:val="af5"/>
        <w:shd w:val="clear" w:color="auto" w:fill="FFFFFF"/>
        <w:spacing w:before="0" w:beforeAutospacing="0" w:after="0" w:afterAutospacing="0"/>
        <w:ind w:firstLine="709"/>
        <w:jc w:val="both"/>
        <w:rPr>
          <w:sz w:val="26"/>
          <w:szCs w:val="26"/>
        </w:rPr>
      </w:pPr>
      <w:r w:rsidRPr="002121B4">
        <w:rPr>
          <w:sz w:val="26"/>
          <w:szCs w:val="26"/>
        </w:rPr>
        <w:t>Система стратегического контроля должна обеспечивать сравнение реального социально-экономического положения города Когалыма с установленными целями, оценку результатов сравнения и выработку, при необходимости, корректирующих действий.</w:t>
      </w:r>
    </w:p>
    <w:p w:rsidR="004616EA" w:rsidRPr="002121B4" w:rsidRDefault="004616EA" w:rsidP="002121B4">
      <w:pPr>
        <w:pStyle w:val="af5"/>
        <w:shd w:val="clear" w:color="auto" w:fill="FFFFFF"/>
        <w:spacing w:before="0" w:beforeAutospacing="0" w:after="0" w:afterAutospacing="0"/>
        <w:ind w:firstLine="709"/>
        <w:jc w:val="both"/>
        <w:rPr>
          <w:sz w:val="26"/>
          <w:szCs w:val="26"/>
        </w:rPr>
      </w:pPr>
      <w:r w:rsidRPr="002121B4">
        <w:rPr>
          <w:sz w:val="26"/>
          <w:szCs w:val="26"/>
        </w:rPr>
        <w:t>Одним из видов контроля реализации Стратегии может стать стратегический аудит</w:t>
      </w:r>
      <w:r w:rsidRPr="002121B4">
        <w:rPr>
          <w:bCs/>
          <w:sz w:val="26"/>
          <w:szCs w:val="26"/>
        </w:rPr>
        <w:t xml:space="preserve">, то есть </w:t>
      </w:r>
      <w:r w:rsidRPr="002121B4">
        <w:rPr>
          <w:sz w:val="26"/>
          <w:szCs w:val="26"/>
        </w:rPr>
        <w:t>проверка и оценка качества работы тех подразделений администрации, в которых осуществляется реализация задач стратегии. Такой аудит может быть либо всеобъемлющим, т.е. затрагивать этапы процесса стратегического управления, либо направленным – затрагивать лишь часть процесса. Кроме того, аудит может быть формализованным, т.е. строго следовать организационным правилам и процедурам, или неформализованным, дающим руководству муниципального образования широкую свободу при принятии решений.</w:t>
      </w:r>
    </w:p>
    <w:p w:rsidR="004616EA" w:rsidRPr="002121B4" w:rsidRDefault="004616EA" w:rsidP="002121B4">
      <w:pPr>
        <w:pStyle w:val="af5"/>
        <w:shd w:val="clear" w:color="auto" w:fill="FFFFFF"/>
        <w:spacing w:before="0" w:beforeAutospacing="0" w:after="0" w:afterAutospacing="0"/>
        <w:ind w:firstLine="709"/>
        <w:jc w:val="both"/>
        <w:rPr>
          <w:sz w:val="26"/>
          <w:szCs w:val="26"/>
        </w:rPr>
      </w:pPr>
      <w:r w:rsidRPr="002121B4">
        <w:rPr>
          <w:sz w:val="26"/>
          <w:szCs w:val="26"/>
        </w:rPr>
        <w:t xml:space="preserve">Из традиционных стадий контроля, предварительный, текущий и заключительный, основное значение в контроле за реализацией Стратегии приобретают первые две стадии, поскольку именно они позволяют наиболее оперативно и своевременно выявить какие-либо отставания в реализации Стратегии, а также подготовить предложения о необходимой корректировке действий. </w:t>
      </w:r>
    </w:p>
    <w:p w:rsidR="004616EA" w:rsidRPr="002121B4" w:rsidRDefault="004616EA" w:rsidP="002121B4">
      <w:pPr>
        <w:pStyle w:val="af5"/>
        <w:shd w:val="clear" w:color="auto" w:fill="FFFFFF"/>
        <w:spacing w:before="0" w:beforeAutospacing="0" w:after="0" w:afterAutospacing="0"/>
        <w:ind w:firstLine="709"/>
        <w:jc w:val="both"/>
        <w:rPr>
          <w:sz w:val="26"/>
          <w:szCs w:val="26"/>
        </w:rPr>
      </w:pP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2. Обеспечение приведения нормативной правовой базы (устава, положения о администрации, положений о структурных подразделениях, должностные инструкции) в соответствие в действующим законодательством, а также в целях закрепления прав и обязанностей органов и должностных лиц по реализации задач и целей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xml:space="preserve">Указанное направление деятельности в системе управления реализации Стратегии города Когалыма должно стать приоритетным на первом этапе реализации. Данное утверждение объясняется значительным количеством дублирующих функций, реализуемых в структурных подразделениях администрации, существенным количеством несогласованностей в нормативных правовых актах, отсутствием в них четкого закрепления полномочий структурных подразделений и должностных лиц. </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Достижение целей Стратегии через систему устанавливаемых полномочий должно быть закреплено в положениях о структурных подразделениях и должностных инструкциях лиц, наделяемых полномочиями по реализации Стратегии. Принятие Стратегии обуславливает необходимость выполнения администрацией нового дополнительного состава работ, который до этого момента не входил в должностные обязанности работников администрации. </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Эффективная реализация Стратегии находится в непосредственной зависимости от внятного и прозрачного распределения полномочий в администрации и иных организациях, обеспечивающих функционирование органов местного самоуправления, а также от возможной оптимизации структуры администрации.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Функции подразделений администрации города Когалыма определены в соответствии с предметами ведения, без учета необходимости выполнения программно-проектных функций – разработки скоординированных по целям программ и проектов и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Переход на стратегически ориентированный путь развития города Когалыма предопределяет и реорганизацию деятельности администрации в соответствующем ключе. Примерный перечень действий реорганизации деятельности администрации в стратегическом ключе может быть следующим:</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определение состава функций, требующихся для реализации Стратегии – составление перечня функций и соответствующих работ (необходимо для определения требующихся специалистов и их количества);</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xml:space="preserve">- определение подразделений администрации, которые будут реализовывать стратегические функции, – закрепление стратегических функций за подразделениями администрации; </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организация работы специальной структуры или коллегиального органа в администрации по реализации Стратегии развития города Когалыма;</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подготовка организационной схемы устройства администрации, которая отражает функции текущего и стратегического характера и подразделений, их выполняющих;</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внесение изменений в положения о структурных подразделениях и должностные инструкции специалистов (нормативно-правовое закрепление);</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разработка схемы взаимодействия подразделений администрации (вертикальные и горизонтальные части регламента) по стратегическим вопросам;</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организация деятельности информационно-аналитической службы в интересах обеспечения подразделений администрации необходимыми материалами по стратегическим вопросам развития;</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организация информационных потоков в администрации города Когалыма с учетом стратегических интересов развития;</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организация рабочих контактов с бизнесом и активными группами местного сообщества в стратегических целях.</w:t>
      </w:r>
    </w:p>
    <w:p w:rsidR="004616EA" w:rsidRPr="002121B4" w:rsidRDefault="004616EA" w:rsidP="002121B4">
      <w:pPr>
        <w:spacing w:after="0" w:line="240" w:lineRule="auto"/>
        <w:ind w:firstLine="709"/>
        <w:jc w:val="both"/>
        <w:rPr>
          <w:rFonts w:ascii="Times New Roman" w:hAnsi="Times New Roman"/>
          <w:bCs/>
          <w:sz w:val="26"/>
          <w:szCs w:val="26"/>
        </w:rPr>
      </w:pP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3. Создание механизмов общественной вовлеченности в процесс реализации Стратегии в целях выявления и учета мнения населения о приоритетах в реализации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Реализация Стратегии предполагает участие населения городского округа город Когалым, органов местного самоуправления, предприятий и организаций, общественных объединений, бизнес - структур, а также органов исполнительной власти Ханты-Мансийского автономного округа - Югры, других заинтересованных участников (далее - участники реализации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Органы местного самоуправления города Когалыма организуют и обеспечивают процесс муниципального управления развитием городского округа в соответствии со Стратегией. Другие участники реализации Стратегии вправе принять решение об участии в реализации мероприятий Стратегии, в том числе программ и проектов, на основе соглашений и договоров.</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Периодичность и порядок проведения социологических исследований и опросов населения определяется администрацией города Когалыма.</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xml:space="preserve">Органы местного самоуправления города Когалыма осуществляют действия по привлечению участников реализации Стратегии, обеспечивают доступность информации о ходе реализации Стратегии и документов планирования реализации Стратегии, обеспечивают участие городского округа город Когалым в федеральных и региональных программах, проектах и мероприятиях, направленных на решение задач Стратегии. </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В рамках данного направления должны найти отражение вопросы изучения общественного мнения: оценка степени реализации мероприятий Стратегии, качества и эффективности достигнутых результатов, установление обратной связи между жителями города и теми, кто реализует Стратегию. Это может быть массовый телефонный или квартирный опрос, репрезентативный по социальной и половозрастной структуре населения. В социологический опрос целесообразно вовлекать отдельные группы населения (бизнесменов, студентов, школьников, муниципальных служащих и др.).</w:t>
      </w:r>
    </w:p>
    <w:p w:rsidR="004616EA" w:rsidRPr="002121B4" w:rsidRDefault="004616EA" w:rsidP="002121B4">
      <w:pPr>
        <w:spacing w:after="0" w:line="240" w:lineRule="auto"/>
        <w:ind w:firstLine="709"/>
        <w:jc w:val="both"/>
        <w:rPr>
          <w:rFonts w:ascii="Times New Roman" w:hAnsi="Times New Roman"/>
          <w:bCs/>
          <w:sz w:val="26"/>
          <w:szCs w:val="26"/>
        </w:rPr>
      </w:pP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4. Обеспечение открытости и прозрачности реализации задач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xml:space="preserve">Деятельность органов местного самоуправления города Когалыма по реализации Стратегии должна подчиняться требованиям Федерального закона от 9 февраля 2009 г. </w:t>
      </w:r>
      <w:r>
        <w:rPr>
          <w:rFonts w:ascii="Times New Roman" w:hAnsi="Times New Roman"/>
          <w:bCs/>
          <w:sz w:val="26"/>
          <w:szCs w:val="26"/>
        </w:rPr>
        <w:t>№</w:t>
      </w:r>
      <w:r w:rsidRPr="002121B4">
        <w:rPr>
          <w:rFonts w:ascii="Times New Roman" w:hAnsi="Times New Roman"/>
          <w:bCs/>
          <w:sz w:val="26"/>
          <w:szCs w:val="26"/>
        </w:rPr>
        <w:t>8-ФЗ "Об обеспечении доступа к информации о деятельности государственных органов и органов местного самоуправления".</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При этом доступ к информации о деятельности органов местного самоуправления города Когалыма по реализации Стратегии может обеспечиваться следующими способами: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обнародование (опубликование) информации о деятельности по реализации Стратегии в средствах массовой информации;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размещение информации о проведенных и планируемых мероприятиях по реализации Стратегии в сети Интернет;</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размещение информации о проведенных и планируемых мероприятиях по реализации Стратегии в помещениях, занимаемых общественными организациями и иных публичных местах;</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xml:space="preserve">- присутствие граждан (физических лиц), в том числе представителей организаций (юридических лиц), общественных объединений, государственных органов и органов местного самоуправления, на заседаниях органов, ответственных за реализацию Стратегии; </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предоставление пользователям информацией по их запросу информации о деятельности по реализации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другими способами, предусмотренными законами и (или) иными нормативными правовыми актами, в отношении доступа к информации о деятельности органов местного самоуправления, а также муниципальными правовыми актами.</w:t>
      </w:r>
    </w:p>
    <w:p w:rsidR="004616EA" w:rsidRPr="002121B4" w:rsidRDefault="004616EA" w:rsidP="002121B4">
      <w:pPr>
        <w:spacing w:after="0" w:line="240" w:lineRule="auto"/>
        <w:ind w:firstLine="709"/>
        <w:jc w:val="both"/>
        <w:rPr>
          <w:rFonts w:ascii="Times New Roman" w:hAnsi="Times New Roman"/>
          <w:bCs/>
          <w:sz w:val="26"/>
          <w:szCs w:val="26"/>
        </w:rPr>
      </w:pP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5. Создание механизмов координации реализуемых задач и целей органов государственной власти, участвующих в развитии городского округа город Когалым и органов местного самоуправления.</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xml:space="preserve">Создание механизмов координации, то есть процессов согласования деятельности всех ответственных за реализацию Стратегии и иных заинтересованных лиц, и организаций может осуществляться в виде самостоятельной программы реализации Стратегии, а может представлять собой отдельный регламент, который будет обеспечивать:   </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последовательно-параллельное достижение целей согласно стратегическим приоритетам развития;</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целевую проектную развертку программных направлений;</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взаимоувязку основных муниципальных программ по сферам деятельности администрации со стратегией развития;</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развертку организационных проектов;</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учет и соотнесение организационных возможностей/условий реализационных действий и существующих ограничений;</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привлечение необходимых ресурсов и их эффективное использование;</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согласование пространственно-временных параметров осуществления проектных инициатив и проведения соответствующих мероприятий;</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согласование интересов и планов действий участвующих в реализации Стратегии «агентов» муниципального развития;</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осуществление своевременной корректировки реализационных шагов.</w:t>
      </w:r>
    </w:p>
    <w:p w:rsidR="004616EA" w:rsidRPr="002121B4" w:rsidRDefault="004616EA" w:rsidP="002121B4">
      <w:pPr>
        <w:spacing w:after="0" w:line="240" w:lineRule="auto"/>
        <w:ind w:firstLine="709"/>
        <w:jc w:val="both"/>
        <w:rPr>
          <w:rFonts w:ascii="Times New Roman" w:hAnsi="Times New Roman"/>
          <w:bCs/>
          <w:sz w:val="26"/>
          <w:szCs w:val="26"/>
        </w:rPr>
      </w:pP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6. Ресурсное, в том числе бюджетное, обеспечение реализации Стратегии. </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Ресурсное обеспечение реализации Стратегии должно осуществляться путем координации документов планирования реализации Стратегии, документов планирования деятельности участников реализации мероприятий Стратегии, а также документов бюджетного планирования. </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Ресурсное обеспечение должно происходить за счет средств бюджета городского округа город Когалым, за счет привлечения на согласованных условиях средств федерального бюджета и бюджета Ханты-Мансийского автономного округа - Югры в рамках реализации государственных программ, государственных программ Ханты-Мансийского автономного округа-Югры, проектов, а также за счет внебюджетных источников (средств частных инвесторов, кредиторов, населения). Планирование и выделение средств на финансирование мероприятий Стратегии за счет бюджета городского округа город Когалым должно производиться в форме финансирования муниципальных программ, а также отдельных проектов, в том числе инвестиционных.</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Объем ресурсов определяется администрацией города Когалыма в процессе бюджетного планирования путем расчета затрат на реализацию программ, проектов и других мероприятий Стратегии, распределения их по источникам финансирования, а также на основе заключенных соглашений, договоров и контрактов с участниками реализации Стратегии. </w:t>
      </w:r>
    </w:p>
    <w:p w:rsidR="004616EA" w:rsidRPr="002121B4" w:rsidRDefault="004616EA" w:rsidP="002121B4">
      <w:pPr>
        <w:spacing w:after="0" w:line="240" w:lineRule="auto"/>
        <w:ind w:firstLine="709"/>
        <w:jc w:val="both"/>
        <w:rPr>
          <w:rFonts w:ascii="Times New Roman" w:hAnsi="Times New Roman"/>
          <w:sz w:val="26"/>
          <w:szCs w:val="26"/>
          <w:lang w:eastAsia="ru-RU"/>
        </w:rPr>
      </w:pPr>
    </w:p>
    <w:p w:rsidR="004616EA" w:rsidRPr="00475E67" w:rsidRDefault="004616EA" w:rsidP="00973F2A">
      <w:pPr>
        <w:spacing w:after="0" w:line="360" w:lineRule="auto"/>
        <w:ind w:firstLine="708"/>
        <w:jc w:val="both"/>
        <w:rPr>
          <w:rFonts w:ascii="Times New Roman" w:hAnsi="Times New Roman"/>
          <w:sz w:val="24"/>
          <w:szCs w:val="24"/>
          <w:lang w:eastAsia="ru-RU"/>
        </w:rPr>
        <w:sectPr w:rsidR="004616EA" w:rsidRPr="00475E67" w:rsidSect="00F30319">
          <w:pgSz w:w="11906" w:h="16838"/>
          <w:pgMar w:top="1134" w:right="567" w:bottom="1134" w:left="2552" w:header="709" w:footer="709" w:gutter="0"/>
          <w:cols w:space="708"/>
          <w:docGrid w:linePitch="360"/>
        </w:sectPr>
      </w:pPr>
    </w:p>
    <w:p w:rsidR="004616EA" w:rsidRDefault="004616EA" w:rsidP="002121B4">
      <w:pPr>
        <w:pStyle w:val="1"/>
        <w:spacing w:before="0" w:after="0"/>
        <w:ind w:firstLine="851"/>
        <w:rPr>
          <w:sz w:val="26"/>
          <w:szCs w:val="26"/>
        </w:rPr>
      </w:pPr>
      <w:bookmarkStart w:id="196" w:name="_Toc369265390"/>
      <w:bookmarkStart w:id="197" w:name="_Toc389051111"/>
      <w:bookmarkStart w:id="198" w:name="_Toc405805533"/>
      <w:r w:rsidRPr="002121B4">
        <w:rPr>
          <w:sz w:val="26"/>
          <w:szCs w:val="26"/>
        </w:rPr>
        <w:t>10 Система мониторинга и контроля реализации целей и задач социально-экономического развития города когалыма до 2020 года</w:t>
      </w:r>
      <w:bookmarkEnd w:id="196"/>
      <w:bookmarkEnd w:id="197"/>
      <w:r w:rsidRPr="002121B4">
        <w:rPr>
          <w:sz w:val="26"/>
          <w:szCs w:val="26"/>
        </w:rPr>
        <w:t xml:space="preserve"> и на период до 2030 года</w:t>
      </w:r>
      <w:bookmarkEnd w:id="198"/>
    </w:p>
    <w:p w:rsidR="004616EA" w:rsidRPr="002121B4" w:rsidRDefault="004616EA" w:rsidP="002121B4">
      <w:pPr>
        <w:spacing w:after="0" w:line="240" w:lineRule="auto"/>
        <w:jc w:val="center"/>
      </w:pPr>
    </w:p>
    <w:p w:rsidR="004616EA" w:rsidRPr="002121B4" w:rsidRDefault="004616EA" w:rsidP="002121B4">
      <w:pPr>
        <w:pStyle w:val="3"/>
        <w:spacing w:line="240" w:lineRule="auto"/>
        <w:ind w:firstLine="851"/>
        <w:rPr>
          <w:sz w:val="26"/>
        </w:rPr>
      </w:pPr>
      <w:bookmarkStart w:id="199" w:name="_Toc369265391"/>
      <w:bookmarkStart w:id="200" w:name="_Toc389051112"/>
      <w:bookmarkStart w:id="201" w:name="_Toc405805534"/>
      <w:r w:rsidRPr="002121B4">
        <w:rPr>
          <w:sz w:val="26"/>
        </w:rPr>
        <w:t>10.1 Формирование системы целевых индикаторов</w:t>
      </w:r>
      <w:bookmarkEnd w:id="199"/>
      <w:bookmarkEnd w:id="200"/>
      <w:bookmarkEnd w:id="201"/>
      <w:r w:rsidRPr="002121B4">
        <w:rPr>
          <w:sz w:val="26"/>
        </w:rPr>
        <w:t xml:space="preserve"> </w:t>
      </w:r>
    </w:p>
    <w:p w:rsidR="004616EA" w:rsidRPr="002121B4" w:rsidRDefault="004616EA" w:rsidP="002121B4">
      <w:pPr>
        <w:spacing w:after="0" w:line="240" w:lineRule="auto"/>
        <w:ind w:firstLine="851"/>
        <w:jc w:val="both"/>
        <w:rPr>
          <w:rFonts w:ascii="Times New Roman" w:hAnsi="Times New Roman"/>
          <w:sz w:val="26"/>
          <w:szCs w:val="26"/>
        </w:rPr>
      </w:pPr>
      <w:r w:rsidRPr="002121B4">
        <w:rPr>
          <w:rFonts w:ascii="Times New Roman" w:hAnsi="Times New Roman"/>
          <w:sz w:val="26"/>
          <w:szCs w:val="26"/>
        </w:rPr>
        <w:t>Необходимым условием эффективного и качественного социально-экономического развития муниципального образования является применение элементов индикативного планирования и управления.</w:t>
      </w:r>
    </w:p>
    <w:p w:rsidR="004616EA" w:rsidRPr="002121B4" w:rsidRDefault="004616EA" w:rsidP="002121B4">
      <w:pPr>
        <w:spacing w:after="0" w:line="240" w:lineRule="auto"/>
        <w:ind w:firstLine="851"/>
        <w:jc w:val="both"/>
        <w:rPr>
          <w:rFonts w:ascii="Times New Roman" w:hAnsi="Times New Roman"/>
          <w:sz w:val="26"/>
          <w:szCs w:val="26"/>
        </w:rPr>
      </w:pPr>
      <w:r w:rsidRPr="002121B4">
        <w:rPr>
          <w:rFonts w:ascii="Times New Roman" w:hAnsi="Times New Roman"/>
          <w:sz w:val="26"/>
          <w:szCs w:val="26"/>
        </w:rPr>
        <w:t>Целью введения системы индикативного управления является обеспечение согласованных действий органов местного самоуправления, хозяйствующих субъектов и населения, направленных на формирование устойчивого экономического роста и повышение уровня жизни жителей городского округа город Когалым.</w:t>
      </w:r>
    </w:p>
    <w:p w:rsidR="004616EA" w:rsidRPr="002121B4" w:rsidRDefault="004616EA" w:rsidP="002121B4">
      <w:pPr>
        <w:spacing w:after="0" w:line="240" w:lineRule="auto"/>
        <w:ind w:firstLine="851"/>
        <w:jc w:val="both"/>
        <w:rPr>
          <w:rFonts w:ascii="Times New Roman" w:hAnsi="Times New Roman"/>
          <w:sz w:val="26"/>
          <w:szCs w:val="26"/>
        </w:rPr>
      </w:pPr>
      <w:r w:rsidRPr="002121B4">
        <w:rPr>
          <w:rFonts w:ascii="Times New Roman" w:hAnsi="Times New Roman"/>
          <w:sz w:val="26"/>
          <w:szCs w:val="26"/>
        </w:rPr>
        <w:t>С теоретической точки зрения, индикативное планирование развития той или иной территории - это форма управления, включающая организацию деятельности по индикативному планированию, прогнозированию, реализации индикативного плана и контроля за его выполнением. При этом под индикативным планом понимается перечень прогнозно-ориентированных индикаторов с установленными на определенный срок пороговыми значениями, являющимися руководством к действию для управленческих структур администрации города и ориентиром для хозяйствующих субъектов.</w:t>
      </w:r>
    </w:p>
    <w:p w:rsidR="004616EA" w:rsidRPr="002121B4" w:rsidRDefault="004616EA" w:rsidP="002121B4">
      <w:pPr>
        <w:spacing w:after="0" w:line="240" w:lineRule="auto"/>
        <w:ind w:firstLine="851"/>
        <w:jc w:val="both"/>
        <w:rPr>
          <w:rFonts w:ascii="Times New Roman" w:hAnsi="Times New Roman"/>
          <w:sz w:val="26"/>
          <w:szCs w:val="26"/>
        </w:rPr>
      </w:pPr>
      <w:r w:rsidRPr="002121B4">
        <w:rPr>
          <w:rFonts w:ascii="Times New Roman" w:hAnsi="Times New Roman"/>
          <w:sz w:val="26"/>
          <w:szCs w:val="26"/>
        </w:rPr>
        <w:t>Целевой индикатор (показатель) является количественно-качественной характеристикой социально-экономических явлений и процессов, происходящих в муниципальном образовании, где качественная сторона отражает сущность явлений или процессов социально-экономического развития в определенный момент времени, а количественная - его размер, абсолютную или относительную величину.</w:t>
      </w:r>
    </w:p>
    <w:p w:rsidR="004616EA" w:rsidRPr="002121B4" w:rsidRDefault="004616EA" w:rsidP="002121B4">
      <w:pPr>
        <w:spacing w:after="0" w:line="240" w:lineRule="auto"/>
        <w:ind w:firstLine="851"/>
        <w:jc w:val="both"/>
        <w:rPr>
          <w:rFonts w:ascii="Times New Roman" w:hAnsi="Times New Roman"/>
          <w:sz w:val="26"/>
          <w:szCs w:val="26"/>
        </w:rPr>
      </w:pPr>
      <w:r w:rsidRPr="002121B4">
        <w:rPr>
          <w:rFonts w:ascii="Times New Roman" w:hAnsi="Times New Roman"/>
          <w:sz w:val="26"/>
          <w:szCs w:val="26"/>
        </w:rPr>
        <w:t>Эффективность индикативного планирования серьезным образом зависит от своевременного мониторинга хода социально-экономических процессов и корректировки запланированных целей и задач. Негативным фактором достижения такой эффективности является то, что сам процесс индикативного планирования носит рекомендательный характер для некоторых участников социально-экономического развития. Так, для предприятий и организаций рыночного сектора индикативные показатели не имеют обязательного значения, поэтому органы местного самоуправления должны принимать специальные меры, чтобы побуждать хозяйствующие субъекты к их достижению или участию в их корректировке.</w:t>
      </w:r>
    </w:p>
    <w:p w:rsidR="004616EA" w:rsidRPr="002121B4" w:rsidRDefault="004616EA" w:rsidP="002121B4">
      <w:pPr>
        <w:spacing w:after="0" w:line="240" w:lineRule="auto"/>
        <w:ind w:firstLine="851"/>
        <w:jc w:val="both"/>
        <w:rPr>
          <w:rFonts w:ascii="Times New Roman" w:hAnsi="Times New Roman"/>
          <w:sz w:val="26"/>
          <w:szCs w:val="26"/>
        </w:rPr>
      </w:pPr>
      <w:r w:rsidRPr="002121B4">
        <w:rPr>
          <w:rFonts w:ascii="Times New Roman" w:hAnsi="Times New Roman"/>
          <w:sz w:val="26"/>
          <w:szCs w:val="26"/>
        </w:rPr>
        <w:t xml:space="preserve">Успешное осуществление управления социально-экономическими процессами на основе системы целевых индикаторов на муниципальном уровне также зависит от внутренних возможностей местного самоуправления. </w:t>
      </w:r>
    </w:p>
    <w:p w:rsidR="004616EA" w:rsidRPr="002121B4" w:rsidRDefault="004616EA" w:rsidP="002121B4">
      <w:pPr>
        <w:spacing w:after="0" w:line="240" w:lineRule="auto"/>
        <w:ind w:firstLine="851"/>
        <w:jc w:val="both"/>
        <w:rPr>
          <w:rFonts w:ascii="Times New Roman" w:hAnsi="Times New Roman"/>
          <w:sz w:val="26"/>
          <w:szCs w:val="26"/>
        </w:rPr>
      </w:pPr>
      <w:r w:rsidRPr="002121B4">
        <w:rPr>
          <w:rFonts w:ascii="Times New Roman" w:hAnsi="Times New Roman"/>
          <w:sz w:val="26"/>
          <w:szCs w:val="26"/>
        </w:rPr>
        <w:t>В основе системы индикативного планирования социально-экономического развития городского округа до 2030 г. лежит система стратегических целей и задач. Показатели для индикативного анализа и прогноза социально-экономического развития городского округа на долгосрочную перспективу выбраны в соответствии с долгосрочными приоритетами развития. Система целевых индикаторов отображает ожидаемые результаты решения всех стратегических задач в комплексе.</w:t>
      </w:r>
    </w:p>
    <w:p w:rsidR="004616EA" w:rsidRPr="002121B4" w:rsidRDefault="004616EA" w:rsidP="002121B4">
      <w:pPr>
        <w:spacing w:after="0" w:line="240" w:lineRule="auto"/>
        <w:ind w:firstLine="851"/>
        <w:jc w:val="both"/>
        <w:rPr>
          <w:rFonts w:ascii="Times New Roman" w:hAnsi="Times New Roman"/>
          <w:sz w:val="26"/>
          <w:szCs w:val="26"/>
        </w:rPr>
      </w:pPr>
      <w:r w:rsidRPr="002121B4">
        <w:rPr>
          <w:rFonts w:ascii="Times New Roman" w:hAnsi="Times New Roman"/>
          <w:sz w:val="26"/>
          <w:szCs w:val="26"/>
        </w:rPr>
        <w:t>Мониторинг достижения целевых значений выбранных показателей является одним из инструментов управления социально-экономическим развитием территории. На его основе должна производиться комплексная актуализация системы мероприятий по реализации целевых ориентиров развития.</w:t>
      </w:r>
    </w:p>
    <w:p w:rsidR="004616EA" w:rsidRPr="002121B4" w:rsidRDefault="004616EA" w:rsidP="002121B4">
      <w:pPr>
        <w:spacing w:after="0" w:line="240" w:lineRule="auto"/>
        <w:ind w:firstLine="851"/>
        <w:jc w:val="both"/>
        <w:rPr>
          <w:rFonts w:ascii="Times New Roman" w:hAnsi="Times New Roman"/>
          <w:sz w:val="26"/>
          <w:szCs w:val="26"/>
        </w:rPr>
      </w:pPr>
      <w:r w:rsidRPr="002121B4">
        <w:rPr>
          <w:rFonts w:ascii="Times New Roman" w:hAnsi="Times New Roman"/>
          <w:sz w:val="26"/>
          <w:szCs w:val="26"/>
        </w:rPr>
        <w:t>Также целевые индикаторы являются основой для формирования пространственной проекции стратегических приоритетов развития муниципального образования в документах территориального планирования. Целевые показатели развития территории, формируемые в стратегии, составляют важную часть исходных данных, используемых при внесении изменений в документы территориального планирования. Это обеспечивает своевременную гармонизацию приоритетов и целевых показателей социально-экономического развития муниципального образования, определенных в стратегии, с решениями документа территориального планирования.</w:t>
      </w:r>
    </w:p>
    <w:p w:rsidR="004616EA" w:rsidRPr="002121B4" w:rsidRDefault="004616EA" w:rsidP="002121B4">
      <w:pPr>
        <w:tabs>
          <w:tab w:val="left" w:pos="426"/>
        </w:tabs>
        <w:spacing w:after="0" w:line="240" w:lineRule="auto"/>
        <w:ind w:firstLine="851"/>
        <w:jc w:val="both"/>
        <w:rPr>
          <w:rFonts w:ascii="Times New Roman" w:hAnsi="Times New Roman"/>
          <w:sz w:val="26"/>
          <w:szCs w:val="26"/>
        </w:rPr>
      </w:pPr>
      <w:r w:rsidRPr="002121B4">
        <w:rPr>
          <w:rFonts w:ascii="Times New Roman" w:hAnsi="Times New Roman"/>
          <w:sz w:val="26"/>
          <w:szCs w:val="26"/>
        </w:rPr>
        <w:t>Перечень основных целевых индикаторов долгосрочного социально-экономического развития городского округа город Когалым представлен ниже (</w:t>
      </w:r>
      <w:r w:rsidR="001977F4">
        <w:fldChar w:fldCharType="begin"/>
      </w:r>
      <w:r w:rsidR="001977F4">
        <w:instrText xml:space="preserve"> REF _Ref400109642 \h  \* MERGEFORMAT </w:instrText>
      </w:r>
      <w:r w:rsidR="001977F4">
        <w:fldChar w:fldCharType="separate"/>
      </w:r>
      <w:r w:rsidR="001977F4" w:rsidRPr="001977F4">
        <w:rPr>
          <w:rFonts w:ascii="Times New Roman" w:hAnsi="Times New Roman"/>
          <w:sz w:val="26"/>
          <w:szCs w:val="26"/>
        </w:rPr>
        <w:t xml:space="preserve">Таблица </w:t>
      </w:r>
      <w:r w:rsidR="001977F4" w:rsidRPr="001977F4">
        <w:rPr>
          <w:rFonts w:ascii="Times New Roman" w:hAnsi="Times New Roman"/>
          <w:noProof/>
          <w:sz w:val="26"/>
          <w:szCs w:val="26"/>
        </w:rPr>
        <w:t>15</w:t>
      </w:r>
      <w:r w:rsidR="001977F4">
        <w:fldChar w:fldCharType="end"/>
      </w:r>
      <w:r w:rsidRPr="002121B4">
        <w:rPr>
          <w:rFonts w:ascii="Times New Roman" w:hAnsi="Times New Roman"/>
          <w:sz w:val="26"/>
          <w:szCs w:val="26"/>
        </w:rPr>
        <w:t>).</w:t>
      </w:r>
    </w:p>
    <w:p w:rsidR="004616EA" w:rsidRPr="00475E67" w:rsidRDefault="004616EA" w:rsidP="00F7708A">
      <w:pPr>
        <w:tabs>
          <w:tab w:val="left" w:pos="426"/>
        </w:tabs>
        <w:spacing w:after="0"/>
        <w:ind w:left="426"/>
        <w:jc w:val="both"/>
        <w:rPr>
          <w:rFonts w:ascii="Times New Roman" w:hAnsi="Times New Roman"/>
          <w:sz w:val="24"/>
          <w:szCs w:val="24"/>
        </w:rPr>
        <w:sectPr w:rsidR="004616EA" w:rsidRPr="00475E67" w:rsidSect="00F30319">
          <w:pgSz w:w="11906" w:h="16838"/>
          <w:pgMar w:top="1134" w:right="567" w:bottom="1134" w:left="2552" w:header="709" w:footer="709" w:gutter="0"/>
          <w:cols w:space="708"/>
          <w:docGrid w:linePitch="360"/>
        </w:sectPr>
      </w:pPr>
    </w:p>
    <w:p w:rsidR="004616EA" w:rsidRPr="00475E67" w:rsidRDefault="004616EA" w:rsidP="00F7708A">
      <w:pPr>
        <w:spacing w:after="120"/>
        <w:rPr>
          <w:rFonts w:ascii="Times New Roman" w:hAnsi="Times New Roman"/>
          <w:sz w:val="24"/>
          <w:szCs w:val="24"/>
        </w:rPr>
      </w:pPr>
      <w:bookmarkStart w:id="202" w:name="_Ref400109642"/>
      <w:r w:rsidRPr="00475E67">
        <w:rPr>
          <w:rFonts w:ascii="Times New Roman" w:hAnsi="Times New Roman"/>
          <w:sz w:val="24"/>
          <w:szCs w:val="24"/>
        </w:rPr>
        <w:t xml:space="preserve">Таблица </w:t>
      </w:r>
      <w:r w:rsidRPr="00475E67">
        <w:rPr>
          <w:rFonts w:ascii="Times New Roman" w:hAnsi="Times New Roman"/>
          <w:sz w:val="24"/>
          <w:szCs w:val="24"/>
        </w:rPr>
        <w:fldChar w:fldCharType="begin"/>
      </w:r>
      <w:r w:rsidRPr="00475E67">
        <w:rPr>
          <w:rFonts w:ascii="Times New Roman" w:hAnsi="Times New Roman"/>
          <w:sz w:val="24"/>
          <w:szCs w:val="24"/>
        </w:rPr>
        <w:instrText xml:space="preserve"> SEQ Таблица \* ARABIC </w:instrText>
      </w:r>
      <w:r w:rsidRPr="00475E67">
        <w:rPr>
          <w:rFonts w:ascii="Times New Roman" w:hAnsi="Times New Roman"/>
          <w:sz w:val="24"/>
          <w:szCs w:val="24"/>
        </w:rPr>
        <w:fldChar w:fldCharType="separate"/>
      </w:r>
      <w:r w:rsidR="001977F4">
        <w:rPr>
          <w:rFonts w:ascii="Times New Roman" w:hAnsi="Times New Roman"/>
          <w:noProof/>
          <w:sz w:val="24"/>
          <w:szCs w:val="24"/>
        </w:rPr>
        <w:t>15</w:t>
      </w:r>
      <w:r w:rsidRPr="00475E67">
        <w:rPr>
          <w:rFonts w:ascii="Times New Roman" w:hAnsi="Times New Roman"/>
          <w:sz w:val="24"/>
          <w:szCs w:val="24"/>
        </w:rPr>
        <w:fldChar w:fldCharType="end"/>
      </w:r>
      <w:bookmarkEnd w:id="202"/>
      <w:r w:rsidRPr="00475E67">
        <w:rPr>
          <w:rFonts w:ascii="Times New Roman" w:hAnsi="Times New Roman"/>
          <w:sz w:val="24"/>
          <w:szCs w:val="24"/>
        </w:rPr>
        <w:t xml:space="preserve"> - Целевые индикаторы социально-экономического развития городского округа город Когалым до 2030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8"/>
        <w:gridCol w:w="4512"/>
        <w:gridCol w:w="2452"/>
        <w:gridCol w:w="1089"/>
        <w:gridCol w:w="1089"/>
        <w:gridCol w:w="1219"/>
        <w:gridCol w:w="1219"/>
        <w:gridCol w:w="1089"/>
        <w:gridCol w:w="1124"/>
        <w:gridCol w:w="1219"/>
      </w:tblGrid>
      <w:tr w:rsidR="004616EA" w:rsidRPr="002121B4" w:rsidTr="002121B4">
        <w:trPr>
          <w:trHeight w:val="300"/>
        </w:trPr>
        <w:tc>
          <w:tcPr>
            <w:tcW w:w="285" w:type="pct"/>
            <w:vMerge w:val="restart"/>
            <w:shd w:val="clear" w:color="auto" w:fill="FFFFFF"/>
            <w:noWrap/>
            <w:vAlign w:val="center"/>
          </w:tcPr>
          <w:p w:rsidR="004616EA" w:rsidRPr="002121B4" w:rsidRDefault="004616EA" w:rsidP="000501D7">
            <w:pPr>
              <w:spacing w:after="0"/>
              <w:jc w:val="center"/>
              <w:rPr>
                <w:rFonts w:ascii="Times New Roman" w:hAnsi="Times New Roman"/>
                <w:sz w:val="26"/>
                <w:szCs w:val="26"/>
              </w:rPr>
            </w:pPr>
            <w:r w:rsidRPr="002121B4">
              <w:rPr>
                <w:rFonts w:ascii="Times New Roman" w:hAnsi="Times New Roman"/>
                <w:sz w:val="26"/>
                <w:szCs w:val="26"/>
              </w:rPr>
              <w:t>№ п/п</w:t>
            </w:r>
          </w:p>
        </w:tc>
        <w:tc>
          <w:tcPr>
            <w:tcW w:w="1417" w:type="pct"/>
            <w:vMerge w:val="restart"/>
            <w:shd w:val="clear" w:color="auto" w:fill="FFFFFF"/>
            <w:noWrap/>
            <w:vAlign w:val="center"/>
          </w:tcPr>
          <w:p w:rsidR="004616EA" w:rsidRPr="002121B4" w:rsidRDefault="004616EA" w:rsidP="000501D7">
            <w:pPr>
              <w:spacing w:after="0"/>
              <w:jc w:val="center"/>
              <w:rPr>
                <w:rFonts w:ascii="Times New Roman" w:hAnsi="Times New Roman"/>
                <w:sz w:val="26"/>
                <w:szCs w:val="26"/>
              </w:rPr>
            </w:pPr>
            <w:r w:rsidRPr="002121B4">
              <w:rPr>
                <w:rFonts w:ascii="Times New Roman" w:hAnsi="Times New Roman"/>
                <w:sz w:val="26"/>
                <w:szCs w:val="26"/>
              </w:rPr>
              <w:t>Целевой индикатор</w:t>
            </w:r>
          </w:p>
        </w:tc>
        <w:tc>
          <w:tcPr>
            <w:tcW w:w="770" w:type="pct"/>
            <w:vMerge w:val="restart"/>
            <w:shd w:val="clear" w:color="auto" w:fill="FFFFFF"/>
            <w:noWrap/>
            <w:vAlign w:val="center"/>
          </w:tcPr>
          <w:p w:rsidR="004616EA" w:rsidRPr="002121B4" w:rsidRDefault="004616EA" w:rsidP="000501D7">
            <w:pPr>
              <w:spacing w:after="0"/>
              <w:jc w:val="center"/>
              <w:rPr>
                <w:rFonts w:ascii="Times New Roman" w:hAnsi="Times New Roman"/>
                <w:sz w:val="26"/>
                <w:szCs w:val="26"/>
              </w:rPr>
            </w:pPr>
            <w:r w:rsidRPr="002121B4">
              <w:rPr>
                <w:rFonts w:ascii="Times New Roman" w:hAnsi="Times New Roman"/>
                <w:sz w:val="26"/>
                <w:szCs w:val="26"/>
              </w:rPr>
              <w:t>Единица измерения</w:t>
            </w:r>
          </w:p>
        </w:tc>
        <w:tc>
          <w:tcPr>
            <w:tcW w:w="342" w:type="pct"/>
            <w:shd w:val="clear" w:color="auto" w:fill="FFFFFF"/>
            <w:noWrap/>
            <w:vAlign w:val="center"/>
          </w:tcPr>
          <w:p w:rsidR="004616EA" w:rsidRPr="002121B4" w:rsidRDefault="004616EA" w:rsidP="000501D7">
            <w:pPr>
              <w:spacing w:after="0"/>
              <w:jc w:val="center"/>
              <w:rPr>
                <w:rFonts w:ascii="Times New Roman" w:hAnsi="Times New Roman"/>
                <w:sz w:val="26"/>
                <w:szCs w:val="26"/>
              </w:rPr>
            </w:pPr>
            <w:r w:rsidRPr="002121B4">
              <w:rPr>
                <w:rFonts w:ascii="Times New Roman" w:hAnsi="Times New Roman"/>
                <w:sz w:val="26"/>
                <w:szCs w:val="26"/>
              </w:rPr>
              <w:t>Факт</w:t>
            </w:r>
          </w:p>
        </w:tc>
        <w:tc>
          <w:tcPr>
            <w:tcW w:w="2186" w:type="pct"/>
            <w:gridSpan w:val="6"/>
            <w:shd w:val="clear" w:color="auto" w:fill="FFFFFF"/>
            <w:vAlign w:val="center"/>
          </w:tcPr>
          <w:p w:rsidR="004616EA" w:rsidRPr="002121B4" w:rsidRDefault="004616EA" w:rsidP="000501D7">
            <w:pPr>
              <w:spacing w:after="0"/>
              <w:jc w:val="center"/>
              <w:rPr>
                <w:rFonts w:ascii="Times New Roman" w:hAnsi="Times New Roman"/>
                <w:sz w:val="26"/>
                <w:szCs w:val="26"/>
              </w:rPr>
            </w:pPr>
            <w:r w:rsidRPr="002121B4">
              <w:rPr>
                <w:rFonts w:ascii="Times New Roman" w:hAnsi="Times New Roman"/>
                <w:sz w:val="26"/>
                <w:szCs w:val="26"/>
              </w:rPr>
              <w:t>Прогноз</w:t>
            </w:r>
          </w:p>
        </w:tc>
      </w:tr>
      <w:tr w:rsidR="004616EA" w:rsidRPr="002121B4" w:rsidTr="002121B4">
        <w:trPr>
          <w:trHeight w:val="397"/>
        </w:trPr>
        <w:tc>
          <w:tcPr>
            <w:tcW w:w="285" w:type="pct"/>
            <w:vMerge/>
            <w:shd w:val="clear" w:color="auto" w:fill="FFFFFF"/>
            <w:noWrap/>
            <w:vAlign w:val="center"/>
          </w:tcPr>
          <w:p w:rsidR="004616EA" w:rsidRPr="002121B4" w:rsidRDefault="004616EA" w:rsidP="000501D7">
            <w:pPr>
              <w:spacing w:after="0"/>
              <w:jc w:val="center"/>
              <w:rPr>
                <w:rFonts w:ascii="Times New Roman" w:hAnsi="Times New Roman"/>
                <w:sz w:val="26"/>
                <w:szCs w:val="26"/>
              </w:rPr>
            </w:pPr>
          </w:p>
        </w:tc>
        <w:tc>
          <w:tcPr>
            <w:tcW w:w="1417" w:type="pct"/>
            <w:vMerge/>
            <w:shd w:val="clear" w:color="auto" w:fill="FFFFFF"/>
            <w:vAlign w:val="center"/>
          </w:tcPr>
          <w:p w:rsidR="004616EA" w:rsidRPr="002121B4" w:rsidRDefault="004616EA" w:rsidP="000501D7">
            <w:pPr>
              <w:spacing w:after="0"/>
              <w:rPr>
                <w:rFonts w:ascii="Times New Roman" w:hAnsi="Times New Roman"/>
                <w:sz w:val="26"/>
                <w:szCs w:val="26"/>
              </w:rPr>
            </w:pPr>
          </w:p>
        </w:tc>
        <w:tc>
          <w:tcPr>
            <w:tcW w:w="770" w:type="pct"/>
            <w:vMerge/>
            <w:shd w:val="clear" w:color="auto" w:fill="FFFFFF"/>
            <w:vAlign w:val="center"/>
          </w:tcPr>
          <w:p w:rsidR="004616EA" w:rsidRPr="002121B4" w:rsidRDefault="004616EA" w:rsidP="000501D7">
            <w:pPr>
              <w:spacing w:after="0"/>
              <w:jc w:val="center"/>
              <w:rPr>
                <w:rFonts w:ascii="Times New Roman" w:hAnsi="Times New Roman"/>
                <w:sz w:val="26"/>
                <w:szCs w:val="26"/>
              </w:rPr>
            </w:pPr>
          </w:p>
        </w:tc>
        <w:tc>
          <w:tcPr>
            <w:tcW w:w="342" w:type="pct"/>
            <w:shd w:val="clear" w:color="auto" w:fill="FFFFFF"/>
            <w:vAlign w:val="center"/>
          </w:tcPr>
          <w:p w:rsidR="004616EA" w:rsidRPr="002121B4" w:rsidRDefault="004616EA" w:rsidP="000501D7">
            <w:pPr>
              <w:spacing w:after="0"/>
              <w:jc w:val="center"/>
              <w:rPr>
                <w:rFonts w:ascii="Times New Roman" w:hAnsi="Times New Roman"/>
                <w:sz w:val="26"/>
                <w:szCs w:val="26"/>
              </w:rPr>
            </w:pPr>
            <w:r w:rsidRPr="002121B4">
              <w:rPr>
                <w:rFonts w:ascii="Times New Roman" w:hAnsi="Times New Roman"/>
                <w:sz w:val="26"/>
                <w:szCs w:val="26"/>
              </w:rPr>
              <w:t>2013</w:t>
            </w:r>
          </w:p>
        </w:tc>
        <w:tc>
          <w:tcPr>
            <w:tcW w:w="342" w:type="pct"/>
            <w:shd w:val="clear" w:color="auto" w:fill="FFFFFF"/>
            <w:vAlign w:val="center"/>
          </w:tcPr>
          <w:p w:rsidR="004616EA" w:rsidRPr="002121B4" w:rsidRDefault="004616EA" w:rsidP="000501D7">
            <w:pPr>
              <w:spacing w:after="0"/>
              <w:jc w:val="center"/>
              <w:rPr>
                <w:rFonts w:ascii="Times New Roman" w:hAnsi="Times New Roman"/>
                <w:sz w:val="26"/>
                <w:szCs w:val="26"/>
              </w:rPr>
            </w:pPr>
            <w:r w:rsidRPr="002121B4">
              <w:rPr>
                <w:rFonts w:ascii="Times New Roman" w:hAnsi="Times New Roman"/>
                <w:sz w:val="26"/>
                <w:szCs w:val="26"/>
              </w:rPr>
              <w:t>2014</w:t>
            </w:r>
          </w:p>
        </w:tc>
        <w:tc>
          <w:tcPr>
            <w:tcW w:w="383" w:type="pct"/>
            <w:shd w:val="clear" w:color="auto" w:fill="FFFFFF"/>
            <w:vAlign w:val="center"/>
          </w:tcPr>
          <w:p w:rsidR="004616EA" w:rsidRPr="002121B4" w:rsidRDefault="004616EA" w:rsidP="000501D7">
            <w:pPr>
              <w:spacing w:after="0"/>
              <w:jc w:val="center"/>
              <w:rPr>
                <w:rFonts w:ascii="Times New Roman" w:hAnsi="Times New Roman"/>
                <w:sz w:val="26"/>
                <w:szCs w:val="26"/>
              </w:rPr>
            </w:pPr>
            <w:r w:rsidRPr="002121B4">
              <w:rPr>
                <w:rFonts w:ascii="Times New Roman" w:hAnsi="Times New Roman"/>
                <w:sz w:val="26"/>
                <w:szCs w:val="26"/>
              </w:rPr>
              <w:t>2015</w:t>
            </w:r>
          </w:p>
        </w:tc>
        <w:tc>
          <w:tcPr>
            <w:tcW w:w="383" w:type="pct"/>
            <w:shd w:val="clear" w:color="auto" w:fill="FFFFFF"/>
            <w:vAlign w:val="center"/>
          </w:tcPr>
          <w:p w:rsidR="004616EA" w:rsidRPr="002121B4" w:rsidRDefault="004616EA" w:rsidP="000501D7">
            <w:pPr>
              <w:spacing w:after="0"/>
              <w:jc w:val="center"/>
              <w:rPr>
                <w:rFonts w:ascii="Times New Roman" w:hAnsi="Times New Roman"/>
                <w:sz w:val="26"/>
                <w:szCs w:val="26"/>
              </w:rPr>
            </w:pPr>
            <w:r w:rsidRPr="002121B4">
              <w:rPr>
                <w:rFonts w:ascii="Times New Roman" w:hAnsi="Times New Roman"/>
                <w:sz w:val="26"/>
                <w:szCs w:val="26"/>
              </w:rPr>
              <w:t>2016</w:t>
            </w:r>
          </w:p>
        </w:tc>
        <w:tc>
          <w:tcPr>
            <w:tcW w:w="342" w:type="pct"/>
            <w:shd w:val="clear" w:color="auto" w:fill="FFFFFF"/>
            <w:vAlign w:val="center"/>
          </w:tcPr>
          <w:p w:rsidR="004616EA" w:rsidRPr="002121B4" w:rsidRDefault="004616EA" w:rsidP="000501D7">
            <w:pPr>
              <w:spacing w:after="0"/>
              <w:jc w:val="center"/>
              <w:rPr>
                <w:rFonts w:ascii="Times New Roman" w:hAnsi="Times New Roman"/>
                <w:sz w:val="26"/>
                <w:szCs w:val="26"/>
              </w:rPr>
            </w:pPr>
            <w:r w:rsidRPr="002121B4">
              <w:rPr>
                <w:rFonts w:ascii="Times New Roman" w:hAnsi="Times New Roman"/>
                <w:sz w:val="26"/>
                <w:szCs w:val="26"/>
              </w:rPr>
              <w:t>2020</w:t>
            </w:r>
          </w:p>
        </w:tc>
        <w:tc>
          <w:tcPr>
            <w:tcW w:w="353" w:type="pct"/>
            <w:shd w:val="clear" w:color="auto" w:fill="FFFFFF"/>
            <w:vAlign w:val="center"/>
          </w:tcPr>
          <w:p w:rsidR="004616EA" w:rsidRPr="002121B4" w:rsidRDefault="004616EA" w:rsidP="000501D7">
            <w:pPr>
              <w:spacing w:after="0"/>
              <w:jc w:val="center"/>
              <w:rPr>
                <w:rFonts w:ascii="Times New Roman" w:hAnsi="Times New Roman"/>
                <w:sz w:val="26"/>
                <w:szCs w:val="26"/>
              </w:rPr>
            </w:pPr>
            <w:r w:rsidRPr="002121B4">
              <w:rPr>
                <w:rFonts w:ascii="Times New Roman" w:hAnsi="Times New Roman"/>
                <w:sz w:val="26"/>
                <w:szCs w:val="26"/>
              </w:rPr>
              <w:t>2025</w:t>
            </w:r>
          </w:p>
        </w:tc>
        <w:tc>
          <w:tcPr>
            <w:tcW w:w="383" w:type="pct"/>
            <w:shd w:val="clear" w:color="auto" w:fill="FFFFFF"/>
            <w:vAlign w:val="center"/>
          </w:tcPr>
          <w:p w:rsidR="004616EA" w:rsidRPr="002121B4" w:rsidRDefault="004616EA" w:rsidP="000501D7">
            <w:pPr>
              <w:spacing w:after="0"/>
              <w:jc w:val="center"/>
              <w:rPr>
                <w:rFonts w:ascii="Times New Roman" w:hAnsi="Times New Roman"/>
                <w:sz w:val="26"/>
                <w:szCs w:val="26"/>
              </w:rPr>
            </w:pPr>
            <w:r w:rsidRPr="002121B4">
              <w:rPr>
                <w:rFonts w:ascii="Times New Roman" w:hAnsi="Times New Roman"/>
                <w:sz w:val="26"/>
                <w:szCs w:val="26"/>
              </w:rPr>
              <w:t>2030</w:t>
            </w:r>
          </w:p>
        </w:tc>
      </w:tr>
      <w:tr w:rsidR="004616EA" w:rsidRPr="002121B4" w:rsidTr="002121B4">
        <w:trPr>
          <w:trHeight w:val="391"/>
        </w:trPr>
        <w:tc>
          <w:tcPr>
            <w:tcW w:w="5000" w:type="pct"/>
            <w:gridSpan w:val="10"/>
            <w:shd w:val="clear" w:color="auto" w:fill="FFFFFF"/>
            <w:noWrap/>
            <w:vAlign w:val="center"/>
          </w:tcPr>
          <w:p w:rsidR="004616EA" w:rsidRPr="002121B4" w:rsidRDefault="004616EA" w:rsidP="000501D7">
            <w:pPr>
              <w:spacing w:after="0"/>
              <w:rPr>
                <w:rFonts w:ascii="Times New Roman" w:hAnsi="Times New Roman"/>
                <w:b/>
                <w:sz w:val="26"/>
                <w:szCs w:val="26"/>
              </w:rPr>
            </w:pPr>
            <w:r w:rsidRPr="002121B4">
              <w:rPr>
                <w:rFonts w:ascii="Times New Roman" w:hAnsi="Times New Roman"/>
                <w:b/>
                <w:sz w:val="26"/>
                <w:szCs w:val="26"/>
              </w:rPr>
              <w:t>Приоритет 1. Повышение эффективности и конкурентоспособности экономики</w:t>
            </w:r>
          </w:p>
        </w:tc>
      </w:tr>
      <w:tr w:rsidR="004616EA" w:rsidRPr="002121B4" w:rsidTr="002121B4">
        <w:trPr>
          <w:trHeight w:val="391"/>
        </w:trPr>
        <w:tc>
          <w:tcPr>
            <w:tcW w:w="285" w:type="pct"/>
            <w:shd w:val="clear" w:color="auto" w:fill="FFFFFF"/>
            <w:noWrap/>
            <w:vAlign w:val="center"/>
          </w:tcPr>
          <w:p w:rsidR="004616EA" w:rsidRPr="002121B4" w:rsidRDefault="004616EA" w:rsidP="000501D7">
            <w:pPr>
              <w:spacing w:after="0"/>
              <w:jc w:val="center"/>
              <w:rPr>
                <w:rFonts w:ascii="Times New Roman" w:hAnsi="Times New Roman"/>
                <w:b/>
                <w:sz w:val="26"/>
                <w:szCs w:val="26"/>
              </w:rPr>
            </w:pPr>
            <w:r w:rsidRPr="002121B4">
              <w:rPr>
                <w:rFonts w:ascii="Times New Roman" w:hAnsi="Times New Roman"/>
                <w:b/>
                <w:sz w:val="26"/>
                <w:szCs w:val="26"/>
              </w:rPr>
              <w:t>1.1</w:t>
            </w:r>
          </w:p>
        </w:tc>
        <w:tc>
          <w:tcPr>
            <w:tcW w:w="4715" w:type="pct"/>
            <w:gridSpan w:val="9"/>
            <w:shd w:val="clear" w:color="auto" w:fill="FFFFFF"/>
            <w:vAlign w:val="center"/>
          </w:tcPr>
          <w:p w:rsidR="004616EA" w:rsidRPr="002121B4" w:rsidRDefault="004616EA" w:rsidP="000501D7">
            <w:pPr>
              <w:spacing w:after="0"/>
              <w:rPr>
                <w:rFonts w:ascii="Times New Roman" w:hAnsi="Times New Roman"/>
                <w:b/>
                <w:sz w:val="26"/>
                <w:szCs w:val="26"/>
              </w:rPr>
            </w:pPr>
            <w:r w:rsidRPr="002121B4">
              <w:rPr>
                <w:rFonts w:ascii="Times New Roman" w:hAnsi="Times New Roman"/>
                <w:b/>
                <w:sz w:val="26"/>
                <w:szCs w:val="26"/>
              </w:rPr>
              <w:t>Цель 1. Повышение инвестиционной привлекательности городского округа город Когалым</w:t>
            </w:r>
          </w:p>
        </w:tc>
      </w:tr>
      <w:tr w:rsidR="004616EA" w:rsidRPr="002121B4" w:rsidTr="002121B4">
        <w:trPr>
          <w:trHeight w:val="391"/>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1.1.1</w:t>
            </w:r>
          </w:p>
        </w:tc>
        <w:tc>
          <w:tcPr>
            <w:tcW w:w="1417" w:type="pct"/>
            <w:shd w:val="clear" w:color="auto" w:fill="FFFFFF"/>
            <w:vAlign w:val="center"/>
          </w:tcPr>
          <w:p w:rsidR="004616EA" w:rsidRPr="002121B4" w:rsidRDefault="004616EA" w:rsidP="00961F56">
            <w:pPr>
              <w:spacing w:after="0"/>
              <w:jc w:val="both"/>
              <w:rPr>
                <w:rFonts w:ascii="Times New Roman" w:hAnsi="Times New Roman"/>
                <w:sz w:val="26"/>
                <w:szCs w:val="26"/>
              </w:rPr>
            </w:pPr>
            <w:r w:rsidRPr="002121B4">
              <w:rPr>
                <w:rFonts w:ascii="Times New Roman" w:hAnsi="Times New Roman"/>
                <w:sz w:val="26"/>
                <w:szCs w:val="26"/>
              </w:rPr>
              <w:t>Объем инвестиций в основной капитал за счет всех источников финансирования (в действующих ценах каждого года)</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млн руб.</w:t>
            </w:r>
          </w:p>
        </w:tc>
        <w:tc>
          <w:tcPr>
            <w:tcW w:w="342"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15086,6</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14191,2</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14990,6</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16146,4</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19383,3</w:t>
            </w:r>
          </w:p>
        </w:tc>
        <w:tc>
          <w:tcPr>
            <w:tcW w:w="35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22872,4</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26989,4</w:t>
            </w:r>
          </w:p>
        </w:tc>
      </w:tr>
      <w:tr w:rsidR="004616EA" w:rsidRPr="002121B4" w:rsidTr="002121B4">
        <w:trPr>
          <w:trHeight w:val="526"/>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1.2</w:t>
            </w:r>
          </w:p>
        </w:tc>
        <w:tc>
          <w:tcPr>
            <w:tcW w:w="4715" w:type="pct"/>
            <w:gridSpan w:val="9"/>
            <w:shd w:val="clear" w:color="auto" w:fill="FFFFFF"/>
            <w:vAlign w:val="center"/>
          </w:tcPr>
          <w:p w:rsidR="004616EA" w:rsidRPr="002121B4" w:rsidRDefault="004616EA" w:rsidP="00961F56">
            <w:pPr>
              <w:spacing w:after="0"/>
              <w:rPr>
                <w:rFonts w:ascii="Times New Roman" w:hAnsi="Times New Roman"/>
                <w:b/>
                <w:sz w:val="26"/>
                <w:szCs w:val="26"/>
              </w:rPr>
            </w:pPr>
            <w:r w:rsidRPr="002121B4">
              <w:rPr>
                <w:rFonts w:ascii="Times New Roman" w:hAnsi="Times New Roman"/>
                <w:b/>
                <w:sz w:val="26"/>
                <w:szCs w:val="26"/>
              </w:rPr>
              <w:t>Цель 2. Диверсификация экономики городского округа</w:t>
            </w:r>
          </w:p>
        </w:tc>
      </w:tr>
      <w:tr w:rsidR="004616EA" w:rsidRPr="002121B4" w:rsidTr="002121B4">
        <w:trPr>
          <w:trHeight w:val="481"/>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1.2.1</w:t>
            </w:r>
          </w:p>
        </w:tc>
        <w:tc>
          <w:tcPr>
            <w:tcW w:w="1417" w:type="pct"/>
            <w:shd w:val="clear" w:color="auto" w:fill="FFFFFF"/>
            <w:vAlign w:val="center"/>
          </w:tcPr>
          <w:p w:rsidR="004616EA" w:rsidRPr="002121B4" w:rsidRDefault="004616EA" w:rsidP="00AB0A54">
            <w:pPr>
              <w:spacing w:after="0"/>
              <w:jc w:val="both"/>
              <w:rPr>
                <w:rFonts w:ascii="Times New Roman" w:hAnsi="Times New Roman"/>
                <w:sz w:val="26"/>
                <w:szCs w:val="26"/>
              </w:rPr>
            </w:pPr>
            <w:r w:rsidRPr="002121B4">
              <w:rPr>
                <w:rFonts w:ascii="Times New Roman" w:hAnsi="Times New Roman"/>
                <w:sz w:val="26"/>
                <w:szCs w:val="26"/>
              </w:rPr>
              <w:t>Объем отгруженных товаров собственного производства, выполненных работ и услуг по полному кругу предприятий</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млн руб.</w:t>
            </w:r>
          </w:p>
        </w:tc>
        <w:tc>
          <w:tcPr>
            <w:tcW w:w="342"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25425,1</w:t>
            </w:r>
          </w:p>
        </w:tc>
        <w:tc>
          <w:tcPr>
            <w:tcW w:w="342"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27382,3</w:t>
            </w:r>
          </w:p>
        </w:tc>
        <w:tc>
          <w:tcPr>
            <w:tcW w:w="383"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29489,7</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31848,6</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35623,9</w:t>
            </w:r>
          </w:p>
        </w:tc>
        <w:tc>
          <w:tcPr>
            <w:tcW w:w="35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37673,6</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39766,7</w:t>
            </w:r>
          </w:p>
        </w:tc>
      </w:tr>
      <w:tr w:rsidR="004616EA" w:rsidRPr="002121B4" w:rsidTr="002121B4">
        <w:trPr>
          <w:trHeight w:val="238"/>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p>
        </w:tc>
        <w:tc>
          <w:tcPr>
            <w:tcW w:w="1417" w:type="pct"/>
            <w:shd w:val="clear" w:color="auto" w:fill="FFFFFF"/>
            <w:vAlign w:val="center"/>
          </w:tcPr>
          <w:p w:rsidR="004616EA" w:rsidRPr="002121B4" w:rsidRDefault="004616EA" w:rsidP="00961F56">
            <w:pPr>
              <w:spacing w:line="240" w:lineRule="auto"/>
              <w:rPr>
                <w:rFonts w:ascii="Times New Roman" w:hAnsi="Times New Roman"/>
                <w:sz w:val="26"/>
                <w:szCs w:val="26"/>
              </w:rPr>
            </w:pPr>
            <w:r w:rsidRPr="002121B4">
              <w:rPr>
                <w:rFonts w:ascii="Times New Roman" w:hAnsi="Times New Roman"/>
                <w:sz w:val="26"/>
                <w:szCs w:val="26"/>
              </w:rPr>
              <w:t>добыча полезных ископаемых</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rPr>
            </w:pPr>
          </w:p>
        </w:tc>
        <w:tc>
          <w:tcPr>
            <w:tcW w:w="342"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11636,7</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11171,3</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11300</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11763,3</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12391,8</w:t>
            </w:r>
          </w:p>
        </w:tc>
        <w:tc>
          <w:tcPr>
            <w:tcW w:w="35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12763,6</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13146,5</w:t>
            </w:r>
          </w:p>
        </w:tc>
      </w:tr>
      <w:tr w:rsidR="004616EA" w:rsidRPr="002121B4" w:rsidTr="002121B4">
        <w:trPr>
          <w:trHeight w:val="300"/>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p>
        </w:tc>
        <w:tc>
          <w:tcPr>
            <w:tcW w:w="1417" w:type="pct"/>
            <w:shd w:val="clear" w:color="auto" w:fill="FFFFFF"/>
            <w:vAlign w:val="center"/>
          </w:tcPr>
          <w:p w:rsidR="004616EA" w:rsidRPr="002121B4" w:rsidRDefault="004616EA" w:rsidP="00961F56">
            <w:pPr>
              <w:spacing w:line="240" w:lineRule="auto"/>
              <w:rPr>
                <w:rFonts w:ascii="Times New Roman" w:hAnsi="Times New Roman"/>
                <w:sz w:val="26"/>
                <w:szCs w:val="26"/>
              </w:rPr>
            </w:pPr>
            <w:r w:rsidRPr="002121B4">
              <w:rPr>
                <w:rFonts w:ascii="Times New Roman" w:hAnsi="Times New Roman"/>
                <w:sz w:val="26"/>
                <w:szCs w:val="26"/>
              </w:rPr>
              <w:t>обрабатывающее производство</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rPr>
            </w:pPr>
          </w:p>
        </w:tc>
        <w:tc>
          <w:tcPr>
            <w:tcW w:w="342"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5398,6</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5625,3</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6013,46</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6368,25</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7546,2</w:t>
            </w:r>
          </w:p>
        </w:tc>
        <w:tc>
          <w:tcPr>
            <w:tcW w:w="35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8753,6</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9979,1</w:t>
            </w:r>
          </w:p>
        </w:tc>
      </w:tr>
      <w:tr w:rsidR="004616EA" w:rsidRPr="002121B4" w:rsidTr="002121B4">
        <w:trPr>
          <w:trHeight w:val="421"/>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p>
        </w:tc>
        <w:tc>
          <w:tcPr>
            <w:tcW w:w="1417" w:type="pct"/>
            <w:shd w:val="clear" w:color="auto" w:fill="FFFFFF"/>
            <w:vAlign w:val="center"/>
          </w:tcPr>
          <w:p w:rsidR="004616EA" w:rsidRPr="002121B4" w:rsidRDefault="004616EA" w:rsidP="00961F56">
            <w:pPr>
              <w:spacing w:line="240" w:lineRule="auto"/>
              <w:rPr>
                <w:rFonts w:ascii="Times New Roman" w:hAnsi="Times New Roman"/>
                <w:sz w:val="26"/>
                <w:szCs w:val="26"/>
              </w:rPr>
            </w:pPr>
            <w:r w:rsidRPr="002121B4">
              <w:rPr>
                <w:rFonts w:ascii="Times New Roman" w:hAnsi="Times New Roman"/>
                <w:sz w:val="26"/>
                <w:szCs w:val="26"/>
              </w:rPr>
              <w:t>производство и распределение электроэнергии, газа и воды</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rPr>
            </w:pPr>
          </w:p>
        </w:tc>
        <w:tc>
          <w:tcPr>
            <w:tcW w:w="342"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8389,8</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10585,7</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12176,28</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13717,09</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15685,9</w:t>
            </w:r>
          </w:p>
        </w:tc>
        <w:tc>
          <w:tcPr>
            <w:tcW w:w="35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16156,5</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16641,2</w:t>
            </w:r>
          </w:p>
        </w:tc>
      </w:tr>
      <w:tr w:rsidR="004616EA" w:rsidRPr="002121B4" w:rsidTr="002121B4">
        <w:trPr>
          <w:trHeight w:val="300"/>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1.3</w:t>
            </w:r>
          </w:p>
        </w:tc>
        <w:tc>
          <w:tcPr>
            <w:tcW w:w="4715" w:type="pct"/>
            <w:gridSpan w:val="9"/>
            <w:shd w:val="clear" w:color="auto" w:fill="FFFFFF"/>
            <w:vAlign w:val="center"/>
          </w:tcPr>
          <w:p w:rsidR="004616EA" w:rsidRPr="002121B4" w:rsidRDefault="004616EA" w:rsidP="00961F56">
            <w:pPr>
              <w:spacing w:after="0"/>
              <w:rPr>
                <w:rFonts w:ascii="Times New Roman" w:hAnsi="Times New Roman"/>
                <w:b/>
                <w:sz w:val="26"/>
                <w:szCs w:val="26"/>
              </w:rPr>
            </w:pPr>
            <w:r w:rsidRPr="002121B4">
              <w:rPr>
                <w:rFonts w:ascii="Times New Roman" w:hAnsi="Times New Roman"/>
                <w:b/>
                <w:sz w:val="26"/>
                <w:szCs w:val="26"/>
              </w:rPr>
              <w:t>Цель 3. Кластерное развитие основных отраслей</w:t>
            </w:r>
          </w:p>
        </w:tc>
      </w:tr>
      <w:tr w:rsidR="004616EA" w:rsidRPr="002121B4" w:rsidTr="002121B4">
        <w:trPr>
          <w:trHeight w:val="514"/>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1.3.1</w:t>
            </w:r>
          </w:p>
        </w:tc>
        <w:tc>
          <w:tcPr>
            <w:tcW w:w="1417" w:type="pct"/>
            <w:shd w:val="clear" w:color="auto" w:fill="FFFFFF"/>
            <w:vAlign w:val="center"/>
          </w:tcPr>
          <w:p w:rsidR="004616EA" w:rsidRPr="002121B4" w:rsidRDefault="004616EA" w:rsidP="00961F56">
            <w:pPr>
              <w:spacing w:after="0"/>
              <w:jc w:val="both"/>
              <w:rPr>
                <w:rFonts w:ascii="Times New Roman" w:hAnsi="Times New Roman"/>
                <w:sz w:val="26"/>
                <w:szCs w:val="26"/>
              </w:rPr>
            </w:pPr>
            <w:r w:rsidRPr="002121B4">
              <w:rPr>
                <w:rFonts w:ascii="Times New Roman" w:hAnsi="Times New Roman"/>
                <w:sz w:val="26"/>
                <w:szCs w:val="26"/>
              </w:rPr>
              <w:t xml:space="preserve">Объем производства продукции сельского хозяйства </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млн руб.</w:t>
            </w:r>
          </w:p>
        </w:tc>
        <w:tc>
          <w:tcPr>
            <w:tcW w:w="342"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29,0</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31,1</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32,7</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33,8</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35,0</w:t>
            </w:r>
          </w:p>
        </w:tc>
        <w:tc>
          <w:tcPr>
            <w:tcW w:w="35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36,0</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37,1</w:t>
            </w:r>
          </w:p>
        </w:tc>
      </w:tr>
    </w:tbl>
    <w:p w:rsidR="004616EA" w:rsidRDefault="004616EA">
      <w:pPr>
        <w:sectPr w:rsidR="004616EA" w:rsidSect="00461CB8">
          <w:pgSz w:w="16838" w:h="11906" w:orient="landscape"/>
          <w:pgMar w:top="2552" w:right="567" w:bottom="567" w:left="567" w:header="709" w:footer="709" w:gutter="0"/>
          <w:cols w:space="708"/>
          <w:docGrid w:linePitch="360"/>
        </w:sectPr>
      </w:pPr>
    </w:p>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8"/>
        <w:gridCol w:w="4512"/>
        <w:gridCol w:w="2452"/>
        <w:gridCol w:w="1089"/>
        <w:gridCol w:w="1089"/>
        <w:gridCol w:w="1219"/>
        <w:gridCol w:w="1219"/>
        <w:gridCol w:w="1089"/>
        <w:gridCol w:w="1124"/>
        <w:gridCol w:w="1219"/>
      </w:tblGrid>
      <w:tr w:rsidR="004616EA" w:rsidRPr="002121B4" w:rsidTr="002121B4">
        <w:trPr>
          <w:trHeight w:val="511"/>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1.4</w:t>
            </w:r>
          </w:p>
        </w:tc>
        <w:tc>
          <w:tcPr>
            <w:tcW w:w="4715" w:type="pct"/>
            <w:gridSpan w:val="9"/>
            <w:shd w:val="clear" w:color="auto" w:fill="FFFFFF"/>
            <w:vAlign w:val="center"/>
          </w:tcPr>
          <w:p w:rsidR="004616EA" w:rsidRPr="002121B4" w:rsidRDefault="004616EA" w:rsidP="00961F56">
            <w:pPr>
              <w:spacing w:after="0"/>
              <w:rPr>
                <w:rFonts w:ascii="Times New Roman" w:hAnsi="Times New Roman"/>
                <w:b/>
                <w:sz w:val="26"/>
                <w:szCs w:val="26"/>
              </w:rPr>
            </w:pPr>
            <w:r w:rsidRPr="002121B4">
              <w:rPr>
                <w:rFonts w:ascii="Times New Roman" w:hAnsi="Times New Roman"/>
                <w:b/>
                <w:sz w:val="26"/>
                <w:szCs w:val="26"/>
              </w:rPr>
              <w:t>Цель 4. Создание условий для развития и поддержки субъектов малого и среднего предпринимательства</w:t>
            </w:r>
          </w:p>
        </w:tc>
      </w:tr>
      <w:tr w:rsidR="004616EA" w:rsidRPr="002121B4" w:rsidTr="002121B4">
        <w:trPr>
          <w:trHeight w:val="421"/>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1.4.1</w:t>
            </w:r>
          </w:p>
        </w:tc>
        <w:tc>
          <w:tcPr>
            <w:tcW w:w="1417" w:type="pct"/>
            <w:shd w:val="clear" w:color="auto" w:fill="FFFFFF"/>
            <w:vAlign w:val="center"/>
          </w:tcPr>
          <w:p w:rsidR="004616EA" w:rsidRPr="002121B4" w:rsidRDefault="004616EA" w:rsidP="00961F56">
            <w:pPr>
              <w:spacing w:after="0"/>
              <w:jc w:val="both"/>
              <w:rPr>
                <w:rFonts w:ascii="Times New Roman" w:hAnsi="Times New Roman"/>
                <w:sz w:val="26"/>
                <w:szCs w:val="26"/>
              </w:rPr>
            </w:pPr>
            <w:r w:rsidRPr="002121B4">
              <w:rPr>
                <w:rFonts w:ascii="Times New Roman" w:hAnsi="Times New Roman"/>
                <w:sz w:val="26"/>
                <w:szCs w:val="26"/>
              </w:rPr>
              <w:t>Удельный вес занятых в малом бизнесе от всех занятых в городской экономике</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23</w:t>
            </w:r>
          </w:p>
        </w:tc>
        <w:tc>
          <w:tcPr>
            <w:tcW w:w="342"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24</w:t>
            </w:r>
          </w:p>
        </w:tc>
        <w:tc>
          <w:tcPr>
            <w:tcW w:w="38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25</w:t>
            </w:r>
          </w:p>
        </w:tc>
        <w:tc>
          <w:tcPr>
            <w:tcW w:w="38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26</w:t>
            </w:r>
          </w:p>
        </w:tc>
        <w:tc>
          <w:tcPr>
            <w:tcW w:w="342"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27</w:t>
            </w:r>
          </w:p>
        </w:tc>
        <w:tc>
          <w:tcPr>
            <w:tcW w:w="35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28</w:t>
            </w:r>
          </w:p>
        </w:tc>
        <w:tc>
          <w:tcPr>
            <w:tcW w:w="38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28</w:t>
            </w:r>
          </w:p>
        </w:tc>
      </w:tr>
      <w:tr w:rsidR="004616EA" w:rsidRPr="002121B4" w:rsidTr="002121B4">
        <w:trPr>
          <w:trHeight w:val="513"/>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1.5</w:t>
            </w:r>
          </w:p>
        </w:tc>
        <w:tc>
          <w:tcPr>
            <w:tcW w:w="4715" w:type="pct"/>
            <w:gridSpan w:val="9"/>
            <w:shd w:val="clear" w:color="auto" w:fill="FFFFFF"/>
            <w:vAlign w:val="center"/>
          </w:tcPr>
          <w:p w:rsidR="004616EA" w:rsidRPr="002121B4" w:rsidRDefault="004616EA" w:rsidP="00961F56">
            <w:pPr>
              <w:spacing w:after="0"/>
              <w:rPr>
                <w:rFonts w:ascii="Times New Roman" w:hAnsi="Times New Roman"/>
                <w:b/>
                <w:sz w:val="26"/>
                <w:szCs w:val="26"/>
              </w:rPr>
            </w:pPr>
            <w:r w:rsidRPr="002121B4">
              <w:rPr>
                <w:rFonts w:ascii="Times New Roman" w:hAnsi="Times New Roman"/>
                <w:b/>
                <w:sz w:val="26"/>
                <w:szCs w:val="26"/>
              </w:rPr>
              <w:t>Цель 5. Развитие потребительского рынка</w:t>
            </w:r>
          </w:p>
        </w:tc>
      </w:tr>
      <w:tr w:rsidR="004616EA" w:rsidRPr="002121B4" w:rsidTr="002121B4">
        <w:trPr>
          <w:trHeight w:val="691"/>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1.5.1</w:t>
            </w:r>
          </w:p>
        </w:tc>
        <w:tc>
          <w:tcPr>
            <w:tcW w:w="1417" w:type="pct"/>
            <w:shd w:val="clear" w:color="auto" w:fill="FFFFFF"/>
            <w:vAlign w:val="center"/>
          </w:tcPr>
          <w:p w:rsidR="004616EA" w:rsidRPr="002121B4" w:rsidRDefault="004616EA" w:rsidP="00961F56">
            <w:pPr>
              <w:spacing w:after="0"/>
              <w:rPr>
                <w:rFonts w:ascii="Times New Roman" w:hAnsi="Times New Roman"/>
                <w:sz w:val="26"/>
                <w:szCs w:val="26"/>
              </w:rPr>
            </w:pPr>
            <w:r w:rsidRPr="002121B4">
              <w:rPr>
                <w:rFonts w:ascii="Times New Roman" w:hAnsi="Times New Roman"/>
                <w:sz w:val="26"/>
                <w:szCs w:val="26"/>
              </w:rPr>
              <w:t>Объем платных услуг населению</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млн руб.</w:t>
            </w:r>
          </w:p>
        </w:tc>
        <w:tc>
          <w:tcPr>
            <w:tcW w:w="342"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3163,3</w:t>
            </w:r>
          </w:p>
        </w:tc>
        <w:tc>
          <w:tcPr>
            <w:tcW w:w="342"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3394,2</w:t>
            </w:r>
          </w:p>
        </w:tc>
        <w:tc>
          <w:tcPr>
            <w:tcW w:w="383"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3608,06</w:t>
            </w:r>
          </w:p>
        </w:tc>
        <w:tc>
          <w:tcPr>
            <w:tcW w:w="383"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3831,76</w:t>
            </w:r>
          </w:p>
        </w:tc>
        <w:tc>
          <w:tcPr>
            <w:tcW w:w="342"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4619,0</w:t>
            </w:r>
          </w:p>
        </w:tc>
        <w:tc>
          <w:tcPr>
            <w:tcW w:w="353"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5173,2</w:t>
            </w:r>
          </w:p>
        </w:tc>
        <w:tc>
          <w:tcPr>
            <w:tcW w:w="383"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5794,0</w:t>
            </w:r>
          </w:p>
        </w:tc>
      </w:tr>
      <w:tr w:rsidR="004616EA" w:rsidRPr="002121B4" w:rsidTr="002121B4">
        <w:trPr>
          <w:trHeight w:val="412"/>
        </w:trPr>
        <w:tc>
          <w:tcPr>
            <w:tcW w:w="5000" w:type="pct"/>
            <w:gridSpan w:val="10"/>
            <w:shd w:val="clear" w:color="auto" w:fill="FFFFFF"/>
            <w:noWrap/>
            <w:vAlign w:val="center"/>
          </w:tcPr>
          <w:p w:rsidR="004616EA" w:rsidRPr="002121B4" w:rsidRDefault="004616EA" w:rsidP="00961F56">
            <w:pPr>
              <w:spacing w:after="0"/>
              <w:rPr>
                <w:rFonts w:ascii="Times New Roman" w:hAnsi="Times New Roman"/>
                <w:b/>
                <w:sz w:val="26"/>
                <w:szCs w:val="26"/>
              </w:rPr>
            </w:pPr>
            <w:r w:rsidRPr="002121B4">
              <w:rPr>
                <w:rFonts w:ascii="Times New Roman" w:hAnsi="Times New Roman"/>
                <w:b/>
                <w:sz w:val="26"/>
                <w:szCs w:val="26"/>
              </w:rPr>
              <w:t>Приоритет 2. Развитие человеческого капитала</w:t>
            </w:r>
          </w:p>
        </w:tc>
      </w:tr>
      <w:tr w:rsidR="004616EA" w:rsidRPr="002121B4" w:rsidTr="002121B4">
        <w:trPr>
          <w:trHeight w:val="422"/>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2.1</w:t>
            </w:r>
          </w:p>
        </w:tc>
        <w:tc>
          <w:tcPr>
            <w:tcW w:w="4715" w:type="pct"/>
            <w:gridSpan w:val="9"/>
            <w:shd w:val="clear" w:color="auto" w:fill="FFFFFF"/>
            <w:vAlign w:val="center"/>
          </w:tcPr>
          <w:p w:rsidR="004616EA" w:rsidRPr="002121B4" w:rsidRDefault="004616EA" w:rsidP="00961F56">
            <w:pPr>
              <w:spacing w:after="0"/>
              <w:rPr>
                <w:rFonts w:ascii="Times New Roman" w:hAnsi="Times New Roman"/>
                <w:b/>
                <w:sz w:val="26"/>
                <w:szCs w:val="26"/>
              </w:rPr>
            </w:pPr>
            <w:r w:rsidRPr="002121B4">
              <w:rPr>
                <w:rFonts w:ascii="Times New Roman" w:hAnsi="Times New Roman"/>
                <w:b/>
                <w:sz w:val="26"/>
                <w:szCs w:val="26"/>
              </w:rPr>
              <w:t>Цель 1. Улучшение демографической ситуации</w:t>
            </w:r>
          </w:p>
        </w:tc>
      </w:tr>
      <w:tr w:rsidR="004616EA" w:rsidRPr="002121B4" w:rsidTr="002121B4">
        <w:trPr>
          <w:trHeight w:val="586"/>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2.1.1</w:t>
            </w:r>
          </w:p>
        </w:tc>
        <w:tc>
          <w:tcPr>
            <w:tcW w:w="1417" w:type="pct"/>
            <w:shd w:val="clear" w:color="auto" w:fill="FFFFFF"/>
            <w:vAlign w:val="bottom"/>
          </w:tcPr>
          <w:p w:rsidR="004616EA" w:rsidRPr="002121B4" w:rsidRDefault="004616EA" w:rsidP="00961F56">
            <w:pPr>
              <w:rPr>
                <w:rFonts w:ascii="Times New Roman" w:hAnsi="Times New Roman"/>
                <w:sz w:val="26"/>
                <w:szCs w:val="26"/>
              </w:rPr>
            </w:pPr>
            <w:r w:rsidRPr="002121B4">
              <w:rPr>
                <w:rFonts w:ascii="Times New Roman" w:hAnsi="Times New Roman"/>
                <w:sz w:val="26"/>
                <w:szCs w:val="26"/>
              </w:rPr>
              <w:t>Численность постоянного населения (на конец года)</w:t>
            </w:r>
          </w:p>
        </w:tc>
        <w:tc>
          <w:tcPr>
            <w:tcW w:w="770"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тыс. чел.</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61,1</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62,2</w:t>
            </w:r>
          </w:p>
        </w:tc>
        <w:tc>
          <w:tcPr>
            <w:tcW w:w="383"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63,3</w:t>
            </w:r>
          </w:p>
        </w:tc>
        <w:tc>
          <w:tcPr>
            <w:tcW w:w="383"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64,4</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67,9</w:t>
            </w:r>
          </w:p>
        </w:tc>
        <w:tc>
          <w:tcPr>
            <w:tcW w:w="353"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70,1</w:t>
            </w:r>
          </w:p>
        </w:tc>
        <w:tc>
          <w:tcPr>
            <w:tcW w:w="383"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71,7</w:t>
            </w:r>
          </w:p>
        </w:tc>
      </w:tr>
      <w:tr w:rsidR="004616EA" w:rsidRPr="002121B4" w:rsidTr="002121B4">
        <w:trPr>
          <w:trHeight w:val="301"/>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2.2</w:t>
            </w:r>
          </w:p>
        </w:tc>
        <w:tc>
          <w:tcPr>
            <w:tcW w:w="4715" w:type="pct"/>
            <w:gridSpan w:val="9"/>
            <w:shd w:val="clear" w:color="auto" w:fill="FFFFFF"/>
            <w:vAlign w:val="center"/>
          </w:tcPr>
          <w:p w:rsidR="004616EA" w:rsidRPr="002121B4" w:rsidRDefault="004616EA" w:rsidP="00961F56">
            <w:pPr>
              <w:rPr>
                <w:rFonts w:ascii="Times New Roman" w:hAnsi="Times New Roman"/>
                <w:b/>
                <w:sz w:val="26"/>
                <w:szCs w:val="26"/>
              </w:rPr>
            </w:pPr>
            <w:r w:rsidRPr="002121B4">
              <w:rPr>
                <w:rFonts w:ascii="Times New Roman" w:hAnsi="Times New Roman"/>
                <w:b/>
                <w:sz w:val="26"/>
                <w:szCs w:val="26"/>
              </w:rPr>
              <w:t>Цель 2. Развитие жилищной сферы</w:t>
            </w:r>
          </w:p>
        </w:tc>
      </w:tr>
      <w:tr w:rsidR="004616EA" w:rsidRPr="002121B4" w:rsidTr="002121B4">
        <w:trPr>
          <w:trHeight w:val="621"/>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2.2.1</w:t>
            </w:r>
          </w:p>
        </w:tc>
        <w:tc>
          <w:tcPr>
            <w:tcW w:w="1417" w:type="pct"/>
            <w:shd w:val="clear" w:color="auto" w:fill="FFFFFF"/>
            <w:vAlign w:val="center"/>
          </w:tcPr>
          <w:p w:rsidR="004616EA" w:rsidRPr="002121B4" w:rsidRDefault="004616EA" w:rsidP="00961F56">
            <w:pPr>
              <w:rPr>
                <w:rFonts w:ascii="Times New Roman" w:hAnsi="Times New Roman"/>
                <w:sz w:val="26"/>
                <w:szCs w:val="26"/>
              </w:rPr>
            </w:pPr>
            <w:r w:rsidRPr="002121B4">
              <w:rPr>
                <w:rFonts w:ascii="Times New Roman" w:hAnsi="Times New Roman"/>
                <w:sz w:val="26"/>
                <w:szCs w:val="26"/>
              </w:rPr>
              <w:t>Общая площадь жилых помещений, приходящаяся в среднем на одного жителя</w:t>
            </w:r>
          </w:p>
        </w:tc>
        <w:tc>
          <w:tcPr>
            <w:tcW w:w="770"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кв. м на человека</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16,6</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17,2</w:t>
            </w:r>
          </w:p>
        </w:tc>
        <w:tc>
          <w:tcPr>
            <w:tcW w:w="383"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17,8</w:t>
            </w:r>
          </w:p>
        </w:tc>
        <w:tc>
          <w:tcPr>
            <w:tcW w:w="383"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18,4</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20,9</w:t>
            </w:r>
          </w:p>
        </w:tc>
        <w:tc>
          <w:tcPr>
            <w:tcW w:w="353"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23,9</w:t>
            </w:r>
          </w:p>
        </w:tc>
        <w:tc>
          <w:tcPr>
            <w:tcW w:w="383"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27,0</w:t>
            </w:r>
          </w:p>
        </w:tc>
      </w:tr>
      <w:tr w:rsidR="004616EA" w:rsidRPr="002121B4" w:rsidTr="002121B4">
        <w:trPr>
          <w:trHeight w:val="491"/>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2.3</w:t>
            </w:r>
          </w:p>
        </w:tc>
        <w:tc>
          <w:tcPr>
            <w:tcW w:w="4715" w:type="pct"/>
            <w:gridSpan w:val="9"/>
            <w:shd w:val="clear" w:color="auto" w:fill="FFFFFF"/>
            <w:vAlign w:val="center"/>
          </w:tcPr>
          <w:p w:rsidR="004616EA" w:rsidRPr="002121B4" w:rsidRDefault="004616EA" w:rsidP="00961F56">
            <w:pPr>
              <w:spacing w:after="0"/>
              <w:rPr>
                <w:rFonts w:ascii="Times New Roman" w:hAnsi="Times New Roman"/>
                <w:b/>
                <w:sz w:val="26"/>
                <w:szCs w:val="26"/>
              </w:rPr>
            </w:pPr>
            <w:r w:rsidRPr="002121B4">
              <w:rPr>
                <w:rFonts w:ascii="Times New Roman" w:hAnsi="Times New Roman"/>
                <w:b/>
                <w:sz w:val="26"/>
                <w:szCs w:val="26"/>
              </w:rPr>
              <w:t>Цель 3. Улучшение уровня и качества жизни населения</w:t>
            </w:r>
          </w:p>
        </w:tc>
      </w:tr>
      <w:tr w:rsidR="004616EA" w:rsidRPr="002121B4" w:rsidTr="002121B4">
        <w:trPr>
          <w:trHeight w:val="413"/>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lang w:val="en-US"/>
              </w:rPr>
            </w:pPr>
            <w:r w:rsidRPr="002121B4">
              <w:rPr>
                <w:rFonts w:ascii="Times New Roman" w:hAnsi="Times New Roman"/>
                <w:sz w:val="26"/>
                <w:szCs w:val="26"/>
                <w:lang w:val="en-US"/>
              </w:rPr>
              <w:t>2.3.1</w:t>
            </w:r>
          </w:p>
        </w:tc>
        <w:tc>
          <w:tcPr>
            <w:tcW w:w="1417" w:type="pct"/>
            <w:shd w:val="clear" w:color="auto" w:fill="FFFFFF"/>
            <w:vAlign w:val="center"/>
          </w:tcPr>
          <w:p w:rsidR="004616EA" w:rsidRPr="002121B4" w:rsidRDefault="004616EA" w:rsidP="00961F56">
            <w:pPr>
              <w:spacing w:after="0"/>
              <w:rPr>
                <w:rFonts w:ascii="Times New Roman" w:hAnsi="Times New Roman"/>
                <w:sz w:val="26"/>
                <w:szCs w:val="26"/>
              </w:rPr>
            </w:pPr>
            <w:r w:rsidRPr="002121B4">
              <w:rPr>
                <w:rFonts w:ascii="Times New Roman" w:hAnsi="Times New Roman"/>
                <w:sz w:val="26"/>
                <w:szCs w:val="26"/>
              </w:rPr>
              <w:t>Среднемесячная номинальная начисленная заработная плата работников организаций</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руб.</w:t>
            </w:r>
          </w:p>
        </w:tc>
        <w:tc>
          <w:tcPr>
            <w:tcW w:w="342" w:type="pct"/>
            <w:shd w:val="clear" w:color="auto" w:fill="FFFFFF"/>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51415,4</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54990,1</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64770,1</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69627,9</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83230,6</w:t>
            </w:r>
          </w:p>
        </w:tc>
        <w:tc>
          <w:tcPr>
            <w:tcW w:w="35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91553,6</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100709,0</w:t>
            </w:r>
          </w:p>
        </w:tc>
      </w:tr>
    </w:tbl>
    <w:p w:rsidR="004616EA" w:rsidRDefault="004616EA">
      <w:pPr>
        <w:sectPr w:rsidR="004616EA" w:rsidSect="00461CB8">
          <w:type w:val="continuous"/>
          <w:pgSz w:w="16838" w:h="11906" w:orient="landscape"/>
          <w:pgMar w:top="567" w:right="567" w:bottom="2552" w:left="567" w:header="709" w:footer="709" w:gutter="0"/>
          <w:cols w:space="708"/>
          <w:docGrid w:linePitch="360"/>
        </w:sectPr>
      </w:pPr>
    </w:p>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8"/>
        <w:gridCol w:w="4512"/>
        <w:gridCol w:w="2452"/>
        <w:gridCol w:w="1089"/>
        <w:gridCol w:w="1089"/>
        <w:gridCol w:w="1219"/>
        <w:gridCol w:w="1219"/>
        <w:gridCol w:w="1089"/>
        <w:gridCol w:w="1124"/>
        <w:gridCol w:w="1219"/>
      </w:tblGrid>
      <w:tr w:rsidR="004616EA" w:rsidRPr="002121B4" w:rsidTr="002121B4">
        <w:trPr>
          <w:trHeight w:val="419"/>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2.4</w:t>
            </w:r>
          </w:p>
        </w:tc>
        <w:tc>
          <w:tcPr>
            <w:tcW w:w="4715" w:type="pct"/>
            <w:gridSpan w:val="9"/>
            <w:shd w:val="clear" w:color="auto" w:fill="FFFFFF"/>
            <w:vAlign w:val="center"/>
          </w:tcPr>
          <w:p w:rsidR="004616EA" w:rsidRPr="002121B4" w:rsidRDefault="004616EA" w:rsidP="00961F56">
            <w:pPr>
              <w:spacing w:after="0"/>
              <w:rPr>
                <w:rFonts w:ascii="Times New Roman" w:hAnsi="Times New Roman"/>
                <w:b/>
                <w:sz w:val="26"/>
                <w:szCs w:val="26"/>
              </w:rPr>
            </w:pPr>
            <w:r w:rsidRPr="002121B4">
              <w:rPr>
                <w:rFonts w:ascii="Times New Roman" w:hAnsi="Times New Roman"/>
                <w:b/>
                <w:sz w:val="26"/>
                <w:szCs w:val="26"/>
              </w:rPr>
              <w:t>Цель 4. Обеспечение сбалансированности рынка труда</w:t>
            </w:r>
          </w:p>
        </w:tc>
      </w:tr>
      <w:tr w:rsidR="004616EA" w:rsidRPr="002121B4" w:rsidTr="002121B4">
        <w:trPr>
          <w:trHeight w:val="411"/>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2.4.1</w:t>
            </w:r>
          </w:p>
        </w:tc>
        <w:tc>
          <w:tcPr>
            <w:tcW w:w="1417" w:type="pct"/>
            <w:shd w:val="clear" w:color="auto" w:fill="FFFFFF"/>
            <w:vAlign w:val="center"/>
          </w:tcPr>
          <w:p w:rsidR="004616EA" w:rsidRPr="002121B4" w:rsidRDefault="004616EA" w:rsidP="00961F56">
            <w:pPr>
              <w:spacing w:after="0"/>
              <w:rPr>
                <w:rFonts w:ascii="Times New Roman" w:hAnsi="Times New Roman"/>
                <w:sz w:val="26"/>
                <w:szCs w:val="26"/>
              </w:rPr>
            </w:pPr>
            <w:r w:rsidRPr="002121B4">
              <w:rPr>
                <w:rFonts w:ascii="Times New Roman" w:hAnsi="Times New Roman"/>
                <w:sz w:val="26"/>
                <w:szCs w:val="26"/>
              </w:rPr>
              <w:t>Уровень регистрируемой безработицы</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0,4</w:t>
            </w:r>
          </w:p>
        </w:tc>
        <w:tc>
          <w:tcPr>
            <w:tcW w:w="342"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0,39</w:t>
            </w:r>
          </w:p>
        </w:tc>
        <w:tc>
          <w:tcPr>
            <w:tcW w:w="38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0,38</w:t>
            </w:r>
          </w:p>
        </w:tc>
        <w:tc>
          <w:tcPr>
            <w:tcW w:w="38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0,36</w:t>
            </w:r>
          </w:p>
        </w:tc>
        <w:tc>
          <w:tcPr>
            <w:tcW w:w="342"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0,34</w:t>
            </w:r>
          </w:p>
        </w:tc>
        <w:tc>
          <w:tcPr>
            <w:tcW w:w="35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0,33</w:t>
            </w:r>
          </w:p>
        </w:tc>
        <w:tc>
          <w:tcPr>
            <w:tcW w:w="38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0,3</w:t>
            </w:r>
          </w:p>
        </w:tc>
      </w:tr>
      <w:tr w:rsidR="004616EA" w:rsidRPr="002121B4" w:rsidTr="002121B4">
        <w:trPr>
          <w:trHeight w:val="416"/>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2.5</w:t>
            </w:r>
          </w:p>
        </w:tc>
        <w:tc>
          <w:tcPr>
            <w:tcW w:w="4715" w:type="pct"/>
            <w:gridSpan w:val="9"/>
            <w:shd w:val="clear" w:color="auto" w:fill="FFFFFF"/>
            <w:vAlign w:val="center"/>
          </w:tcPr>
          <w:p w:rsidR="004616EA" w:rsidRPr="002121B4" w:rsidRDefault="004616EA" w:rsidP="000A4E8A">
            <w:pPr>
              <w:spacing w:after="0"/>
              <w:jc w:val="both"/>
              <w:rPr>
                <w:rFonts w:ascii="Times New Roman" w:hAnsi="Times New Roman"/>
                <w:b/>
                <w:sz w:val="26"/>
                <w:szCs w:val="26"/>
              </w:rPr>
            </w:pPr>
            <w:r w:rsidRPr="002121B4">
              <w:rPr>
                <w:rFonts w:ascii="Times New Roman" w:hAnsi="Times New Roman"/>
                <w:b/>
                <w:sz w:val="26"/>
                <w:szCs w:val="26"/>
              </w:rPr>
              <w:t>Цель 5. Обеспечение доступности качественного образования, соответствующего современным потребностям общества и каждого жителя города Когалыма</w:t>
            </w:r>
          </w:p>
        </w:tc>
      </w:tr>
      <w:tr w:rsidR="004616EA" w:rsidRPr="002121B4" w:rsidTr="002121B4">
        <w:trPr>
          <w:trHeight w:val="376"/>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2.5.1</w:t>
            </w:r>
          </w:p>
        </w:tc>
        <w:tc>
          <w:tcPr>
            <w:tcW w:w="1417" w:type="pct"/>
            <w:shd w:val="clear" w:color="auto" w:fill="FFFFFF"/>
            <w:vAlign w:val="center"/>
          </w:tcPr>
          <w:p w:rsidR="004616EA" w:rsidRPr="002121B4" w:rsidRDefault="004616EA" w:rsidP="00961F56">
            <w:pPr>
              <w:spacing w:after="0" w:line="240" w:lineRule="auto"/>
              <w:rPr>
                <w:rFonts w:ascii="Times New Roman" w:hAnsi="Times New Roman"/>
                <w:sz w:val="26"/>
                <w:szCs w:val="26"/>
              </w:rPr>
            </w:pPr>
            <w:r w:rsidRPr="002121B4">
              <w:rPr>
                <w:rFonts w:ascii="Times New Roman" w:hAnsi="Times New Roman"/>
                <w:sz w:val="26"/>
                <w:szCs w:val="26"/>
              </w:rPr>
              <w:t xml:space="preserve">Обеспеченность дошкольными образовательными организациями </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lang w:val="en-US" w:eastAsia="ru-RU"/>
              </w:rPr>
            </w:pPr>
            <w:r w:rsidRPr="002121B4">
              <w:rPr>
                <w:rFonts w:ascii="Times New Roman" w:hAnsi="Times New Roman"/>
                <w:sz w:val="26"/>
                <w:szCs w:val="26"/>
                <w:lang w:val="en-US" w:eastAsia="ru-RU"/>
              </w:rPr>
              <w:t>%</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82,8</w:t>
            </w:r>
          </w:p>
        </w:tc>
        <w:tc>
          <w:tcPr>
            <w:tcW w:w="342"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86,8</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85,5</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84,3</w:t>
            </w:r>
          </w:p>
        </w:tc>
        <w:tc>
          <w:tcPr>
            <w:tcW w:w="342"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88,3</w:t>
            </w:r>
          </w:p>
        </w:tc>
        <w:tc>
          <w:tcPr>
            <w:tcW w:w="35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92,8</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100,0</w:t>
            </w:r>
          </w:p>
        </w:tc>
      </w:tr>
      <w:tr w:rsidR="004616EA" w:rsidRPr="002121B4" w:rsidTr="002121B4">
        <w:trPr>
          <w:trHeight w:val="376"/>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2.5.2</w:t>
            </w:r>
          </w:p>
        </w:tc>
        <w:tc>
          <w:tcPr>
            <w:tcW w:w="1417" w:type="pct"/>
            <w:shd w:val="clear" w:color="auto" w:fill="FFFFFF"/>
            <w:vAlign w:val="center"/>
          </w:tcPr>
          <w:p w:rsidR="004616EA" w:rsidRPr="002121B4" w:rsidRDefault="004616EA" w:rsidP="00961F56">
            <w:pPr>
              <w:rPr>
                <w:rFonts w:ascii="Times New Roman" w:hAnsi="Times New Roman"/>
                <w:sz w:val="26"/>
                <w:szCs w:val="26"/>
              </w:rPr>
            </w:pPr>
            <w:r w:rsidRPr="002121B4">
              <w:rPr>
                <w:rFonts w:ascii="Times New Roman" w:hAnsi="Times New Roman"/>
                <w:sz w:val="26"/>
                <w:szCs w:val="26"/>
              </w:rPr>
              <w:t>Обеспеченность общеобразовательными организациями</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lang w:val="en-US"/>
              </w:rPr>
            </w:pPr>
            <w:r w:rsidRPr="002121B4">
              <w:rPr>
                <w:rFonts w:ascii="Times New Roman" w:hAnsi="Times New Roman"/>
                <w:sz w:val="26"/>
                <w:szCs w:val="26"/>
                <w:lang w:val="en-US" w:eastAsia="ru-RU"/>
              </w:rPr>
              <w:t>%</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69,5</w:t>
            </w:r>
          </w:p>
        </w:tc>
        <w:tc>
          <w:tcPr>
            <w:tcW w:w="342"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57,8</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56,6</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55,0</w:t>
            </w:r>
          </w:p>
        </w:tc>
        <w:tc>
          <w:tcPr>
            <w:tcW w:w="342"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71,7</w:t>
            </w:r>
          </w:p>
        </w:tc>
        <w:tc>
          <w:tcPr>
            <w:tcW w:w="35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85,6</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100,0</w:t>
            </w:r>
          </w:p>
        </w:tc>
      </w:tr>
      <w:tr w:rsidR="004616EA" w:rsidRPr="002121B4" w:rsidTr="002121B4">
        <w:trPr>
          <w:trHeight w:val="376"/>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2.6</w:t>
            </w:r>
          </w:p>
        </w:tc>
        <w:tc>
          <w:tcPr>
            <w:tcW w:w="4715" w:type="pct"/>
            <w:gridSpan w:val="9"/>
            <w:shd w:val="clear" w:color="auto" w:fill="FFFFFF"/>
            <w:vAlign w:val="center"/>
          </w:tcPr>
          <w:p w:rsidR="004616EA" w:rsidRPr="002121B4" w:rsidRDefault="004616EA" w:rsidP="00961F56">
            <w:pPr>
              <w:spacing w:after="0"/>
              <w:rPr>
                <w:rFonts w:ascii="Times New Roman" w:hAnsi="Times New Roman"/>
                <w:b/>
                <w:sz w:val="26"/>
                <w:szCs w:val="26"/>
              </w:rPr>
            </w:pPr>
            <w:r w:rsidRPr="002121B4">
              <w:rPr>
                <w:rFonts w:ascii="Times New Roman" w:hAnsi="Times New Roman"/>
                <w:b/>
                <w:sz w:val="26"/>
                <w:szCs w:val="26"/>
              </w:rPr>
              <w:t>Цель 6. Обеспечение доступности и повышение качества медицинского обслуживания населения</w:t>
            </w:r>
          </w:p>
        </w:tc>
      </w:tr>
      <w:tr w:rsidR="004616EA" w:rsidRPr="002121B4" w:rsidTr="002121B4">
        <w:trPr>
          <w:trHeight w:val="448"/>
        </w:trPr>
        <w:tc>
          <w:tcPr>
            <w:tcW w:w="285" w:type="pct"/>
            <w:shd w:val="clear" w:color="auto" w:fill="FFFFFF"/>
            <w:noWrap/>
            <w:vAlign w:val="center"/>
          </w:tcPr>
          <w:p w:rsidR="004616EA" w:rsidRPr="002121B4" w:rsidRDefault="004616EA" w:rsidP="00AA404C">
            <w:pPr>
              <w:spacing w:after="0"/>
              <w:jc w:val="center"/>
              <w:rPr>
                <w:rFonts w:ascii="Times New Roman" w:hAnsi="Times New Roman"/>
                <w:sz w:val="26"/>
                <w:szCs w:val="26"/>
              </w:rPr>
            </w:pPr>
            <w:r w:rsidRPr="002121B4">
              <w:rPr>
                <w:rFonts w:ascii="Times New Roman" w:hAnsi="Times New Roman"/>
                <w:sz w:val="26"/>
                <w:szCs w:val="26"/>
              </w:rPr>
              <w:t>2.6.1</w:t>
            </w:r>
          </w:p>
        </w:tc>
        <w:tc>
          <w:tcPr>
            <w:tcW w:w="1417" w:type="pct"/>
            <w:shd w:val="clear" w:color="auto" w:fill="FFFFFF"/>
            <w:vAlign w:val="center"/>
          </w:tcPr>
          <w:p w:rsidR="004616EA" w:rsidRPr="002121B4" w:rsidRDefault="004616EA" w:rsidP="00AA404C">
            <w:pPr>
              <w:spacing w:after="0"/>
              <w:rPr>
                <w:rFonts w:ascii="Times New Roman" w:hAnsi="Times New Roman"/>
                <w:sz w:val="26"/>
                <w:szCs w:val="26"/>
              </w:rPr>
            </w:pPr>
            <w:r w:rsidRPr="002121B4">
              <w:rPr>
                <w:rFonts w:ascii="Times New Roman" w:hAnsi="Times New Roman"/>
                <w:sz w:val="26"/>
                <w:szCs w:val="26"/>
              </w:rPr>
              <w:t xml:space="preserve">Обеспеченность врачами </w:t>
            </w:r>
          </w:p>
        </w:tc>
        <w:tc>
          <w:tcPr>
            <w:tcW w:w="770" w:type="pct"/>
            <w:shd w:val="clear" w:color="auto" w:fill="FFFFFF"/>
            <w:vAlign w:val="center"/>
          </w:tcPr>
          <w:p w:rsidR="004616EA" w:rsidRPr="002121B4" w:rsidRDefault="004616EA" w:rsidP="008C5E0D">
            <w:pPr>
              <w:spacing w:after="0"/>
              <w:jc w:val="center"/>
              <w:rPr>
                <w:rFonts w:ascii="Times New Roman" w:hAnsi="Times New Roman"/>
                <w:color w:val="FF0000"/>
                <w:sz w:val="26"/>
                <w:szCs w:val="26"/>
              </w:rPr>
            </w:pPr>
            <w:r w:rsidRPr="002121B4">
              <w:rPr>
                <w:rFonts w:ascii="Times New Roman" w:hAnsi="Times New Roman"/>
                <w:sz w:val="26"/>
                <w:szCs w:val="26"/>
              </w:rPr>
              <w:t>чел. на 10 тыс. населения</w:t>
            </w:r>
          </w:p>
        </w:tc>
        <w:tc>
          <w:tcPr>
            <w:tcW w:w="342" w:type="pct"/>
            <w:shd w:val="clear" w:color="auto" w:fill="FFFFFF"/>
            <w:vAlign w:val="center"/>
          </w:tcPr>
          <w:p w:rsidR="004616EA" w:rsidRPr="002121B4" w:rsidRDefault="004616EA" w:rsidP="00AA404C">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42,2</w:t>
            </w:r>
          </w:p>
        </w:tc>
        <w:tc>
          <w:tcPr>
            <w:tcW w:w="342" w:type="pct"/>
            <w:shd w:val="clear" w:color="auto" w:fill="FFFFFF"/>
            <w:noWrap/>
            <w:vAlign w:val="bottom"/>
          </w:tcPr>
          <w:p w:rsidR="004616EA" w:rsidRPr="002121B4" w:rsidRDefault="004616EA" w:rsidP="007406D0">
            <w:pPr>
              <w:jc w:val="center"/>
              <w:rPr>
                <w:rFonts w:ascii="Times New Roman" w:hAnsi="Times New Roman"/>
                <w:sz w:val="26"/>
                <w:szCs w:val="26"/>
                <w:lang w:eastAsia="ru-RU"/>
              </w:rPr>
            </w:pPr>
            <w:r w:rsidRPr="002121B4">
              <w:rPr>
                <w:rFonts w:ascii="Times New Roman" w:hAnsi="Times New Roman"/>
                <w:sz w:val="26"/>
                <w:szCs w:val="26"/>
                <w:lang w:eastAsia="ru-RU"/>
              </w:rPr>
              <w:t>35,7</w:t>
            </w:r>
          </w:p>
        </w:tc>
        <w:tc>
          <w:tcPr>
            <w:tcW w:w="383" w:type="pct"/>
            <w:shd w:val="clear" w:color="auto" w:fill="FFFFFF"/>
            <w:noWrap/>
            <w:vAlign w:val="bottom"/>
          </w:tcPr>
          <w:p w:rsidR="004616EA" w:rsidRPr="002121B4" w:rsidRDefault="004616EA" w:rsidP="007406D0">
            <w:pPr>
              <w:jc w:val="center"/>
              <w:rPr>
                <w:rFonts w:ascii="Times New Roman" w:hAnsi="Times New Roman"/>
                <w:sz w:val="26"/>
                <w:szCs w:val="26"/>
                <w:lang w:eastAsia="ru-RU"/>
              </w:rPr>
            </w:pPr>
            <w:r w:rsidRPr="002121B4">
              <w:rPr>
                <w:rFonts w:ascii="Times New Roman" w:hAnsi="Times New Roman"/>
                <w:sz w:val="26"/>
                <w:szCs w:val="26"/>
                <w:lang w:eastAsia="ru-RU"/>
              </w:rPr>
              <w:t>35,1</w:t>
            </w:r>
          </w:p>
        </w:tc>
        <w:tc>
          <w:tcPr>
            <w:tcW w:w="383" w:type="pct"/>
            <w:shd w:val="clear" w:color="auto" w:fill="FFFFFF"/>
            <w:noWrap/>
            <w:vAlign w:val="bottom"/>
          </w:tcPr>
          <w:p w:rsidR="004616EA" w:rsidRPr="002121B4" w:rsidRDefault="004616EA" w:rsidP="007406D0">
            <w:pPr>
              <w:jc w:val="center"/>
              <w:rPr>
                <w:rFonts w:ascii="Times New Roman" w:hAnsi="Times New Roman"/>
                <w:sz w:val="26"/>
                <w:szCs w:val="26"/>
                <w:lang w:eastAsia="ru-RU"/>
              </w:rPr>
            </w:pPr>
            <w:r w:rsidRPr="002121B4">
              <w:rPr>
                <w:rFonts w:ascii="Times New Roman" w:hAnsi="Times New Roman"/>
                <w:sz w:val="26"/>
                <w:szCs w:val="26"/>
                <w:lang w:eastAsia="ru-RU"/>
              </w:rPr>
              <w:t>34,4</w:t>
            </w:r>
          </w:p>
        </w:tc>
        <w:tc>
          <w:tcPr>
            <w:tcW w:w="342" w:type="pct"/>
            <w:shd w:val="clear" w:color="auto" w:fill="FFFFFF"/>
            <w:noWrap/>
            <w:vAlign w:val="bottom"/>
          </w:tcPr>
          <w:p w:rsidR="004616EA" w:rsidRPr="002121B4" w:rsidRDefault="004616EA" w:rsidP="007406D0">
            <w:pPr>
              <w:jc w:val="center"/>
              <w:rPr>
                <w:rFonts w:ascii="Times New Roman" w:hAnsi="Times New Roman"/>
                <w:sz w:val="26"/>
                <w:szCs w:val="26"/>
                <w:lang w:eastAsia="ru-RU"/>
              </w:rPr>
            </w:pPr>
            <w:r w:rsidRPr="002121B4">
              <w:rPr>
                <w:rFonts w:ascii="Times New Roman" w:hAnsi="Times New Roman"/>
                <w:sz w:val="26"/>
                <w:szCs w:val="26"/>
                <w:lang w:eastAsia="ru-RU"/>
              </w:rPr>
              <w:t>35,5</w:t>
            </w:r>
          </w:p>
        </w:tc>
        <w:tc>
          <w:tcPr>
            <w:tcW w:w="353" w:type="pct"/>
            <w:shd w:val="clear" w:color="auto" w:fill="FFFFFF"/>
            <w:noWrap/>
            <w:vAlign w:val="bottom"/>
          </w:tcPr>
          <w:p w:rsidR="004616EA" w:rsidRPr="002121B4" w:rsidRDefault="004616EA" w:rsidP="007406D0">
            <w:pPr>
              <w:jc w:val="center"/>
              <w:rPr>
                <w:rFonts w:ascii="Times New Roman" w:hAnsi="Times New Roman"/>
                <w:sz w:val="26"/>
                <w:szCs w:val="26"/>
                <w:lang w:eastAsia="ru-RU"/>
              </w:rPr>
            </w:pPr>
            <w:r w:rsidRPr="002121B4">
              <w:rPr>
                <w:rFonts w:ascii="Times New Roman" w:hAnsi="Times New Roman"/>
                <w:sz w:val="26"/>
                <w:szCs w:val="26"/>
                <w:lang w:eastAsia="ru-RU"/>
              </w:rPr>
              <w:t>38,3</w:t>
            </w:r>
          </w:p>
        </w:tc>
        <w:tc>
          <w:tcPr>
            <w:tcW w:w="383" w:type="pct"/>
            <w:shd w:val="clear" w:color="auto" w:fill="FFFFFF"/>
            <w:noWrap/>
            <w:vAlign w:val="bottom"/>
          </w:tcPr>
          <w:p w:rsidR="004616EA" w:rsidRPr="002121B4" w:rsidRDefault="004616EA" w:rsidP="007406D0">
            <w:pPr>
              <w:jc w:val="center"/>
              <w:rPr>
                <w:rFonts w:ascii="Times New Roman" w:hAnsi="Times New Roman"/>
                <w:sz w:val="26"/>
                <w:szCs w:val="26"/>
                <w:lang w:eastAsia="ru-RU"/>
              </w:rPr>
            </w:pPr>
            <w:r w:rsidRPr="002121B4">
              <w:rPr>
                <w:rFonts w:ascii="Times New Roman" w:hAnsi="Times New Roman"/>
                <w:sz w:val="26"/>
                <w:szCs w:val="26"/>
                <w:lang w:eastAsia="ru-RU"/>
              </w:rPr>
              <w:t>41,0</w:t>
            </w:r>
          </w:p>
        </w:tc>
      </w:tr>
      <w:tr w:rsidR="004616EA" w:rsidRPr="002121B4" w:rsidTr="002121B4">
        <w:trPr>
          <w:trHeight w:val="448"/>
        </w:trPr>
        <w:tc>
          <w:tcPr>
            <w:tcW w:w="285" w:type="pct"/>
            <w:shd w:val="clear" w:color="auto" w:fill="FFFFFF"/>
            <w:noWrap/>
            <w:vAlign w:val="center"/>
          </w:tcPr>
          <w:p w:rsidR="004616EA" w:rsidRPr="002121B4" w:rsidRDefault="004616EA" w:rsidP="007406D0">
            <w:pPr>
              <w:spacing w:after="0"/>
              <w:jc w:val="center"/>
              <w:rPr>
                <w:rFonts w:ascii="Times New Roman" w:hAnsi="Times New Roman"/>
                <w:sz w:val="26"/>
                <w:szCs w:val="26"/>
              </w:rPr>
            </w:pPr>
            <w:r w:rsidRPr="002121B4">
              <w:rPr>
                <w:rFonts w:ascii="Times New Roman" w:hAnsi="Times New Roman"/>
                <w:sz w:val="26"/>
                <w:szCs w:val="26"/>
              </w:rPr>
              <w:t>2.6.2</w:t>
            </w:r>
          </w:p>
        </w:tc>
        <w:tc>
          <w:tcPr>
            <w:tcW w:w="1417" w:type="pct"/>
            <w:shd w:val="clear" w:color="auto" w:fill="FFFFFF"/>
            <w:vAlign w:val="center"/>
          </w:tcPr>
          <w:p w:rsidR="004616EA" w:rsidRPr="002121B4" w:rsidRDefault="004616EA" w:rsidP="007406D0">
            <w:pPr>
              <w:spacing w:after="0"/>
              <w:rPr>
                <w:rFonts w:ascii="Times New Roman" w:hAnsi="Times New Roman"/>
                <w:sz w:val="26"/>
                <w:szCs w:val="26"/>
              </w:rPr>
            </w:pPr>
            <w:r w:rsidRPr="002121B4">
              <w:rPr>
                <w:rFonts w:ascii="Times New Roman" w:hAnsi="Times New Roman"/>
                <w:sz w:val="26"/>
                <w:szCs w:val="26"/>
              </w:rPr>
              <w:t xml:space="preserve">Обеспеченность средним медицинским персоналом </w:t>
            </w:r>
          </w:p>
        </w:tc>
        <w:tc>
          <w:tcPr>
            <w:tcW w:w="770" w:type="pct"/>
            <w:shd w:val="clear" w:color="auto" w:fill="FFFFFF"/>
            <w:vAlign w:val="center"/>
          </w:tcPr>
          <w:p w:rsidR="004616EA" w:rsidRPr="002121B4" w:rsidRDefault="004616EA" w:rsidP="007406D0">
            <w:pPr>
              <w:spacing w:after="0"/>
              <w:jc w:val="center"/>
              <w:rPr>
                <w:rFonts w:ascii="Times New Roman" w:hAnsi="Times New Roman"/>
                <w:color w:val="FF0000"/>
                <w:sz w:val="26"/>
                <w:szCs w:val="26"/>
              </w:rPr>
            </w:pPr>
            <w:r w:rsidRPr="002121B4">
              <w:rPr>
                <w:rFonts w:ascii="Times New Roman" w:hAnsi="Times New Roman"/>
                <w:sz w:val="26"/>
                <w:szCs w:val="26"/>
              </w:rPr>
              <w:t>чел. на 10 тыс. населения</w:t>
            </w:r>
          </w:p>
        </w:tc>
        <w:tc>
          <w:tcPr>
            <w:tcW w:w="342" w:type="pct"/>
            <w:shd w:val="clear" w:color="auto" w:fill="FFFFFF"/>
            <w:vAlign w:val="center"/>
          </w:tcPr>
          <w:p w:rsidR="004616EA" w:rsidRPr="002121B4" w:rsidRDefault="004616EA" w:rsidP="007406D0">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100,6</w:t>
            </w:r>
          </w:p>
        </w:tc>
        <w:tc>
          <w:tcPr>
            <w:tcW w:w="342" w:type="pct"/>
            <w:shd w:val="clear" w:color="auto" w:fill="FFFFFF"/>
            <w:noWrap/>
            <w:vAlign w:val="bottom"/>
          </w:tcPr>
          <w:p w:rsidR="004616EA" w:rsidRPr="002121B4" w:rsidRDefault="004616EA" w:rsidP="007406D0">
            <w:pPr>
              <w:jc w:val="center"/>
              <w:rPr>
                <w:rFonts w:ascii="Times New Roman" w:hAnsi="Times New Roman"/>
                <w:sz w:val="26"/>
                <w:szCs w:val="26"/>
                <w:lang w:eastAsia="ru-RU"/>
              </w:rPr>
            </w:pPr>
            <w:r w:rsidRPr="002121B4">
              <w:rPr>
                <w:rFonts w:ascii="Times New Roman" w:hAnsi="Times New Roman"/>
                <w:sz w:val="26"/>
                <w:szCs w:val="26"/>
                <w:lang w:eastAsia="ru-RU"/>
              </w:rPr>
              <w:t>98,9</w:t>
            </w:r>
          </w:p>
        </w:tc>
        <w:tc>
          <w:tcPr>
            <w:tcW w:w="383" w:type="pct"/>
            <w:shd w:val="clear" w:color="auto" w:fill="FFFFFF"/>
            <w:noWrap/>
            <w:vAlign w:val="bottom"/>
          </w:tcPr>
          <w:p w:rsidR="004616EA" w:rsidRPr="002121B4" w:rsidRDefault="004616EA" w:rsidP="007406D0">
            <w:pPr>
              <w:jc w:val="center"/>
              <w:rPr>
                <w:rFonts w:ascii="Times New Roman" w:hAnsi="Times New Roman"/>
                <w:sz w:val="26"/>
                <w:szCs w:val="26"/>
                <w:lang w:eastAsia="ru-RU"/>
              </w:rPr>
            </w:pPr>
            <w:r w:rsidRPr="002121B4">
              <w:rPr>
                <w:rFonts w:ascii="Times New Roman" w:hAnsi="Times New Roman"/>
                <w:sz w:val="26"/>
                <w:szCs w:val="26"/>
                <w:lang w:eastAsia="ru-RU"/>
              </w:rPr>
              <w:t>95,6</w:t>
            </w:r>
          </w:p>
        </w:tc>
        <w:tc>
          <w:tcPr>
            <w:tcW w:w="383" w:type="pct"/>
            <w:shd w:val="clear" w:color="auto" w:fill="FFFFFF"/>
            <w:noWrap/>
            <w:vAlign w:val="bottom"/>
          </w:tcPr>
          <w:p w:rsidR="004616EA" w:rsidRPr="002121B4" w:rsidRDefault="004616EA" w:rsidP="007406D0">
            <w:pPr>
              <w:jc w:val="center"/>
              <w:rPr>
                <w:rFonts w:ascii="Times New Roman" w:hAnsi="Times New Roman"/>
                <w:sz w:val="26"/>
                <w:szCs w:val="26"/>
                <w:lang w:eastAsia="ru-RU"/>
              </w:rPr>
            </w:pPr>
            <w:r w:rsidRPr="002121B4">
              <w:rPr>
                <w:rFonts w:ascii="Times New Roman" w:hAnsi="Times New Roman"/>
                <w:sz w:val="26"/>
                <w:szCs w:val="26"/>
                <w:lang w:eastAsia="ru-RU"/>
              </w:rPr>
              <w:t>93,9</w:t>
            </w:r>
          </w:p>
        </w:tc>
        <w:tc>
          <w:tcPr>
            <w:tcW w:w="342" w:type="pct"/>
            <w:shd w:val="clear" w:color="auto" w:fill="FFFFFF"/>
            <w:noWrap/>
            <w:vAlign w:val="bottom"/>
          </w:tcPr>
          <w:p w:rsidR="004616EA" w:rsidRPr="002121B4" w:rsidRDefault="004616EA" w:rsidP="007406D0">
            <w:pPr>
              <w:jc w:val="center"/>
              <w:rPr>
                <w:rFonts w:ascii="Times New Roman" w:hAnsi="Times New Roman"/>
                <w:sz w:val="26"/>
                <w:szCs w:val="26"/>
                <w:lang w:eastAsia="ru-RU"/>
              </w:rPr>
            </w:pPr>
            <w:r w:rsidRPr="002121B4">
              <w:rPr>
                <w:rFonts w:ascii="Times New Roman" w:hAnsi="Times New Roman"/>
                <w:sz w:val="26"/>
                <w:szCs w:val="26"/>
                <w:lang w:eastAsia="ru-RU"/>
              </w:rPr>
              <w:t>97,4</w:t>
            </w:r>
          </w:p>
        </w:tc>
        <w:tc>
          <w:tcPr>
            <w:tcW w:w="353" w:type="pct"/>
            <w:shd w:val="clear" w:color="auto" w:fill="FFFFFF"/>
            <w:noWrap/>
            <w:vAlign w:val="bottom"/>
          </w:tcPr>
          <w:p w:rsidR="004616EA" w:rsidRPr="002121B4" w:rsidRDefault="004616EA" w:rsidP="007406D0">
            <w:pPr>
              <w:jc w:val="center"/>
              <w:rPr>
                <w:rFonts w:ascii="Times New Roman" w:hAnsi="Times New Roman"/>
                <w:sz w:val="26"/>
                <w:szCs w:val="26"/>
                <w:lang w:eastAsia="ru-RU"/>
              </w:rPr>
            </w:pPr>
            <w:r w:rsidRPr="002121B4">
              <w:rPr>
                <w:rFonts w:ascii="Times New Roman" w:hAnsi="Times New Roman"/>
                <w:sz w:val="26"/>
                <w:szCs w:val="26"/>
                <w:lang w:eastAsia="ru-RU"/>
              </w:rPr>
              <w:t>105,8</w:t>
            </w:r>
          </w:p>
        </w:tc>
        <w:tc>
          <w:tcPr>
            <w:tcW w:w="383" w:type="pct"/>
            <w:shd w:val="clear" w:color="auto" w:fill="FFFFFF"/>
            <w:noWrap/>
            <w:vAlign w:val="bottom"/>
          </w:tcPr>
          <w:p w:rsidR="004616EA" w:rsidRPr="002121B4" w:rsidRDefault="004616EA" w:rsidP="007406D0">
            <w:pPr>
              <w:jc w:val="center"/>
              <w:rPr>
                <w:rFonts w:ascii="Times New Roman" w:hAnsi="Times New Roman"/>
                <w:sz w:val="26"/>
                <w:szCs w:val="26"/>
                <w:lang w:eastAsia="ru-RU"/>
              </w:rPr>
            </w:pPr>
            <w:r w:rsidRPr="002121B4">
              <w:rPr>
                <w:rFonts w:ascii="Times New Roman" w:hAnsi="Times New Roman"/>
                <w:sz w:val="26"/>
                <w:szCs w:val="26"/>
                <w:lang w:eastAsia="ru-RU"/>
              </w:rPr>
              <w:t>114,3</w:t>
            </w:r>
          </w:p>
        </w:tc>
      </w:tr>
      <w:tr w:rsidR="004616EA" w:rsidRPr="002121B4" w:rsidTr="002121B4">
        <w:trPr>
          <w:trHeight w:val="448"/>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2.6.3</w:t>
            </w:r>
          </w:p>
        </w:tc>
        <w:tc>
          <w:tcPr>
            <w:tcW w:w="1417" w:type="pct"/>
            <w:shd w:val="clear" w:color="auto" w:fill="FFFFFF"/>
            <w:vAlign w:val="center"/>
          </w:tcPr>
          <w:p w:rsidR="004616EA" w:rsidRPr="002121B4" w:rsidRDefault="004616EA" w:rsidP="00961F56">
            <w:pPr>
              <w:spacing w:after="0" w:line="240" w:lineRule="auto"/>
              <w:rPr>
                <w:rFonts w:ascii="Times New Roman" w:hAnsi="Times New Roman"/>
                <w:sz w:val="26"/>
                <w:szCs w:val="26"/>
              </w:rPr>
            </w:pPr>
            <w:r w:rsidRPr="002121B4">
              <w:rPr>
                <w:rFonts w:ascii="Times New Roman" w:hAnsi="Times New Roman"/>
                <w:sz w:val="26"/>
                <w:szCs w:val="26"/>
              </w:rPr>
              <w:t>Обеспеченность лечебно-профилактическими медицинскими организациями, оказывающими медицинскую помощь в стационарных условиях</w:t>
            </w:r>
          </w:p>
        </w:tc>
        <w:tc>
          <w:tcPr>
            <w:tcW w:w="770"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38,9</w:t>
            </w:r>
          </w:p>
        </w:tc>
        <w:tc>
          <w:tcPr>
            <w:tcW w:w="342"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37,6</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36,9</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36,3</w:t>
            </w:r>
          </w:p>
        </w:tc>
        <w:tc>
          <w:tcPr>
            <w:tcW w:w="342"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34,4</w:t>
            </w:r>
          </w:p>
        </w:tc>
        <w:tc>
          <w:tcPr>
            <w:tcW w:w="35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33,4</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104,3</w:t>
            </w:r>
          </w:p>
        </w:tc>
      </w:tr>
      <w:tr w:rsidR="004616EA" w:rsidRPr="002121B4" w:rsidTr="002121B4">
        <w:trPr>
          <w:trHeight w:val="448"/>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2.6.4</w:t>
            </w:r>
          </w:p>
        </w:tc>
        <w:tc>
          <w:tcPr>
            <w:tcW w:w="1417" w:type="pct"/>
            <w:shd w:val="clear" w:color="auto" w:fill="FFFFFF"/>
            <w:vAlign w:val="center"/>
          </w:tcPr>
          <w:p w:rsidR="004616EA" w:rsidRPr="002121B4" w:rsidRDefault="004616EA" w:rsidP="00961F56">
            <w:pPr>
              <w:spacing w:after="0" w:line="240" w:lineRule="auto"/>
              <w:rPr>
                <w:rFonts w:ascii="Times New Roman" w:hAnsi="Times New Roman"/>
                <w:sz w:val="26"/>
                <w:szCs w:val="26"/>
              </w:rPr>
            </w:pPr>
            <w:r w:rsidRPr="002121B4">
              <w:rPr>
                <w:rFonts w:ascii="Times New Roman" w:hAnsi="Times New Roman"/>
                <w:sz w:val="26"/>
                <w:szCs w:val="26"/>
              </w:rPr>
              <w:t>Обеспеченность лечебно-профилактическими медицинскими организациями, оказывающими медицинскую помощь в амбулаторных условиях</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lang w:val="en-US"/>
              </w:rPr>
            </w:pPr>
            <w:r w:rsidRPr="002121B4">
              <w:rPr>
                <w:rFonts w:ascii="Times New Roman" w:hAnsi="Times New Roman"/>
                <w:sz w:val="26"/>
                <w:szCs w:val="26"/>
                <w:lang w:val="en-US" w:eastAsia="ru-RU"/>
              </w:rPr>
              <w:t>%</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145</w:t>
            </w:r>
          </w:p>
        </w:tc>
        <w:tc>
          <w:tcPr>
            <w:tcW w:w="342"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142</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161</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158</w:t>
            </w:r>
          </w:p>
        </w:tc>
        <w:tc>
          <w:tcPr>
            <w:tcW w:w="342"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150</w:t>
            </w:r>
          </w:p>
        </w:tc>
        <w:tc>
          <w:tcPr>
            <w:tcW w:w="35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145</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142</w:t>
            </w:r>
          </w:p>
        </w:tc>
      </w:tr>
    </w:tbl>
    <w:p w:rsidR="004616EA" w:rsidRDefault="004616EA">
      <w:pPr>
        <w:sectPr w:rsidR="004616EA" w:rsidSect="00461CB8">
          <w:type w:val="continuous"/>
          <w:pgSz w:w="16838" w:h="11906" w:orient="landscape"/>
          <w:pgMar w:top="2552" w:right="567" w:bottom="567"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8"/>
        <w:gridCol w:w="4512"/>
        <w:gridCol w:w="2452"/>
        <w:gridCol w:w="1089"/>
        <w:gridCol w:w="1089"/>
        <w:gridCol w:w="1219"/>
        <w:gridCol w:w="1219"/>
        <w:gridCol w:w="1089"/>
        <w:gridCol w:w="1124"/>
        <w:gridCol w:w="1219"/>
      </w:tblGrid>
      <w:tr w:rsidR="004616EA" w:rsidRPr="002121B4" w:rsidTr="002121B4">
        <w:trPr>
          <w:trHeight w:val="838"/>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2.7</w:t>
            </w:r>
          </w:p>
        </w:tc>
        <w:tc>
          <w:tcPr>
            <w:tcW w:w="4715" w:type="pct"/>
            <w:gridSpan w:val="9"/>
            <w:shd w:val="clear" w:color="auto" w:fill="FFFFFF"/>
            <w:vAlign w:val="center"/>
          </w:tcPr>
          <w:p w:rsidR="004616EA" w:rsidRPr="002121B4" w:rsidRDefault="004616EA" w:rsidP="00961F56">
            <w:pPr>
              <w:spacing w:after="0"/>
              <w:jc w:val="both"/>
              <w:rPr>
                <w:rFonts w:ascii="Times New Roman" w:hAnsi="Times New Roman"/>
                <w:b/>
                <w:sz w:val="26"/>
                <w:szCs w:val="26"/>
              </w:rPr>
            </w:pPr>
            <w:r w:rsidRPr="002121B4">
              <w:rPr>
                <w:rFonts w:ascii="Times New Roman" w:hAnsi="Times New Roman"/>
                <w:b/>
                <w:sz w:val="26"/>
                <w:szCs w:val="26"/>
              </w:rPr>
              <w:t>Цель 7. Повышение эффективности деятельности отрасли физическая культура и спорт, достижение спортсменами города Когалыма высших спортивных результатов на окружных, всероссийских и международных спортивных соревнованиях</w:t>
            </w:r>
          </w:p>
        </w:tc>
      </w:tr>
      <w:tr w:rsidR="004616EA" w:rsidRPr="002121B4" w:rsidTr="002121B4">
        <w:trPr>
          <w:trHeight w:val="553"/>
        </w:trPr>
        <w:tc>
          <w:tcPr>
            <w:tcW w:w="285" w:type="pct"/>
            <w:shd w:val="clear" w:color="auto" w:fill="FFFFFF"/>
            <w:noWrap/>
            <w:vAlign w:val="center"/>
          </w:tcPr>
          <w:p w:rsidR="004616EA" w:rsidRPr="002121B4" w:rsidRDefault="004616EA" w:rsidP="00650920">
            <w:pPr>
              <w:spacing w:after="0"/>
              <w:jc w:val="center"/>
              <w:rPr>
                <w:rFonts w:ascii="Times New Roman" w:hAnsi="Times New Roman"/>
                <w:sz w:val="26"/>
                <w:szCs w:val="26"/>
              </w:rPr>
            </w:pPr>
            <w:r w:rsidRPr="002121B4">
              <w:rPr>
                <w:rFonts w:ascii="Times New Roman" w:hAnsi="Times New Roman"/>
                <w:sz w:val="26"/>
                <w:szCs w:val="26"/>
              </w:rPr>
              <w:t>2.7.1</w:t>
            </w:r>
          </w:p>
        </w:tc>
        <w:tc>
          <w:tcPr>
            <w:tcW w:w="1417" w:type="pct"/>
            <w:shd w:val="clear" w:color="auto" w:fill="FFFFFF"/>
            <w:vAlign w:val="center"/>
          </w:tcPr>
          <w:p w:rsidR="004616EA" w:rsidRPr="002121B4" w:rsidRDefault="004616EA" w:rsidP="00650920">
            <w:pPr>
              <w:spacing w:after="0" w:line="240" w:lineRule="auto"/>
              <w:rPr>
                <w:rFonts w:ascii="Times New Roman" w:hAnsi="Times New Roman"/>
                <w:sz w:val="26"/>
                <w:szCs w:val="26"/>
              </w:rPr>
            </w:pPr>
            <w:r w:rsidRPr="002121B4">
              <w:rPr>
                <w:rFonts w:ascii="Times New Roman" w:hAnsi="Times New Roman"/>
                <w:sz w:val="26"/>
                <w:szCs w:val="26"/>
              </w:rPr>
              <w:t>Обеспеченность физкультурно-спортивными залами</w:t>
            </w:r>
          </w:p>
        </w:tc>
        <w:tc>
          <w:tcPr>
            <w:tcW w:w="770" w:type="pct"/>
            <w:shd w:val="clear" w:color="auto" w:fill="FFFFFF"/>
            <w:vAlign w:val="center"/>
          </w:tcPr>
          <w:p w:rsidR="004616EA" w:rsidRPr="002121B4" w:rsidRDefault="004616EA" w:rsidP="00650920">
            <w:pPr>
              <w:spacing w:after="0"/>
              <w:jc w:val="center"/>
              <w:rPr>
                <w:rFonts w:ascii="Times New Roman" w:hAnsi="Times New Roman"/>
                <w:sz w:val="26"/>
                <w:szCs w:val="26"/>
              </w:rPr>
            </w:pPr>
            <w:r w:rsidRPr="002121B4">
              <w:rPr>
                <w:rFonts w:ascii="Times New Roman" w:hAnsi="Times New Roman"/>
                <w:sz w:val="26"/>
                <w:szCs w:val="26"/>
                <w:lang w:val="en-US" w:eastAsia="ru-RU"/>
              </w:rPr>
              <w:t>%</w:t>
            </w:r>
          </w:p>
        </w:tc>
        <w:tc>
          <w:tcPr>
            <w:tcW w:w="342" w:type="pct"/>
            <w:shd w:val="clear" w:color="auto" w:fill="FFFFFF"/>
            <w:vAlign w:val="center"/>
          </w:tcPr>
          <w:p w:rsidR="004616EA" w:rsidRPr="002121B4" w:rsidRDefault="004616EA" w:rsidP="00650920">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82,5</w:t>
            </w:r>
          </w:p>
        </w:tc>
        <w:tc>
          <w:tcPr>
            <w:tcW w:w="342" w:type="pct"/>
            <w:shd w:val="clear" w:color="auto" w:fill="FFFFFF"/>
            <w:noWrap/>
            <w:vAlign w:val="center"/>
          </w:tcPr>
          <w:p w:rsidR="004616EA" w:rsidRPr="002121B4" w:rsidRDefault="004616EA" w:rsidP="00650920">
            <w:pPr>
              <w:spacing w:after="0"/>
              <w:jc w:val="center"/>
              <w:rPr>
                <w:rFonts w:ascii="Times New Roman" w:hAnsi="Times New Roman"/>
                <w:sz w:val="26"/>
                <w:szCs w:val="26"/>
                <w:lang w:eastAsia="ru-RU"/>
              </w:rPr>
            </w:pPr>
            <w:r w:rsidRPr="002121B4">
              <w:rPr>
                <w:rFonts w:ascii="Times New Roman" w:hAnsi="Times New Roman"/>
                <w:sz w:val="26"/>
                <w:szCs w:val="26"/>
                <w:lang w:eastAsia="ru-RU"/>
              </w:rPr>
              <w:t>81,0</w:t>
            </w:r>
          </w:p>
        </w:tc>
        <w:tc>
          <w:tcPr>
            <w:tcW w:w="383" w:type="pct"/>
            <w:shd w:val="clear" w:color="auto" w:fill="FFFFFF"/>
            <w:noWrap/>
            <w:vAlign w:val="center"/>
          </w:tcPr>
          <w:p w:rsidR="004616EA" w:rsidRPr="002121B4" w:rsidRDefault="004616EA" w:rsidP="00650920">
            <w:pPr>
              <w:spacing w:after="0"/>
              <w:jc w:val="center"/>
              <w:rPr>
                <w:rFonts w:ascii="Times New Roman" w:hAnsi="Times New Roman"/>
                <w:sz w:val="26"/>
                <w:szCs w:val="26"/>
                <w:lang w:eastAsia="ru-RU"/>
              </w:rPr>
            </w:pPr>
            <w:r w:rsidRPr="002121B4">
              <w:rPr>
                <w:rFonts w:ascii="Times New Roman" w:hAnsi="Times New Roman"/>
                <w:sz w:val="26"/>
                <w:szCs w:val="26"/>
                <w:lang w:eastAsia="ru-RU"/>
              </w:rPr>
              <w:t>79,6</w:t>
            </w:r>
          </w:p>
        </w:tc>
        <w:tc>
          <w:tcPr>
            <w:tcW w:w="383" w:type="pct"/>
            <w:shd w:val="clear" w:color="auto" w:fill="FFFFFF"/>
            <w:noWrap/>
            <w:vAlign w:val="center"/>
          </w:tcPr>
          <w:p w:rsidR="004616EA" w:rsidRPr="002121B4" w:rsidRDefault="004616EA" w:rsidP="00650920">
            <w:pPr>
              <w:spacing w:after="0"/>
              <w:jc w:val="center"/>
              <w:rPr>
                <w:rFonts w:ascii="Times New Roman" w:hAnsi="Times New Roman"/>
                <w:sz w:val="26"/>
                <w:szCs w:val="26"/>
                <w:lang w:eastAsia="ru-RU"/>
              </w:rPr>
            </w:pPr>
            <w:r w:rsidRPr="002121B4">
              <w:rPr>
                <w:rFonts w:ascii="Times New Roman" w:hAnsi="Times New Roman"/>
                <w:sz w:val="26"/>
                <w:szCs w:val="26"/>
                <w:lang w:eastAsia="ru-RU"/>
              </w:rPr>
              <w:t>78,2</w:t>
            </w:r>
          </w:p>
        </w:tc>
        <w:tc>
          <w:tcPr>
            <w:tcW w:w="342" w:type="pct"/>
            <w:shd w:val="clear" w:color="auto" w:fill="FFFFFF"/>
            <w:noWrap/>
            <w:vAlign w:val="center"/>
          </w:tcPr>
          <w:p w:rsidR="004616EA" w:rsidRPr="002121B4" w:rsidRDefault="004616EA" w:rsidP="00650920">
            <w:pPr>
              <w:spacing w:after="0"/>
              <w:jc w:val="center"/>
              <w:rPr>
                <w:rFonts w:ascii="Times New Roman" w:hAnsi="Times New Roman"/>
                <w:sz w:val="26"/>
                <w:szCs w:val="26"/>
                <w:lang w:eastAsia="ru-RU"/>
              </w:rPr>
            </w:pPr>
            <w:r w:rsidRPr="002121B4">
              <w:rPr>
                <w:rFonts w:ascii="Times New Roman" w:hAnsi="Times New Roman"/>
                <w:sz w:val="26"/>
                <w:szCs w:val="26"/>
                <w:lang w:eastAsia="ru-RU"/>
              </w:rPr>
              <w:t>76,9</w:t>
            </w:r>
          </w:p>
        </w:tc>
        <w:tc>
          <w:tcPr>
            <w:tcW w:w="353" w:type="pct"/>
            <w:shd w:val="clear" w:color="auto" w:fill="FFFFFF"/>
            <w:noWrap/>
            <w:vAlign w:val="center"/>
          </w:tcPr>
          <w:p w:rsidR="004616EA" w:rsidRPr="002121B4" w:rsidRDefault="004616EA" w:rsidP="00650920">
            <w:pPr>
              <w:spacing w:after="0"/>
              <w:jc w:val="center"/>
              <w:rPr>
                <w:rFonts w:ascii="Times New Roman" w:hAnsi="Times New Roman"/>
                <w:sz w:val="26"/>
                <w:szCs w:val="26"/>
                <w:lang w:eastAsia="ru-RU"/>
              </w:rPr>
            </w:pPr>
            <w:r w:rsidRPr="002121B4">
              <w:rPr>
                <w:rFonts w:ascii="Times New Roman" w:hAnsi="Times New Roman"/>
                <w:sz w:val="26"/>
                <w:szCs w:val="26"/>
                <w:lang w:eastAsia="ru-RU"/>
              </w:rPr>
              <w:t>76,9</w:t>
            </w:r>
          </w:p>
        </w:tc>
        <w:tc>
          <w:tcPr>
            <w:tcW w:w="383" w:type="pct"/>
            <w:shd w:val="clear" w:color="auto" w:fill="FFFFFF"/>
            <w:noWrap/>
            <w:vAlign w:val="center"/>
          </w:tcPr>
          <w:p w:rsidR="004616EA" w:rsidRPr="002121B4" w:rsidRDefault="004616EA" w:rsidP="00650920">
            <w:pPr>
              <w:spacing w:after="0"/>
              <w:jc w:val="center"/>
              <w:rPr>
                <w:rFonts w:ascii="Times New Roman" w:hAnsi="Times New Roman"/>
                <w:sz w:val="26"/>
                <w:szCs w:val="26"/>
                <w:lang w:eastAsia="ru-RU"/>
              </w:rPr>
            </w:pPr>
            <w:r w:rsidRPr="002121B4">
              <w:rPr>
                <w:rFonts w:ascii="Times New Roman" w:hAnsi="Times New Roman"/>
                <w:sz w:val="26"/>
                <w:szCs w:val="26"/>
                <w:lang w:eastAsia="ru-RU"/>
              </w:rPr>
              <w:t>77,4</w:t>
            </w:r>
          </w:p>
        </w:tc>
      </w:tr>
      <w:tr w:rsidR="004616EA" w:rsidRPr="002121B4" w:rsidTr="002121B4">
        <w:trPr>
          <w:trHeight w:val="553"/>
        </w:trPr>
        <w:tc>
          <w:tcPr>
            <w:tcW w:w="285" w:type="pct"/>
            <w:shd w:val="clear" w:color="auto" w:fill="FFFFFF"/>
            <w:noWrap/>
            <w:vAlign w:val="center"/>
          </w:tcPr>
          <w:p w:rsidR="004616EA" w:rsidRPr="002121B4" w:rsidRDefault="004616EA" w:rsidP="00650920">
            <w:pPr>
              <w:spacing w:after="0"/>
              <w:jc w:val="center"/>
              <w:rPr>
                <w:rFonts w:ascii="Times New Roman" w:hAnsi="Times New Roman"/>
                <w:sz w:val="26"/>
                <w:szCs w:val="26"/>
              </w:rPr>
            </w:pPr>
            <w:r w:rsidRPr="002121B4">
              <w:rPr>
                <w:rFonts w:ascii="Times New Roman" w:hAnsi="Times New Roman"/>
                <w:sz w:val="26"/>
                <w:szCs w:val="26"/>
              </w:rPr>
              <w:t>2.7.2</w:t>
            </w:r>
          </w:p>
        </w:tc>
        <w:tc>
          <w:tcPr>
            <w:tcW w:w="1417" w:type="pct"/>
            <w:shd w:val="clear" w:color="auto" w:fill="FFFFFF"/>
            <w:vAlign w:val="center"/>
          </w:tcPr>
          <w:p w:rsidR="004616EA" w:rsidRPr="002121B4" w:rsidRDefault="004616EA" w:rsidP="00650920">
            <w:pPr>
              <w:rPr>
                <w:rFonts w:ascii="Times New Roman" w:hAnsi="Times New Roman"/>
                <w:sz w:val="26"/>
                <w:szCs w:val="26"/>
              </w:rPr>
            </w:pPr>
            <w:r w:rsidRPr="002121B4">
              <w:rPr>
                <w:rFonts w:ascii="Times New Roman" w:hAnsi="Times New Roman"/>
                <w:sz w:val="26"/>
                <w:szCs w:val="26"/>
              </w:rPr>
              <w:t>Обеспеченность плавательными бассейнами</w:t>
            </w:r>
          </w:p>
        </w:tc>
        <w:tc>
          <w:tcPr>
            <w:tcW w:w="770" w:type="pct"/>
            <w:shd w:val="clear" w:color="auto" w:fill="FFFFFF"/>
            <w:vAlign w:val="center"/>
          </w:tcPr>
          <w:p w:rsidR="004616EA" w:rsidRPr="002121B4" w:rsidRDefault="004616EA" w:rsidP="00650920">
            <w:pPr>
              <w:spacing w:after="0"/>
              <w:jc w:val="center"/>
              <w:rPr>
                <w:rFonts w:ascii="Times New Roman" w:hAnsi="Times New Roman"/>
                <w:sz w:val="26"/>
                <w:szCs w:val="26"/>
              </w:rPr>
            </w:pPr>
            <w:r w:rsidRPr="002121B4">
              <w:rPr>
                <w:rFonts w:ascii="Times New Roman" w:hAnsi="Times New Roman"/>
                <w:sz w:val="26"/>
                <w:szCs w:val="26"/>
                <w:lang w:val="en-US" w:eastAsia="ru-RU"/>
              </w:rPr>
              <w:t>%</w:t>
            </w:r>
          </w:p>
        </w:tc>
        <w:tc>
          <w:tcPr>
            <w:tcW w:w="342" w:type="pct"/>
            <w:shd w:val="clear" w:color="auto" w:fill="FFFFFF"/>
            <w:vAlign w:val="center"/>
          </w:tcPr>
          <w:p w:rsidR="004616EA" w:rsidRPr="002121B4" w:rsidRDefault="004616EA" w:rsidP="00650920">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10,8</w:t>
            </w:r>
          </w:p>
        </w:tc>
        <w:tc>
          <w:tcPr>
            <w:tcW w:w="342" w:type="pct"/>
            <w:shd w:val="clear" w:color="auto" w:fill="FFFFFF"/>
            <w:noWrap/>
            <w:vAlign w:val="center"/>
          </w:tcPr>
          <w:p w:rsidR="004616EA" w:rsidRPr="002121B4" w:rsidRDefault="004616EA" w:rsidP="00650920">
            <w:pPr>
              <w:spacing w:after="0"/>
              <w:jc w:val="center"/>
              <w:rPr>
                <w:rFonts w:ascii="Times New Roman" w:hAnsi="Times New Roman"/>
                <w:sz w:val="26"/>
                <w:szCs w:val="26"/>
                <w:lang w:eastAsia="ru-RU"/>
              </w:rPr>
            </w:pPr>
            <w:r w:rsidRPr="002121B4">
              <w:rPr>
                <w:rFonts w:ascii="Times New Roman" w:hAnsi="Times New Roman"/>
                <w:sz w:val="26"/>
                <w:szCs w:val="26"/>
                <w:lang w:eastAsia="ru-RU"/>
              </w:rPr>
              <w:t>10,6</w:t>
            </w:r>
          </w:p>
        </w:tc>
        <w:tc>
          <w:tcPr>
            <w:tcW w:w="383" w:type="pct"/>
            <w:shd w:val="clear" w:color="auto" w:fill="FFFFFF"/>
            <w:noWrap/>
            <w:vAlign w:val="center"/>
          </w:tcPr>
          <w:p w:rsidR="004616EA" w:rsidRPr="002121B4" w:rsidRDefault="004616EA" w:rsidP="00650920">
            <w:pPr>
              <w:spacing w:after="0"/>
              <w:jc w:val="center"/>
              <w:rPr>
                <w:rFonts w:ascii="Times New Roman" w:hAnsi="Times New Roman"/>
                <w:sz w:val="26"/>
                <w:szCs w:val="26"/>
                <w:lang w:eastAsia="ru-RU"/>
              </w:rPr>
            </w:pPr>
            <w:r w:rsidRPr="002121B4">
              <w:rPr>
                <w:rFonts w:ascii="Times New Roman" w:hAnsi="Times New Roman"/>
                <w:sz w:val="26"/>
                <w:szCs w:val="26"/>
                <w:lang w:eastAsia="ru-RU"/>
              </w:rPr>
              <w:t>10,4</w:t>
            </w:r>
          </w:p>
        </w:tc>
        <w:tc>
          <w:tcPr>
            <w:tcW w:w="383" w:type="pct"/>
            <w:shd w:val="clear" w:color="auto" w:fill="FFFFFF"/>
            <w:noWrap/>
            <w:vAlign w:val="center"/>
          </w:tcPr>
          <w:p w:rsidR="004616EA" w:rsidRPr="002121B4" w:rsidRDefault="004616EA" w:rsidP="00650920">
            <w:pPr>
              <w:spacing w:after="0"/>
              <w:jc w:val="center"/>
              <w:rPr>
                <w:rFonts w:ascii="Times New Roman" w:hAnsi="Times New Roman"/>
                <w:sz w:val="26"/>
                <w:szCs w:val="26"/>
                <w:lang w:eastAsia="ru-RU"/>
              </w:rPr>
            </w:pPr>
            <w:r w:rsidRPr="002121B4">
              <w:rPr>
                <w:rFonts w:ascii="Times New Roman" w:hAnsi="Times New Roman"/>
                <w:sz w:val="26"/>
                <w:szCs w:val="26"/>
                <w:lang w:eastAsia="ru-RU"/>
              </w:rPr>
              <w:t>10,2</w:t>
            </w:r>
          </w:p>
        </w:tc>
        <w:tc>
          <w:tcPr>
            <w:tcW w:w="342" w:type="pct"/>
            <w:shd w:val="clear" w:color="auto" w:fill="FFFFFF"/>
            <w:noWrap/>
            <w:vAlign w:val="center"/>
          </w:tcPr>
          <w:p w:rsidR="004616EA" w:rsidRPr="002121B4" w:rsidRDefault="004616EA" w:rsidP="00650920">
            <w:pPr>
              <w:spacing w:after="0"/>
              <w:jc w:val="center"/>
              <w:rPr>
                <w:rFonts w:ascii="Times New Roman" w:hAnsi="Times New Roman"/>
                <w:sz w:val="26"/>
                <w:szCs w:val="26"/>
                <w:lang w:eastAsia="ru-RU"/>
              </w:rPr>
            </w:pPr>
            <w:r w:rsidRPr="002121B4">
              <w:rPr>
                <w:rFonts w:ascii="Times New Roman" w:hAnsi="Times New Roman"/>
                <w:sz w:val="26"/>
                <w:szCs w:val="26"/>
                <w:lang w:eastAsia="ru-RU"/>
              </w:rPr>
              <w:t>34,2</w:t>
            </w:r>
          </w:p>
        </w:tc>
        <w:tc>
          <w:tcPr>
            <w:tcW w:w="353" w:type="pct"/>
            <w:shd w:val="clear" w:color="auto" w:fill="FFFFFF"/>
            <w:noWrap/>
            <w:vAlign w:val="center"/>
          </w:tcPr>
          <w:p w:rsidR="004616EA" w:rsidRPr="002121B4" w:rsidRDefault="004616EA" w:rsidP="00650920">
            <w:pPr>
              <w:spacing w:after="0"/>
              <w:jc w:val="center"/>
              <w:rPr>
                <w:rFonts w:ascii="Times New Roman" w:hAnsi="Times New Roman"/>
                <w:sz w:val="26"/>
                <w:szCs w:val="26"/>
                <w:lang w:eastAsia="ru-RU"/>
              </w:rPr>
            </w:pPr>
            <w:r w:rsidRPr="002121B4">
              <w:rPr>
                <w:rFonts w:ascii="Times New Roman" w:hAnsi="Times New Roman"/>
                <w:sz w:val="26"/>
                <w:szCs w:val="26"/>
                <w:lang w:eastAsia="ru-RU"/>
              </w:rPr>
              <w:t>33,2</w:t>
            </w:r>
          </w:p>
        </w:tc>
        <w:tc>
          <w:tcPr>
            <w:tcW w:w="383" w:type="pct"/>
            <w:shd w:val="clear" w:color="auto" w:fill="FFFFFF"/>
            <w:noWrap/>
            <w:vAlign w:val="center"/>
          </w:tcPr>
          <w:p w:rsidR="004616EA" w:rsidRPr="002121B4" w:rsidRDefault="004616EA" w:rsidP="00650920">
            <w:pPr>
              <w:spacing w:after="0"/>
              <w:jc w:val="center"/>
              <w:rPr>
                <w:rFonts w:ascii="Times New Roman" w:hAnsi="Times New Roman"/>
                <w:sz w:val="26"/>
                <w:szCs w:val="26"/>
                <w:lang w:eastAsia="ru-RU"/>
              </w:rPr>
            </w:pPr>
            <w:r w:rsidRPr="002121B4">
              <w:rPr>
                <w:rFonts w:ascii="Times New Roman" w:hAnsi="Times New Roman"/>
                <w:sz w:val="26"/>
                <w:szCs w:val="26"/>
                <w:lang w:eastAsia="ru-RU"/>
              </w:rPr>
              <w:t>32,4</w:t>
            </w:r>
          </w:p>
        </w:tc>
      </w:tr>
      <w:tr w:rsidR="004616EA" w:rsidRPr="002121B4" w:rsidTr="002121B4">
        <w:trPr>
          <w:trHeight w:val="300"/>
        </w:trPr>
        <w:tc>
          <w:tcPr>
            <w:tcW w:w="285" w:type="pct"/>
            <w:shd w:val="clear" w:color="auto" w:fill="FFFFFF"/>
            <w:noWrap/>
            <w:vAlign w:val="center"/>
          </w:tcPr>
          <w:p w:rsidR="004616EA" w:rsidRPr="002121B4" w:rsidRDefault="004616EA" w:rsidP="00961F56">
            <w:pPr>
              <w:keepNext/>
              <w:keepLines/>
              <w:spacing w:after="0"/>
              <w:jc w:val="center"/>
              <w:rPr>
                <w:rFonts w:ascii="Times New Roman" w:hAnsi="Times New Roman"/>
                <w:b/>
                <w:sz w:val="26"/>
                <w:szCs w:val="26"/>
              </w:rPr>
            </w:pPr>
            <w:r w:rsidRPr="002121B4">
              <w:rPr>
                <w:rFonts w:ascii="Times New Roman" w:hAnsi="Times New Roman"/>
                <w:b/>
                <w:sz w:val="26"/>
                <w:szCs w:val="26"/>
              </w:rPr>
              <w:t>2.8</w:t>
            </w:r>
          </w:p>
        </w:tc>
        <w:tc>
          <w:tcPr>
            <w:tcW w:w="4715" w:type="pct"/>
            <w:gridSpan w:val="9"/>
            <w:shd w:val="clear" w:color="auto" w:fill="FFFFFF"/>
            <w:vAlign w:val="center"/>
          </w:tcPr>
          <w:p w:rsidR="004616EA" w:rsidRPr="002121B4" w:rsidRDefault="004616EA" w:rsidP="00961F56">
            <w:pPr>
              <w:spacing w:after="0"/>
              <w:jc w:val="both"/>
              <w:rPr>
                <w:rFonts w:ascii="Times New Roman" w:hAnsi="Times New Roman"/>
                <w:b/>
                <w:sz w:val="26"/>
                <w:szCs w:val="26"/>
              </w:rPr>
            </w:pPr>
            <w:r w:rsidRPr="002121B4">
              <w:rPr>
                <w:rFonts w:ascii="Times New Roman" w:hAnsi="Times New Roman"/>
                <w:b/>
                <w:sz w:val="26"/>
                <w:szCs w:val="26"/>
              </w:rPr>
              <w:t>Цель 8. Сохранение и популяризация культурного наследия города, реализация творческого потенциала жителей города, повышение качества предоставляемых услуг в области культуры и искусства</w:t>
            </w:r>
          </w:p>
        </w:tc>
      </w:tr>
      <w:tr w:rsidR="004616EA" w:rsidRPr="002121B4" w:rsidTr="002121B4">
        <w:trPr>
          <w:trHeight w:val="382"/>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2.8.1</w:t>
            </w:r>
          </w:p>
        </w:tc>
        <w:tc>
          <w:tcPr>
            <w:tcW w:w="1417" w:type="pct"/>
            <w:shd w:val="clear" w:color="auto" w:fill="FFFFFF"/>
            <w:vAlign w:val="center"/>
          </w:tcPr>
          <w:p w:rsidR="004616EA" w:rsidRPr="002121B4" w:rsidRDefault="004616EA" w:rsidP="00961F56">
            <w:pPr>
              <w:spacing w:after="0" w:line="240" w:lineRule="auto"/>
              <w:rPr>
                <w:rFonts w:ascii="Times New Roman" w:hAnsi="Times New Roman"/>
                <w:sz w:val="26"/>
                <w:szCs w:val="26"/>
              </w:rPr>
            </w:pPr>
            <w:r w:rsidRPr="002121B4">
              <w:rPr>
                <w:rFonts w:ascii="Times New Roman" w:hAnsi="Times New Roman"/>
                <w:sz w:val="26"/>
                <w:szCs w:val="26"/>
              </w:rPr>
              <w:t>Обеспеченность общедоступными библиотеками</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lang w:val="en-US" w:eastAsia="ru-RU"/>
              </w:rPr>
              <w:t>%</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33</w:t>
            </w:r>
          </w:p>
        </w:tc>
        <w:tc>
          <w:tcPr>
            <w:tcW w:w="342"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33</w:t>
            </w:r>
          </w:p>
        </w:tc>
        <w:tc>
          <w:tcPr>
            <w:tcW w:w="38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33</w:t>
            </w:r>
          </w:p>
        </w:tc>
        <w:tc>
          <w:tcPr>
            <w:tcW w:w="38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33</w:t>
            </w:r>
          </w:p>
        </w:tc>
        <w:tc>
          <w:tcPr>
            <w:tcW w:w="342"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33</w:t>
            </w:r>
          </w:p>
        </w:tc>
        <w:tc>
          <w:tcPr>
            <w:tcW w:w="35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57</w:t>
            </w:r>
          </w:p>
        </w:tc>
        <w:tc>
          <w:tcPr>
            <w:tcW w:w="38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100</w:t>
            </w:r>
          </w:p>
        </w:tc>
      </w:tr>
      <w:tr w:rsidR="004616EA" w:rsidRPr="002121B4" w:rsidTr="002121B4">
        <w:trPr>
          <w:trHeight w:val="382"/>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lang w:val="en-US"/>
              </w:rPr>
            </w:pPr>
            <w:r w:rsidRPr="002121B4">
              <w:rPr>
                <w:rFonts w:ascii="Times New Roman" w:hAnsi="Times New Roman"/>
                <w:sz w:val="26"/>
                <w:szCs w:val="26"/>
              </w:rPr>
              <w:t>2.8.</w:t>
            </w:r>
            <w:r w:rsidRPr="002121B4">
              <w:rPr>
                <w:rFonts w:ascii="Times New Roman" w:hAnsi="Times New Roman"/>
                <w:sz w:val="26"/>
                <w:szCs w:val="26"/>
                <w:lang w:val="en-US"/>
              </w:rPr>
              <w:t>2</w:t>
            </w:r>
          </w:p>
        </w:tc>
        <w:tc>
          <w:tcPr>
            <w:tcW w:w="1417" w:type="pct"/>
            <w:shd w:val="clear" w:color="auto" w:fill="FFFFFF"/>
            <w:vAlign w:val="center"/>
          </w:tcPr>
          <w:p w:rsidR="004616EA" w:rsidRPr="002121B4" w:rsidRDefault="004616EA" w:rsidP="00961F56">
            <w:pPr>
              <w:spacing w:after="0" w:line="240" w:lineRule="auto"/>
              <w:rPr>
                <w:rFonts w:ascii="Times New Roman" w:hAnsi="Times New Roman"/>
                <w:sz w:val="26"/>
                <w:szCs w:val="26"/>
              </w:rPr>
            </w:pPr>
            <w:r w:rsidRPr="002121B4">
              <w:rPr>
                <w:rFonts w:ascii="Times New Roman" w:hAnsi="Times New Roman"/>
                <w:sz w:val="26"/>
                <w:szCs w:val="26"/>
              </w:rPr>
              <w:t>Обеспеченность детскими библиотеками</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val="en-US" w:eastAsia="ru-RU"/>
              </w:rPr>
              <w:t>%</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50</w:t>
            </w:r>
          </w:p>
        </w:tc>
        <w:tc>
          <w:tcPr>
            <w:tcW w:w="342"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50</w:t>
            </w:r>
          </w:p>
        </w:tc>
        <w:tc>
          <w:tcPr>
            <w:tcW w:w="38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50</w:t>
            </w:r>
          </w:p>
        </w:tc>
        <w:tc>
          <w:tcPr>
            <w:tcW w:w="38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50</w:t>
            </w:r>
          </w:p>
        </w:tc>
        <w:tc>
          <w:tcPr>
            <w:tcW w:w="342"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50</w:t>
            </w:r>
          </w:p>
        </w:tc>
        <w:tc>
          <w:tcPr>
            <w:tcW w:w="35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100</w:t>
            </w:r>
          </w:p>
        </w:tc>
        <w:tc>
          <w:tcPr>
            <w:tcW w:w="38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100</w:t>
            </w:r>
          </w:p>
        </w:tc>
      </w:tr>
      <w:tr w:rsidR="004616EA" w:rsidRPr="002121B4" w:rsidTr="002121B4">
        <w:trPr>
          <w:trHeight w:val="382"/>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2.8.3</w:t>
            </w:r>
          </w:p>
        </w:tc>
        <w:tc>
          <w:tcPr>
            <w:tcW w:w="1417" w:type="pct"/>
            <w:shd w:val="clear" w:color="auto" w:fill="FFFFFF"/>
            <w:vAlign w:val="center"/>
          </w:tcPr>
          <w:p w:rsidR="004616EA" w:rsidRPr="002121B4" w:rsidRDefault="004616EA" w:rsidP="00961F56">
            <w:pPr>
              <w:spacing w:after="0" w:line="240" w:lineRule="auto"/>
              <w:rPr>
                <w:rFonts w:ascii="Times New Roman" w:hAnsi="Times New Roman"/>
                <w:sz w:val="26"/>
                <w:szCs w:val="26"/>
              </w:rPr>
            </w:pPr>
            <w:r w:rsidRPr="002121B4">
              <w:rPr>
                <w:rFonts w:ascii="Times New Roman" w:hAnsi="Times New Roman"/>
                <w:sz w:val="26"/>
                <w:szCs w:val="26"/>
              </w:rPr>
              <w:t>Обеспеченность учреждениями культуры клубного типа</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val="en-US" w:eastAsia="ru-RU"/>
              </w:rPr>
              <w:t>%</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75,0</w:t>
            </w:r>
          </w:p>
        </w:tc>
        <w:tc>
          <w:tcPr>
            <w:tcW w:w="342"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73,6</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72,4</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71,1</w:t>
            </w:r>
          </w:p>
        </w:tc>
        <w:tc>
          <w:tcPr>
            <w:tcW w:w="342"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67,5</w:t>
            </w:r>
          </w:p>
        </w:tc>
        <w:tc>
          <w:tcPr>
            <w:tcW w:w="35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65,3</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100</w:t>
            </w:r>
          </w:p>
        </w:tc>
      </w:tr>
      <w:tr w:rsidR="004616EA" w:rsidRPr="002121B4" w:rsidTr="002121B4">
        <w:trPr>
          <w:trHeight w:val="421"/>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2.9</w:t>
            </w:r>
          </w:p>
        </w:tc>
        <w:tc>
          <w:tcPr>
            <w:tcW w:w="4715" w:type="pct"/>
            <w:gridSpan w:val="9"/>
            <w:shd w:val="clear" w:color="auto" w:fill="FFFFFF"/>
            <w:vAlign w:val="center"/>
          </w:tcPr>
          <w:p w:rsidR="004616EA" w:rsidRPr="002121B4" w:rsidRDefault="004616EA" w:rsidP="00961F56">
            <w:pPr>
              <w:spacing w:after="0" w:line="240" w:lineRule="auto"/>
              <w:rPr>
                <w:rFonts w:ascii="Times New Roman" w:hAnsi="Times New Roman"/>
                <w:b/>
                <w:sz w:val="26"/>
                <w:szCs w:val="26"/>
                <w:lang w:eastAsia="ru-RU"/>
              </w:rPr>
            </w:pPr>
            <w:r w:rsidRPr="002121B4">
              <w:rPr>
                <w:rFonts w:ascii="Times New Roman" w:hAnsi="Times New Roman"/>
                <w:b/>
                <w:sz w:val="26"/>
                <w:szCs w:val="26"/>
              </w:rPr>
              <w:t>Цель 9. Улучшение экологического состояния территории</w:t>
            </w:r>
          </w:p>
        </w:tc>
      </w:tr>
      <w:tr w:rsidR="004616EA" w:rsidRPr="002121B4" w:rsidTr="002121B4">
        <w:trPr>
          <w:trHeight w:val="345"/>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2.9.1</w:t>
            </w:r>
          </w:p>
        </w:tc>
        <w:tc>
          <w:tcPr>
            <w:tcW w:w="1417" w:type="pct"/>
            <w:shd w:val="clear" w:color="auto" w:fill="FFFFFF"/>
          </w:tcPr>
          <w:p w:rsidR="004616EA" w:rsidRPr="002121B4" w:rsidRDefault="004616EA" w:rsidP="00961F56">
            <w:pPr>
              <w:spacing w:after="0" w:line="240" w:lineRule="auto"/>
              <w:rPr>
                <w:rFonts w:ascii="Times New Roman" w:hAnsi="Times New Roman"/>
                <w:sz w:val="26"/>
                <w:szCs w:val="26"/>
                <w:lang w:eastAsia="ru-RU"/>
              </w:rPr>
            </w:pPr>
            <w:r w:rsidRPr="002121B4">
              <w:rPr>
                <w:rFonts w:ascii="Times New Roman" w:hAnsi="Times New Roman"/>
                <w:sz w:val="26"/>
                <w:szCs w:val="26"/>
                <w:lang w:eastAsia="ru-RU"/>
              </w:rPr>
              <w:t>Объем утилизируемых отходов на полигоне ТБО</w:t>
            </w:r>
          </w:p>
        </w:tc>
        <w:tc>
          <w:tcPr>
            <w:tcW w:w="770" w:type="pct"/>
            <w:shd w:val="clear" w:color="auto" w:fill="FFFFFF"/>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w:t>
            </w:r>
          </w:p>
        </w:tc>
        <w:tc>
          <w:tcPr>
            <w:tcW w:w="342" w:type="pct"/>
            <w:shd w:val="clear" w:color="auto" w:fill="FFFFFF"/>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w:t>
            </w:r>
          </w:p>
        </w:tc>
        <w:tc>
          <w:tcPr>
            <w:tcW w:w="342" w:type="pct"/>
            <w:shd w:val="clear" w:color="auto" w:fill="FFFFFF"/>
            <w:noWrap/>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w:t>
            </w:r>
          </w:p>
        </w:tc>
        <w:tc>
          <w:tcPr>
            <w:tcW w:w="383" w:type="pct"/>
            <w:shd w:val="clear" w:color="auto" w:fill="FFFFFF"/>
            <w:noWrap/>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w:t>
            </w:r>
          </w:p>
        </w:tc>
        <w:tc>
          <w:tcPr>
            <w:tcW w:w="383" w:type="pct"/>
            <w:shd w:val="clear" w:color="auto" w:fill="FFFFFF"/>
            <w:noWrap/>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w:t>
            </w:r>
          </w:p>
        </w:tc>
        <w:tc>
          <w:tcPr>
            <w:tcW w:w="342" w:type="pct"/>
            <w:shd w:val="clear" w:color="auto" w:fill="FFFFFF"/>
            <w:noWrap/>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100</w:t>
            </w:r>
          </w:p>
        </w:tc>
        <w:tc>
          <w:tcPr>
            <w:tcW w:w="353" w:type="pct"/>
            <w:shd w:val="clear" w:color="auto" w:fill="FFFFFF"/>
            <w:noWrap/>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100</w:t>
            </w:r>
          </w:p>
        </w:tc>
        <w:tc>
          <w:tcPr>
            <w:tcW w:w="383" w:type="pct"/>
            <w:shd w:val="clear" w:color="auto" w:fill="FFFFFF"/>
            <w:noWrap/>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100</w:t>
            </w:r>
          </w:p>
        </w:tc>
      </w:tr>
      <w:tr w:rsidR="004616EA" w:rsidRPr="002121B4" w:rsidTr="002121B4">
        <w:trPr>
          <w:trHeight w:val="300"/>
        </w:trPr>
        <w:tc>
          <w:tcPr>
            <w:tcW w:w="5000" w:type="pct"/>
            <w:gridSpan w:val="10"/>
            <w:shd w:val="clear" w:color="auto" w:fill="FFFFFF"/>
            <w:noWrap/>
            <w:vAlign w:val="center"/>
          </w:tcPr>
          <w:p w:rsidR="004616EA" w:rsidRPr="002121B4" w:rsidRDefault="004616EA" w:rsidP="00961F56">
            <w:pPr>
              <w:spacing w:after="0" w:line="240" w:lineRule="auto"/>
              <w:rPr>
                <w:rFonts w:ascii="Times New Roman" w:hAnsi="Times New Roman"/>
                <w:b/>
                <w:sz w:val="26"/>
                <w:szCs w:val="26"/>
                <w:lang w:eastAsia="ru-RU"/>
              </w:rPr>
            </w:pPr>
            <w:r w:rsidRPr="002121B4">
              <w:rPr>
                <w:rFonts w:ascii="Times New Roman" w:hAnsi="Times New Roman"/>
                <w:b/>
                <w:sz w:val="26"/>
                <w:szCs w:val="26"/>
                <w:lang w:eastAsia="ru-RU"/>
              </w:rPr>
              <w:t xml:space="preserve">Приоритет 3. </w:t>
            </w:r>
            <w:r w:rsidRPr="002121B4">
              <w:rPr>
                <w:rFonts w:ascii="Times New Roman" w:hAnsi="Times New Roman"/>
                <w:b/>
                <w:sz w:val="26"/>
                <w:szCs w:val="26"/>
              </w:rPr>
              <w:t>Инфраструктурное развитие</w:t>
            </w:r>
          </w:p>
        </w:tc>
      </w:tr>
      <w:tr w:rsidR="004616EA" w:rsidRPr="002121B4" w:rsidTr="002121B4">
        <w:trPr>
          <w:trHeight w:val="330"/>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3.1</w:t>
            </w:r>
          </w:p>
        </w:tc>
        <w:tc>
          <w:tcPr>
            <w:tcW w:w="4715" w:type="pct"/>
            <w:gridSpan w:val="9"/>
            <w:shd w:val="clear" w:color="auto" w:fill="FFFFFF"/>
            <w:vAlign w:val="center"/>
          </w:tcPr>
          <w:p w:rsidR="004616EA" w:rsidRPr="002121B4" w:rsidRDefault="004616EA" w:rsidP="00961F56">
            <w:pPr>
              <w:spacing w:after="0" w:line="240" w:lineRule="auto"/>
              <w:rPr>
                <w:rFonts w:ascii="Times New Roman" w:hAnsi="Times New Roman"/>
                <w:b/>
                <w:sz w:val="26"/>
                <w:szCs w:val="26"/>
                <w:lang w:eastAsia="ru-RU"/>
              </w:rPr>
            </w:pPr>
            <w:r w:rsidRPr="002121B4">
              <w:rPr>
                <w:rFonts w:ascii="Times New Roman" w:hAnsi="Times New Roman"/>
                <w:b/>
                <w:sz w:val="26"/>
                <w:szCs w:val="26"/>
              </w:rPr>
              <w:t>Цель 1. Развитие транспортной инфраструктуры</w:t>
            </w:r>
          </w:p>
        </w:tc>
      </w:tr>
      <w:tr w:rsidR="004616EA" w:rsidRPr="002121B4" w:rsidTr="002121B4">
        <w:trPr>
          <w:trHeight w:val="330"/>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3.1.1</w:t>
            </w:r>
          </w:p>
        </w:tc>
        <w:tc>
          <w:tcPr>
            <w:tcW w:w="1417" w:type="pct"/>
            <w:shd w:val="clear" w:color="auto" w:fill="FFFFFF"/>
            <w:vAlign w:val="center"/>
          </w:tcPr>
          <w:p w:rsidR="004616EA" w:rsidRPr="002121B4" w:rsidRDefault="004616EA" w:rsidP="00961F56">
            <w:pPr>
              <w:spacing w:after="0" w:line="240" w:lineRule="auto"/>
              <w:rPr>
                <w:rFonts w:ascii="Times New Roman" w:hAnsi="Times New Roman"/>
                <w:sz w:val="26"/>
                <w:szCs w:val="26"/>
                <w:lang w:eastAsia="ru-RU"/>
              </w:rPr>
            </w:pPr>
            <w:r w:rsidRPr="002121B4">
              <w:rPr>
                <w:rFonts w:ascii="Times New Roman" w:hAnsi="Times New Roman"/>
                <w:sz w:val="26"/>
                <w:szCs w:val="26"/>
                <w:lang w:eastAsia="ru-RU"/>
              </w:rPr>
              <w:t>Протяженность автомобильных дорог общего пользования местного значения (магистральных улиц и дорог)</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lang w:eastAsia="ru-RU"/>
              </w:rPr>
              <w:t>км</w:t>
            </w:r>
          </w:p>
        </w:tc>
        <w:tc>
          <w:tcPr>
            <w:tcW w:w="342" w:type="pct"/>
            <w:shd w:val="clear" w:color="auto" w:fill="FFFFFF"/>
            <w:vAlign w:val="center"/>
          </w:tcPr>
          <w:p w:rsidR="004616EA" w:rsidRPr="002121B4" w:rsidRDefault="004616EA" w:rsidP="00961F56">
            <w:pPr>
              <w:spacing w:line="240" w:lineRule="auto"/>
              <w:jc w:val="center"/>
              <w:rPr>
                <w:rFonts w:ascii="Times New Roman" w:hAnsi="Times New Roman"/>
                <w:sz w:val="26"/>
                <w:szCs w:val="26"/>
                <w:lang w:val="en-US"/>
              </w:rPr>
            </w:pPr>
            <w:r w:rsidRPr="002121B4">
              <w:rPr>
                <w:rFonts w:ascii="Times New Roman" w:hAnsi="Times New Roman"/>
                <w:sz w:val="26"/>
                <w:szCs w:val="26"/>
                <w:lang w:val="en-US"/>
              </w:rPr>
              <w:t>108</w:t>
            </w:r>
          </w:p>
        </w:tc>
        <w:tc>
          <w:tcPr>
            <w:tcW w:w="342"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1</w:t>
            </w:r>
            <w:r w:rsidRPr="002121B4">
              <w:rPr>
                <w:rFonts w:ascii="Times New Roman" w:hAnsi="Times New Roman"/>
                <w:sz w:val="26"/>
                <w:szCs w:val="26"/>
                <w:lang w:val="en-US"/>
              </w:rPr>
              <w:t>0</w:t>
            </w:r>
            <w:r w:rsidRPr="002121B4">
              <w:rPr>
                <w:rFonts w:ascii="Times New Roman" w:hAnsi="Times New Roman"/>
                <w:sz w:val="26"/>
                <w:szCs w:val="26"/>
              </w:rPr>
              <w:t>8</w:t>
            </w:r>
          </w:p>
        </w:tc>
        <w:tc>
          <w:tcPr>
            <w:tcW w:w="383"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1</w:t>
            </w:r>
            <w:r w:rsidRPr="002121B4">
              <w:rPr>
                <w:rFonts w:ascii="Times New Roman" w:hAnsi="Times New Roman"/>
                <w:sz w:val="26"/>
                <w:szCs w:val="26"/>
                <w:lang w:val="en-US"/>
              </w:rPr>
              <w:t>0</w:t>
            </w:r>
            <w:r w:rsidRPr="002121B4">
              <w:rPr>
                <w:rFonts w:ascii="Times New Roman" w:hAnsi="Times New Roman"/>
                <w:sz w:val="26"/>
                <w:szCs w:val="26"/>
              </w:rPr>
              <w:t>8</w:t>
            </w:r>
          </w:p>
        </w:tc>
        <w:tc>
          <w:tcPr>
            <w:tcW w:w="383"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1</w:t>
            </w:r>
            <w:r w:rsidRPr="002121B4">
              <w:rPr>
                <w:rFonts w:ascii="Times New Roman" w:hAnsi="Times New Roman"/>
                <w:sz w:val="26"/>
                <w:szCs w:val="26"/>
                <w:lang w:val="en-US"/>
              </w:rPr>
              <w:t>0</w:t>
            </w:r>
            <w:r w:rsidRPr="002121B4">
              <w:rPr>
                <w:rFonts w:ascii="Times New Roman" w:hAnsi="Times New Roman"/>
                <w:sz w:val="26"/>
                <w:szCs w:val="26"/>
              </w:rPr>
              <w:t>8</w:t>
            </w:r>
          </w:p>
        </w:tc>
        <w:tc>
          <w:tcPr>
            <w:tcW w:w="342"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1</w:t>
            </w:r>
            <w:r w:rsidRPr="002121B4">
              <w:rPr>
                <w:rFonts w:ascii="Times New Roman" w:hAnsi="Times New Roman"/>
                <w:sz w:val="26"/>
                <w:szCs w:val="26"/>
                <w:lang w:val="en-US"/>
              </w:rPr>
              <w:t>1</w:t>
            </w:r>
            <w:r w:rsidRPr="002121B4">
              <w:rPr>
                <w:rFonts w:ascii="Times New Roman" w:hAnsi="Times New Roman"/>
                <w:sz w:val="26"/>
                <w:szCs w:val="26"/>
              </w:rPr>
              <w:t>9,5</w:t>
            </w:r>
          </w:p>
        </w:tc>
        <w:tc>
          <w:tcPr>
            <w:tcW w:w="353"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lang w:val="en-US"/>
              </w:rPr>
              <w:t>119</w:t>
            </w:r>
            <w:r w:rsidRPr="002121B4">
              <w:rPr>
                <w:rFonts w:ascii="Times New Roman" w:hAnsi="Times New Roman"/>
                <w:sz w:val="26"/>
                <w:szCs w:val="26"/>
              </w:rPr>
              <w:t>,5</w:t>
            </w:r>
          </w:p>
        </w:tc>
        <w:tc>
          <w:tcPr>
            <w:tcW w:w="383"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1</w:t>
            </w:r>
            <w:r w:rsidRPr="002121B4">
              <w:rPr>
                <w:rFonts w:ascii="Times New Roman" w:hAnsi="Times New Roman"/>
                <w:sz w:val="26"/>
                <w:szCs w:val="26"/>
                <w:lang w:val="en-US"/>
              </w:rPr>
              <w:t>1</w:t>
            </w:r>
            <w:r w:rsidRPr="002121B4">
              <w:rPr>
                <w:rFonts w:ascii="Times New Roman" w:hAnsi="Times New Roman"/>
                <w:sz w:val="26"/>
                <w:szCs w:val="26"/>
              </w:rPr>
              <w:t>9,5</w:t>
            </w:r>
          </w:p>
        </w:tc>
      </w:tr>
      <w:tr w:rsidR="004616EA" w:rsidRPr="002121B4" w:rsidTr="002121B4">
        <w:trPr>
          <w:trHeight w:val="330"/>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3.1.2</w:t>
            </w:r>
          </w:p>
        </w:tc>
        <w:tc>
          <w:tcPr>
            <w:tcW w:w="1417" w:type="pct"/>
            <w:shd w:val="clear" w:color="auto" w:fill="FFFFFF"/>
            <w:vAlign w:val="center"/>
          </w:tcPr>
          <w:p w:rsidR="004616EA" w:rsidRPr="002121B4" w:rsidRDefault="004616EA" w:rsidP="00961F56">
            <w:pPr>
              <w:spacing w:after="0" w:line="240" w:lineRule="auto"/>
              <w:rPr>
                <w:rFonts w:ascii="Times New Roman" w:hAnsi="Times New Roman"/>
                <w:sz w:val="26"/>
                <w:szCs w:val="26"/>
                <w:lang w:eastAsia="ru-RU"/>
              </w:rPr>
            </w:pPr>
            <w:r w:rsidRPr="002121B4">
              <w:rPr>
                <w:rFonts w:ascii="Times New Roman" w:hAnsi="Times New Roman"/>
                <w:sz w:val="26"/>
                <w:szCs w:val="26"/>
                <w:lang w:eastAsia="ru-RU"/>
              </w:rPr>
              <w:t>Плотность автомобильных дорог общего пользования местного значения (магистральных улиц и дорог) на застроенной территории</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lang w:val="en-US" w:eastAsia="ru-RU"/>
              </w:rPr>
            </w:pPr>
            <w:r w:rsidRPr="002121B4">
              <w:rPr>
                <w:rFonts w:ascii="Times New Roman" w:hAnsi="Times New Roman"/>
                <w:sz w:val="26"/>
                <w:szCs w:val="26"/>
                <w:lang w:eastAsia="ru-RU"/>
              </w:rPr>
              <w:t>к</w:t>
            </w:r>
            <w:r w:rsidRPr="002121B4">
              <w:rPr>
                <w:rFonts w:ascii="Times New Roman" w:hAnsi="Times New Roman"/>
                <w:sz w:val="26"/>
                <w:szCs w:val="26"/>
                <w:lang w:val="en-US" w:eastAsia="ru-RU"/>
              </w:rPr>
              <w:t>м/</w:t>
            </w:r>
          </w:p>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val="en-US" w:eastAsia="ru-RU"/>
              </w:rPr>
              <w:t>км2</w:t>
            </w:r>
          </w:p>
        </w:tc>
        <w:tc>
          <w:tcPr>
            <w:tcW w:w="342" w:type="pct"/>
            <w:shd w:val="clear" w:color="auto" w:fill="FFFFFF"/>
            <w:vAlign w:val="center"/>
          </w:tcPr>
          <w:p w:rsidR="004616EA" w:rsidRPr="002121B4" w:rsidRDefault="004616EA" w:rsidP="00961F56">
            <w:pPr>
              <w:spacing w:line="240" w:lineRule="auto"/>
              <w:jc w:val="center"/>
              <w:rPr>
                <w:rFonts w:ascii="Times New Roman" w:hAnsi="Times New Roman"/>
                <w:sz w:val="26"/>
                <w:szCs w:val="26"/>
                <w:lang w:val="en-US"/>
              </w:rPr>
            </w:pPr>
            <w:r w:rsidRPr="002121B4">
              <w:rPr>
                <w:rFonts w:ascii="Times New Roman" w:hAnsi="Times New Roman"/>
                <w:sz w:val="26"/>
                <w:szCs w:val="26"/>
                <w:lang w:val="en-US"/>
              </w:rPr>
              <w:t>5</w:t>
            </w:r>
            <w:r w:rsidRPr="002121B4">
              <w:rPr>
                <w:rFonts w:ascii="Times New Roman" w:hAnsi="Times New Roman"/>
                <w:sz w:val="26"/>
                <w:szCs w:val="26"/>
              </w:rPr>
              <w:t>,</w:t>
            </w:r>
            <w:r w:rsidRPr="002121B4">
              <w:rPr>
                <w:rFonts w:ascii="Times New Roman" w:hAnsi="Times New Roman"/>
                <w:sz w:val="26"/>
                <w:szCs w:val="26"/>
                <w:lang w:val="en-US"/>
              </w:rPr>
              <w:t>32</w:t>
            </w:r>
          </w:p>
        </w:tc>
        <w:tc>
          <w:tcPr>
            <w:tcW w:w="342"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lang w:val="en-US"/>
              </w:rPr>
            </w:pPr>
            <w:r w:rsidRPr="002121B4">
              <w:rPr>
                <w:rFonts w:ascii="Times New Roman" w:hAnsi="Times New Roman"/>
                <w:sz w:val="26"/>
                <w:szCs w:val="26"/>
                <w:lang w:val="en-US"/>
              </w:rPr>
              <w:t>5</w:t>
            </w:r>
            <w:r w:rsidRPr="002121B4">
              <w:rPr>
                <w:rFonts w:ascii="Times New Roman" w:hAnsi="Times New Roman"/>
                <w:sz w:val="26"/>
                <w:szCs w:val="26"/>
              </w:rPr>
              <w:t>,</w:t>
            </w:r>
            <w:r w:rsidRPr="002121B4">
              <w:rPr>
                <w:rFonts w:ascii="Times New Roman" w:hAnsi="Times New Roman"/>
                <w:sz w:val="26"/>
                <w:szCs w:val="26"/>
                <w:lang w:val="en-US"/>
              </w:rPr>
              <w:t>32</w:t>
            </w:r>
          </w:p>
        </w:tc>
        <w:tc>
          <w:tcPr>
            <w:tcW w:w="383"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5,32</w:t>
            </w:r>
          </w:p>
        </w:tc>
        <w:tc>
          <w:tcPr>
            <w:tcW w:w="383"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5,32</w:t>
            </w:r>
          </w:p>
        </w:tc>
        <w:tc>
          <w:tcPr>
            <w:tcW w:w="342"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5,89</w:t>
            </w:r>
          </w:p>
        </w:tc>
        <w:tc>
          <w:tcPr>
            <w:tcW w:w="353"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5,89</w:t>
            </w:r>
          </w:p>
        </w:tc>
        <w:tc>
          <w:tcPr>
            <w:tcW w:w="383"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5,89</w:t>
            </w:r>
          </w:p>
        </w:tc>
      </w:tr>
    </w:tbl>
    <w:p w:rsidR="004616EA" w:rsidRDefault="004616EA">
      <w:pPr>
        <w:sectPr w:rsidR="004616EA" w:rsidSect="00461CB8">
          <w:type w:val="continuous"/>
          <w:pgSz w:w="16838" w:h="11906" w:orient="landscape"/>
          <w:pgMar w:top="567" w:right="567" w:bottom="2336"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8"/>
        <w:gridCol w:w="4512"/>
        <w:gridCol w:w="2452"/>
        <w:gridCol w:w="1089"/>
        <w:gridCol w:w="1089"/>
        <w:gridCol w:w="1219"/>
        <w:gridCol w:w="1219"/>
        <w:gridCol w:w="1089"/>
        <w:gridCol w:w="1124"/>
        <w:gridCol w:w="1219"/>
      </w:tblGrid>
      <w:tr w:rsidR="004616EA" w:rsidRPr="002121B4" w:rsidTr="002121B4">
        <w:trPr>
          <w:trHeight w:val="330"/>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3.1.3</w:t>
            </w:r>
          </w:p>
        </w:tc>
        <w:tc>
          <w:tcPr>
            <w:tcW w:w="1417" w:type="pct"/>
            <w:shd w:val="clear" w:color="auto" w:fill="FFFFFF"/>
            <w:vAlign w:val="center"/>
          </w:tcPr>
          <w:p w:rsidR="004616EA" w:rsidRPr="002121B4" w:rsidRDefault="004616EA" w:rsidP="00961F56">
            <w:pPr>
              <w:spacing w:after="0" w:line="240" w:lineRule="auto"/>
              <w:rPr>
                <w:rFonts w:ascii="Times New Roman" w:hAnsi="Times New Roman"/>
                <w:sz w:val="26"/>
                <w:szCs w:val="26"/>
                <w:lang w:eastAsia="ru-RU"/>
              </w:rPr>
            </w:pPr>
            <w:r w:rsidRPr="002121B4">
              <w:rPr>
                <w:rFonts w:ascii="Times New Roman" w:hAnsi="Times New Roman"/>
                <w:sz w:val="26"/>
                <w:szCs w:val="26"/>
                <w:lang w:eastAsia="ru-RU"/>
              </w:rPr>
              <w:t>Обеспеченность местами постоянного хранения (% от расчетного числа индивидуальных легковых автомобилей)</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w:t>
            </w:r>
          </w:p>
        </w:tc>
        <w:tc>
          <w:tcPr>
            <w:tcW w:w="342" w:type="pct"/>
            <w:shd w:val="clear" w:color="auto" w:fill="FFFFFF"/>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72</w:t>
            </w:r>
          </w:p>
        </w:tc>
        <w:tc>
          <w:tcPr>
            <w:tcW w:w="342"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75</w:t>
            </w:r>
          </w:p>
        </w:tc>
        <w:tc>
          <w:tcPr>
            <w:tcW w:w="383"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78</w:t>
            </w:r>
          </w:p>
        </w:tc>
        <w:tc>
          <w:tcPr>
            <w:tcW w:w="383"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81</w:t>
            </w:r>
          </w:p>
        </w:tc>
        <w:tc>
          <w:tcPr>
            <w:tcW w:w="342"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84</w:t>
            </w:r>
          </w:p>
        </w:tc>
        <w:tc>
          <w:tcPr>
            <w:tcW w:w="353"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87</w:t>
            </w:r>
          </w:p>
        </w:tc>
        <w:tc>
          <w:tcPr>
            <w:tcW w:w="383"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90</w:t>
            </w:r>
          </w:p>
        </w:tc>
      </w:tr>
      <w:tr w:rsidR="004616EA" w:rsidRPr="002121B4" w:rsidTr="002121B4">
        <w:trPr>
          <w:trHeight w:val="541"/>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3.2</w:t>
            </w:r>
          </w:p>
        </w:tc>
        <w:tc>
          <w:tcPr>
            <w:tcW w:w="4715" w:type="pct"/>
            <w:gridSpan w:val="9"/>
            <w:shd w:val="clear" w:color="auto" w:fill="FFFFFF"/>
            <w:vAlign w:val="center"/>
          </w:tcPr>
          <w:p w:rsidR="004616EA" w:rsidRPr="002121B4" w:rsidRDefault="004616EA" w:rsidP="00961F56">
            <w:pPr>
              <w:spacing w:after="0" w:line="240" w:lineRule="auto"/>
              <w:rPr>
                <w:rFonts w:ascii="Times New Roman" w:hAnsi="Times New Roman"/>
                <w:b/>
                <w:sz w:val="26"/>
                <w:szCs w:val="26"/>
                <w:lang w:eastAsia="ru-RU"/>
              </w:rPr>
            </w:pPr>
            <w:r w:rsidRPr="002121B4">
              <w:rPr>
                <w:rFonts w:ascii="Times New Roman" w:hAnsi="Times New Roman"/>
                <w:b/>
                <w:sz w:val="26"/>
                <w:szCs w:val="26"/>
              </w:rPr>
              <w:t>Цель 2. Развитие инженерной инфраструктуры</w:t>
            </w:r>
          </w:p>
        </w:tc>
      </w:tr>
      <w:tr w:rsidR="004616EA" w:rsidRPr="002121B4" w:rsidTr="002121B4">
        <w:trPr>
          <w:trHeight w:val="415"/>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3.2.1</w:t>
            </w:r>
          </w:p>
        </w:tc>
        <w:tc>
          <w:tcPr>
            <w:tcW w:w="1417" w:type="pct"/>
            <w:shd w:val="clear" w:color="auto" w:fill="FFFFFF"/>
            <w:vAlign w:val="center"/>
          </w:tcPr>
          <w:p w:rsidR="004616EA" w:rsidRPr="002121B4" w:rsidRDefault="004616EA" w:rsidP="00961F56">
            <w:pPr>
              <w:rPr>
                <w:rFonts w:ascii="Times New Roman" w:hAnsi="Times New Roman"/>
                <w:sz w:val="26"/>
                <w:szCs w:val="26"/>
              </w:rPr>
            </w:pPr>
            <w:r w:rsidRPr="002121B4">
              <w:rPr>
                <w:rFonts w:ascii="Times New Roman" w:hAnsi="Times New Roman"/>
                <w:sz w:val="26"/>
                <w:szCs w:val="26"/>
              </w:rPr>
              <w:t>Износ тепловых сетей</w:t>
            </w:r>
          </w:p>
        </w:tc>
        <w:tc>
          <w:tcPr>
            <w:tcW w:w="770"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w:t>
            </w:r>
          </w:p>
        </w:tc>
        <w:tc>
          <w:tcPr>
            <w:tcW w:w="342"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57,6</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55,6</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55</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54</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50</w:t>
            </w:r>
          </w:p>
        </w:tc>
        <w:tc>
          <w:tcPr>
            <w:tcW w:w="35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45</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40</w:t>
            </w:r>
          </w:p>
        </w:tc>
      </w:tr>
      <w:tr w:rsidR="004616EA" w:rsidRPr="002121B4" w:rsidTr="002121B4">
        <w:trPr>
          <w:trHeight w:val="511"/>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3.2.2</w:t>
            </w:r>
          </w:p>
        </w:tc>
        <w:tc>
          <w:tcPr>
            <w:tcW w:w="1417" w:type="pct"/>
            <w:shd w:val="clear" w:color="auto" w:fill="FFFFFF"/>
            <w:vAlign w:val="center"/>
          </w:tcPr>
          <w:p w:rsidR="004616EA" w:rsidRPr="002121B4" w:rsidRDefault="004616EA" w:rsidP="00961F56">
            <w:pPr>
              <w:rPr>
                <w:rFonts w:ascii="Times New Roman" w:hAnsi="Times New Roman"/>
                <w:sz w:val="26"/>
                <w:szCs w:val="26"/>
              </w:rPr>
            </w:pPr>
            <w:r w:rsidRPr="002121B4">
              <w:rPr>
                <w:rFonts w:ascii="Times New Roman" w:hAnsi="Times New Roman"/>
                <w:sz w:val="26"/>
                <w:szCs w:val="26"/>
              </w:rPr>
              <w:t>Износ сетей водоснабжения</w:t>
            </w:r>
          </w:p>
        </w:tc>
        <w:tc>
          <w:tcPr>
            <w:tcW w:w="770"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w:t>
            </w:r>
          </w:p>
        </w:tc>
        <w:tc>
          <w:tcPr>
            <w:tcW w:w="342"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50</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50</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48</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46</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40</w:t>
            </w:r>
          </w:p>
        </w:tc>
        <w:tc>
          <w:tcPr>
            <w:tcW w:w="35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38</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36</w:t>
            </w:r>
          </w:p>
        </w:tc>
      </w:tr>
      <w:tr w:rsidR="004616EA" w:rsidRPr="002121B4" w:rsidTr="002121B4">
        <w:trPr>
          <w:trHeight w:val="511"/>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3.2.3</w:t>
            </w:r>
          </w:p>
        </w:tc>
        <w:tc>
          <w:tcPr>
            <w:tcW w:w="1417" w:type="pct"/>
            <w:shd w:val="clear" w:color="auto" w:fill="FFFFFF"/>
            <w:vAlign w:val="center"/>
          </w:tcPr>
          <w:p w:rsidR="004616EA" w:rsidRPr="002121B4" w:rsidRDefault="004616EA" w:rsidP="00961F56">
            <w:pPr>
              <w:rPr>
                <w:rFonts w:ascii="Times New Roman" w:hAnsi="Times New Roman"/>
                <w:sz w:val="26"/>
                <w:szCs w:val="26"/>
              </w:rPr>
            </w:pPr>
            <w:r w:rsidRPr="002121B4">
              <w:rPr>
                <w:rFonts w:ascii="Times New Roman" w:hAnsi="Times New Roman"/>
                <w:sz w:val="26"/>
                <w:szCs w:val="26"/>
              </w:rPr>
              <w:t>Износ сетей водоотведения</w:t>
            </w:r>
          </w:p>
        </w:tc>
        <w:tc>
          <w:tcPr>
            <w:tcW w:w="770"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w:t>
            </w:r>
          </w:p>
        </w:tc>
        <w:tc>
          <w:tcPr>
            <w:tcW w:w="342"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63</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60</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58</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56</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48</w:t>
            </w:r>
          </w:p>
        </w:tc>
        <w:tc>
          <w:tcPr>
            <w:tcW w:w="35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40</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35</w:t>
            </w:r>
          </w:p>
        </w:tc>
      </w:tr>
      <w:tr w:rsidR="004616EA" w:rsidRPr="002121B4" w:rsidTr="002121B4">
        <w:trPr>
          <w:trHeight w:val="297"/>
        </w:trPr>
        <w:tc>
          <w:tcPr>
            <w:tcW w:w="5000" w:type="pct"/>
            <w:gridSpan w:val="10"/>
            <w:shd w:val="clear" w:color="auto" w:fill="FFFFFF"/>
            <w:noWrap/>
            <w:vAlign w:val="center"/>
          </w:tcPr>
          <w:p w:rsidR="004616EA" w:rsidRPr="002121B4" w:rsidRDefault="004616EA" w:rsidP="00961F56">
            <w:pPr>
              <w:rPr>
                <w:rFonts w:ascii="Times New Roman" w:hAnsi="Times New Roman"/>
                <w:b/>
                <w:sz w:val="26"/>
                <w:szCs w:val="26"/>
              </w:rPr>
            </w:pPr>
            <w:r w:rsidRPr="002121B4">
              <w:rPr>
                <w:rFonts w:ascii="Times New Roman" w:hAnsi="Times New Roman"/>
                <w:b/>
                <w:sz w:val="26"/>
                <w:szCs w:val="26"/>
              </w:rPr>
              <w:t>Приоритет 4. Развитие муниципального управления</w:t>
            </w:r>
          </w:p>
        </w:tc>
      </w:tr>
      <w:tr w:rsidR="004616EA" w:rsidRPr="002121B4" w:rsidTr="002121B4">
        <w:trPr>
          <w:trHeight w:val="616"/>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4.1</w:t>
            </w:r>
          </w:p>
        </w:tc>
        <w:tc>
          <w:tcPr>
            <w:tcW w:w="4715" w:type="pct"/>
            <w:gridSpan w:val="9"/>
            <w:shd w:val="clear" w:color="auto" w:fill="FFFFFF"/>
            <w:vAlign w:val="center"/>
          </w:tcPr>
          <w:p w:rsidR="004616EA" w:rsidRPr="002121B4" w:rsidRDefault="004616EA" w:rsidP="00961F56">
            <w:pPr>
              <w:rPr>
                <w:rFonts w:ascii="Times New Roman" w:hAnsi="Times New Roman"/>
                <w:b/>
                <w:sz w:val="26"/>
                <w:szCs w:val="26"/>
              </w:rPr>
            </w:pPr>
            <w:r w:rsidRPr="002121B4">
              <w:rPr>
                <w:rFonts w:ascii="Times New Roman" w:hAnsi="Times New Roman"/>
                <w:b/>
                <w:sz w:val="26"/>
                <w:szCs w:val="26"/>
              </w:rPr>
              <w:t>Цель 1. Создание условий для формирования стабильной и долгосрочной бюджетной системы, совершенствование системы управления муниципальными финансами</w:t>
            </w:r>
          </w:p>
        </w:tc>
      </w:tr>
      <w:tr w:rsidR="004616EA" w:rsidRPr="002121B4" w:rsidTr="002121B4">
        <w:trPr>
          <w:trHeight w:val="300"/>
        </w:trPr>
        <w:tc>
          <w:tcPr>
            <w:tcW w:w="285" w:type="pct"/>
            <w:shd w:val="clear" w:color="auto" w:fill="FFFFFF"/>
            <w:noWrap/>
            <w:vAlign w:val="center"/>
          </w:tcPr>
          <w:p w:rsidR="004616EA" w:rsidRPr="002121B4" w:rsidRDefault="004616EA" w:rsidP="005D3DF7">
            <w:pPr>
              <w:spacing w:after="0"/>
              <w:jc w:val="center"/>
              <w:rPr>
                <w:rFonts w:ascii="Times New Roman" w:hAnsi="Times New Roman"/>
                <w:sz w:val="26"/>
                <w:szCs w:val="26"/>
              </w:rPr>
            </w:pPr>
            <w:r w:rsidRPr="002121B4">
              <w:rPr>
                <w:rFonts w:ascii="Times New Roman" w:hAnsi="Times New Roman"/>
                <w:sz w:val="26"/>
                <w:szCs w:val="26"/>
              </w:rPr>
              <w:t>4.1.1</w:t>
            </w:r>
          </w:p>
        </w:tc>
        <w:tc>
          <w:tcPr>
            <w:tcW w:w="1417" w:type="pct"/>
            <w:shd w:val="clear" w:color="auto" w:fill="FFFFFF"/>
          </w:tcPr>
          <w:p w:rsidR="004616EA" w:rsidRPr="002121B4" w:rsidRDefault="004616EA" w:rsidP="005D3DF7">
            <w:pPr>
              <w:spacing w:after="0"/>
              <w:outlineLvl w:val="0"/>
              <w:rPr>
                <w:rFonts w:ascii="Times New Roman" w:hAnsi="Times New Roman"/>
                <w:sz w:val="26"/>
                <w:szCs w:val="26"/>
              </w:rPr>
            </w:pPr>
            <w:bookmarkStart w:id="203" w:name="_Toc393889445"/>
            <w:bookmarkStart w:id="204" w:name="_Toc400365284"/>
            <w:bookmarkStart w:id="205" w:name="_Toc400983668"/>
            <w:bookmarkStart w:id="206" w:name="_Toc401048574"/>
            <w:bookmarkStart w:id="207" w:name="_Toc403463486"/>
            <w:bookmarkStart w:id="208" w:name="_Toc405566052"/>
            <w:bookmarkStart w:id="209" w:name="_Toc405805535"/>
            <w:r w:rsidRPr="002121B4">
              <w:rPr>
                <w:rFonts w:ascii="Times New Roman" w:hAnsi="Times New Roman"/>
                <w:sz w:val="26"/>
                <w:szCs w:val="26"/>
              </w:rPr>
              <w:t>Доля расходов муниципального бюджета по муниципальным программам</w:t>
            </w:r>
            <w:bookmarkEnd w:id="203"/>
            <w:bookmarkEnd w:id="204"/>
            <w:bookmarkEnd w:id="205"/>
            <w:bookmarkEnd w:id="206"/>
            <w:bookmarkEnd w:id="207"/>
            <w:bookmarkEnd w:id="208"/>
            <w:bookmarkEnd w:id="209"/>
          </w:p>
        </w:tc>
        <w:tc>
          <w:tcPr>
            <w:tcW w:w="770" w:type="pct"/>
            <w:shd w:val="clear" w:color="auto" w:fill="FFFFFF"/>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w:t>
            </w:r>
          </w:p>
        </w:tc>
        <w:tc>
          <w:tcPr>
            <w:tcW w:w="342" w:type="pct"/>
            <w:shd w:val="clear" w:color="auto" w:fill="FFFFFF"/>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91,1</w:t>
            </w:r>
          </w:p>
        </w:tc>
        <w:tc>
          <w:tcPr>
            <w:tcW w:w="342"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93,1</w:t>
            </w:r>
          </w:p>
        </w:tc>
        <w:tc>
          <w:tcPr>
            <w:tcW w:w="383"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93,3</w:t>
            </w:r>
          </w:p>
        </w:tc>
        <w:tc>
          <w:tcPr>
            <w:tcW w:w="383"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93,5</w:t>
            </w:r>
          </w:p>
        </w:tc>
        <w:tc>
          <w:tcPr>
            <w:tcW w:w="342"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93,5</w:t>
            </w:r>
          </w:p>
        </w:tc>
        <w:tc>
          <w:tcPr>
            <w:tcW w:w="353"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93,5</w:t>
            </w:r>
          </w:p>
        </w:tc>
        <w:tc>
          <w:tcPr>
            <w:tcW w:w="383"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93,5</w:t>
            </w:r>
          </w:p>
        </w:tc>
      </w:tr>
      <w:tr w:rsidR="004616EA" w:rsidRPr="002121B4" w:rsidTr="002121B4">
        <w:trPr>
          <w:trHeight w:val="300"/>
        </w:trPr>
        <w:tc>
          <w:tcPr>
            <w:tcW w:w="285" w:type="pct"/>
            <w:shd w:val="clear" w:color="auto" w:fill="FFFFFF"/>
            <w:noWrap/>
            <w:vAlign w:val="center"/>
          </w:tcPr>
          <w:p w:rsidR="004616EA" w:rsidRPr="002121B4" w:rsidRDefault="004616EA" w:rsidP="005D3DF7">
            <w:pPr>
              <w:spacing w:after="0"/>
              <w:jc w:val="center"/>
              <w:rPr>
                <w:rFonts w:ascii="Times New Roman" w:hAnsi="Times New Roman"/>
                <w:sz w:val="26"/>
                <w:szCs w:val="26"/>
              </w:rPr>
            </w:pPr>
            <w:r w:rsidRPr="002121B4">
              <w:rPr>
                <w:rFonts w:ascii="Times New Roman" w:hAnsi="Times New Roman"/>
                <w:sz w:val="26"/>
                <w:szCs w:val="26"/>
              </w:rPr>
              <w:t>4.1.2</w:t>
            </w:r>
          </w:p>
        </w:tc>
        <w:tc>
          <w:tcPr>
            <w:tcW w:w="1417" w:type="pct"/>
            <w:shd w:val="clear" w:color="auto" w:fill="FFFFFF"/>
          </w:tcPr>
          <w:p w:rsidR="004616EA" w:rsidRPr="002121B4" w:rsidRDefault="004616EA" w:rsidP="005D3DF7">
            <w:pPr>
              <w:spacing w:after="0"/>
              <w:outlineLvl w:val="0"/>
              <w:rPr>
                <w:rFonts w:ascii="Times New Roman" w:hAnsi="Times New Roman"/>
                <w:sz w:val="26"/>
                <w:szCs w:val="26"/>
              </w:rPr>
            </w:pPr>
            <w:bookmarkStart w:id="210" w:name="_Toc393889447"/>
            <w:bookmarkStart w:id="211" w:name="_Toc400365285"/>
            <w:bookmarkStart w:id="212" w:name="_Toc400983669"/>
            <w:bookmarkStart w:id="213" w:name="_Toc401048575"/>
            <w:bookmarkStart w:id="214" w:name="_Toc403463487"/>
            <w:bookmarkStart w:id="215" w:name="_Toc405566053"/>
            <w:bookmarkStart w:id="216" w:name="_Toc405805536"/>
            <w:r w:rsidRPr="002121B4">
              <w:rPr>
                <w:rFonts w:ascii="Times New Roman" w:hAnsi="Times New Roman"/>
                <w:sz w:val="26"/>
                <w:szCs w:val="26"/>
              </w:rPr>
              <w:t>Доля налоговых и неналоговых доходов местного бюджета (за исключением поступлений налоговых доходов по дополнительным нормативам отчислений) в общем объеме собственных доходов муниципального образования (без учета субвенций)</w:t>
            </w:r>
            <w:bookmarkEnd w:id="210"/>
            <w:bookmarkEnd w:id="211"/>
            <w:bookmarkEnd w:id="212"/>
            <w:bookmarkEnd w:id="213"/>
            <w:bookmarkEnd w:id="214"/>
            <w:bookmarkEnd w:id="215"/>
            <w:bookmarkEnd w:id="216"/>
          </w:p>
        </w:tc>
        <w:tc>
          <w:tcPr>
            <w:tcW w:w="770" w:type="pct"/>
            <w:shd w:val="clear" w:color="auto" w:fill="FFFFFF"/>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w:t>
            </w:r>
          </w:p>
        </w:tc>
        <w:tc>
          <w:tcPr>
            <w:tcW w:w="342" w:type="pct"/>
            <w:shd w:val="clear" w:color="auto" w:fill="FFFFFF"/>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61,9</w:t>
            </w:r>
          </w:p>
        </w:tc>
        <w:tc>
          <w:tcPr>
            <w:tcW w:w="342"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77,6</w:t>
            </w:r>
          </w:p>
        </w:tc>
        <w:tc>
          <w:tcPr>
            <w:tcW w:w="383"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78,7</w:t>
            </w:r>
          </w:p>
        </w:tc>
        <w:tc>
          <w:tcPr>
            <w:tcW w:w="383"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86,6</w:t>
            </w:r>
          </w:p>
        </w:tc>
        <w:tc>
          <w:tcPr>
            <w:tcW w:w="342"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87,5</w:t>
            </w:r>
          </w:p>
        </w:tc>
        <w:tc>
          <w:tcPr>
            <w:tcW w:w="353"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88,4</w:t>
            </w:r>
          </w:p>
        </w:tc>
        <w:tc>
          <w:tcPr>
            <w:tcW w:w="383"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89,3</w:t>
            </w:r>
          </w:p>
        </w:tc>
      </w:tr>
    </w:tbl>
    <w:p w:rsidR="004616EA" w:rsidRDefault="004616EA">
      <w:pPr>
        <w:sectPr w:rsidR="004616EA" w:rsidSect="00461CB8">
          <w:type w:val="continuous"/>
          <w:pgSz w:w="16838" w:h="11906" w:orient="landscape"/>
          <w:pgMar w:top="2157" w:right="567" w:bottom="567" w:left="567" w:header="709" w:footer="709" w:gutter="0"/>
          <w:cols w:space="708"/>
          <w:docGrid w:linePitch="360"/>
        </w:sectPr>
      </w:pPr>
    </w:p>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8"/>
        <w:gridCol w:w="4512"/>
        <w:gridCol w:w="2452"/>
        <w:gridCol w:w="1089"/>
        <w:gridCol w:w="1089"/>
        <w:gridCol w:w="1219"/>
        <w:gridCol w:w="1219"/>
        <w:gridCol w:w="1089"/>
        <w:gridCol w:w="1124"/>
        <w:gridCol w:w="1219"/>
      </w:tblGrid>
      <w:tr w:rsidR="004616EA" w:rsidRPr="002121B4" w:rsidTr="002121B4">
        <w:trPr>
          <w:trHeight w:val="406"/>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4.2</w:t>
            </w:r>
          </w:p>
        </w:tc>
        <w:tc>
          <w:tcPr>
            <w:tcW w:w="4715" w:type="pct"/>
            <w:gridSpan w:val="9"/>
            <w:shd w:val="clear" w:color="auto" w:fill="FFFFFF"/>
            <w:vAlign w:val="center"/>
          </w:tcPr>
          <w:p w:rsidR="004616EA" w:rsidRPr="002121B4" w:rsidRDefault="004616EA" w:rsidP="00961F56">
            <w:pPr>
              <w:rPr>
                <w:rFonts w:ascii="Times New Roman" w:hAnsi="Times New Roman"/>
                <w:b/>
                <w:sz w:val="26"/>
                <w:szCs w:val="26"/>
              </w:rPr>
            </w:pPr>
            <w:r w:rsidRPr="002121B4">
              <w:rPr>
                <w:rFonts w:ascii="Times New Roman" w:hAnsi="Times New Roman"/>
                <w:b/>
                <w:sz w:val="26"/>
                <w:szCs w:val="26"/>
              </w:rPr>
              <w:t>Цель 2. Формирование эффективной системы управления муниципальным имуществом</w:t>
            </w:r>
          </w:p>
        </w:tc>
      </w:tr>
      <w:tr w:rsidR="004616EA" w:rsidRPr="002121B4" w:rsidTr="002121B4">
        <w:trPr>
          <w:trHeight w:val="1537"/>
        </w:trPr>
        <w:tc>
          <w:tcPr>
            <w:tcW w:w="285" w:type="pct"/>
            <w:shd w:val="clear" w:color="auto" w:fill="FFFFFF"/>
            <w:noWrap/>
            <w:vAlign w:val="center"/>
          </w:tcPr>
          <w:p w:rsidR="004616EA" w:rsidRPr="002121B4" w:rsidRDefault="004616EA" w:rsidP="005D3DF7">
            <w:pPr>
              <w:spacing w:after="0"/>
              <w:jc w:val="center"/>
              <w:rPr>
                <w:rFonts w:ascii="Times New Roman" w:hAnsi="Times New Roman"/>
                <w:sz w:val="26"/>
                <w:szCs w:val="26"/>
              </w:rPr>
            </w:pPr>
            <w:r w:rsidRPr="002121B4">
              <w:rPr>
                <w:rFonts w:ascii="Times New Roman" w:hAnsi="Times New Roman"/>
                <w:sz w:val="26"/>
                <w:szCs w:val="26"/>
              </w:rPr>
              <w:t>4.2.1</w:t>
            </w:r>
          </w:p>
        </w:tc>
        <w:tc>
          <w:tcPr>
            <w:tcW w:w="1417" w:type="pct"/>
            <w:shd w:val="clear" w:color="auto" w:fill="FFFFFF"/>
            <w:vAlign w:val="center"/>
          </w:tcPr>
          <w:p w:rsidR="004616EA" w:rsidRPr="002121B4" w:rsidRDefault="004616EA" w:rsidP="005D3DF7">
            <w:pPr>
              <w:rPr>
                <w:rFonts w:ascii="Times New Roman" w:hAnsi="Times New Roman"/>
                <w:sz w:val="26"/>
                <w:szCs w:val="26"/>
              </w:rPr>
            </w:pPr>
            <w:r w:rsidRPr="002121B4">
              <w:rPr>
                <w:rFonts w:ascii="Times New Roman" w:hAnsi="Times New Roman"/>
                <w:sz w:val="26"/>
                <w:szCs w:val="26"/>
              </w:rPr>
              <w:t>Удельный вес земельных участков города Когалыма, подлежащих постановке на кадастровый учет, государственная собственность на которые не разграничена</w:t>
            </w:r>
          </w:p>
        </w:tc>
        <w:tc>
          <w:tcPr>
            <w:tcW w:w="770" w:type="pct"/>
            <w:shd w:val="clear" w:color="auto" w:fill="FFFFFF"/>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w:t>
            </w:r>
          </w:p>
        </w:tc>
        <w:tc>
          <w:tcPr>
            <w:tcW w:w="342" w:type="pct"/>
            <w:shd w:val="clear" w:color="auto" w:fill="FFFFFF"/>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49</w:t>
            </w:r>
          </w:p>
        </w:tc>
        <w:tc>
          <w:tcPr>
            <w:tcW w:w="342"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58</w:t>
            </w:r>
          </w:p>
        </w:tc>
        <w:tc>
          <w:tcPr>
            <w:tcW w:w="383"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82</w:t>
            </w:r>
          </w:p>
        </w:tc>
        <w:tc>
          <w:tcPr>
            <w:tcW w:w="383"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100</w:t>
            </w:r>
          </w:p>
        </w:tc>
        <w:tc>
          <w:tcPr>
            <w:tcW w:w="342"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100</w:t>
            </w:r>
          </w:p>
        </w:tc>
        <w:tc>
          <w:tcPr>
            <w:tcW w:w="353"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100</w:t>
            </w:r>
          </w:p>
        </w:tc>
        <w:tc>
          <w:tcPr>
            <w:tcW w:w="383"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100</w:t>
            </w:r>
          </w:p>
        </w:tc>
      </w:tr>
    </w:tbl>
    <w:p w:rsidR="004616EA" w:rsidRPr="00475E67" w:rsidRDefault="004616EA" w:rsidP="00973F2A">
      <w:pPr>
        <w:spacing w:after="0" w:line="360" w:lineRule="auto"/>
        <w:ind w:firstLine="708"/>
        <w:jc w:val="both"/>
        <w:rPr>
          <w:rFonts w:ascii="Times New Roman" w:hAnsi="Times New Roman"/>
          <w:sz w:val="24"/>
          <w:szCs w:val="24"/>
        </w:rPr>
        <w:sectPr w:rsidR="004616EA" w:rsidRPr="00475E67" w:rsidSect="00461CB8">
          <w:type w:val="continuous"/>
          <w:pgSz w:w="16838" w:h="11906" w:orient="landscape"/>
          <w:pgMar w:top="567" w:right="567" w:bottom="2552" w:left="567" w:header="709" w:footer="709" w:gutter="0"/>
          <w:cols w:space="708"/>
          <w:docGrid w:linePitch="360"/>
        </w:sectPr>
      </w:pPr>
    </w:p>
    <w:p w:rsidR="004616EA" w:rsidRPr="00F30319" w:rsidRDefault="004616EA" w:rsidP="00F30319">
      <w:pPr>
        <w:pStyle w:val="3"/>
        <w:spacing w:line="240" w:lineRule="auto"/>
        <w:ind w:firstLine="709"/>
        <w:rPr>
          <w:sz w:val="26"/>
        </w:rPr>
      </w:pPr>
      <w:bookmarkStart w:id="217" w:name="_Toc389051113"/>
      <w:bookmarkStart w:id="218" w:name="_Toc405805537"/>
      <w:r w:rsidRPr="00F30319">
        <w:rPr>
          <w:sz w:val="26"/>
        </w:rPr>
        <w:t>10.2 Система контроля реализации и корректировки целей и задач</w:t>
      </w:r>
      <w:bookmarkEnd w:id="217"/>
      <w:bookmarkEnd w:id="218"/>
      <w:r w:rsidRPr="00F30319">
        <w:rPr>
          <w:sz w:val="26"/>
        </w:rPr>
        <w:t xml:space="preserve"> </w:t>
      </w:r>
    </w:p>
    <w:p w:rsidR="004616EA" w:rsidRPr="00F30319" w:rsidRDefault="004616EA" w:rsidP="00F30319">
      <w:pPr>
        <w:autoSpaceDE w:val="0"/>
        <w:autoSpaceDN w:val="0"/>
        <w:adjustRightInd w:val="0"/>
        <w:spacing w:after="0" w:line="240" w:lineRule="auto"/>
        <w:ind w:firstLine="709"/>
        <w:jc w:val="both"/>
        <w:rPr>
          <w:rFonts w:ascii="Times New Roman" w:hAnsi="Times New Roman"/>
          <w:sz w:val="26"/>
          <w:szCs w:val="26"/>
        </w:rPr>
      </w:pPr>
      <w:r w:rsidRPr="00F30319">
        <w:rPr>
          <w:rFonts w:ascii="Times New Roman" w:hAnsi="Times New Roman"/>
          <w:sz w:val="26"/>
          <w:szCs w:val="26"/>
        </w:rPr>
        <w:t xml:space="preserve">Важнейшим условием успешной реализации целей и задач социально-экономического развития города Когалыма должна стать система контроля их исполнения. </w:t>
      </w:r>
    </w:p>
    <w:p w:rsidR="004616EA" w:rsidRPr="00F30319" w:rsidRDefault="004616EA" w:rsidP="00F30319">
      <w:pPr>
        <w:tabs>
          <w:tab w:val="left" w:pos="709"/>
          <w:tab w:val="left" w:pos="993"/>
        </w:tabs>
        <w:autoSpaceDE w:val="0"/>
        <w:autoSpaceDN w:val="0"/>
        <w:adjustRightInd w:val="0"/>
        <w:spacing w:after="0" w:line="240" w:lineRule="auto"/>
        <w:ind w:firstLine="709"/>
        <w:jc w:val="both"/>
        <w:rPr>
          <w:rFonts w:ascii="Times New Roman" w:hAnsi="Times New Roman"/>
          <w:sz w:val="26"/>
          <w:szCs w:val="26"/>
        </w:rPr>
      </w:pPr>
      <w:r w:rsidRPr="00F30319">
        <w:rPr>
          <w:rFonts w:ascii="Times New Roman" w:hAnsi="Times New Roman"/>
          <w:sz w:val="26"/>
          <w:szCs w:val="26"/>
        </w:rPr>
        <w:t>Система контроля должна включать:</w:t>
      </w:r>
    </w:p>
    <w:p w:rsidR="004616EA" w:rsidRPr="00F30319" w:rsidRDefault="004616EA" w:rsidP="00F30319">
      <w:pPr>
        <w:numPr>
          <w:ilvl w:val="0"/>
          <w:numId w:val="88"/>
        </w:numPr>
        <w:tabs>
          <w:tab w:val="left" w:pos="709"/>
          <w:tab w:val="left" w:pos="993"/>
        </w:tabs>
        <w:autoSpaceDE w:val="0"/>
        <w:autoSpaceDN w:val="0"/>
        <w:adjustRightInd w:val="0"/>
        <w:spacing w:after="0" w:line="240" w:lineRule="auto"/>
        <w:ind w:left="0" w:firstLine="709"/>
        <w:jc w:val="both"/>
        <w:rPr>
          <w:rFonts w:ascii="Times New Roman" w:hAnsi="Times New Roman"/>
          <w:sz w:val="26"/>
          <w:szCs w:val="26"/>
        </w:rPr>
      </w:pPr>
      <w:r w:rsidRPr="00F30319">
        <w:rPr>
          <w:rFonts w:ascii="Times New Roman" w:hAnsi="Times New Roman"/>
          <w:sz w:val="26"/>
          <w:szCs w:val="26"/>
        </w:rPr>
        <w:t>наблюдение;</w:t>
      </w:r>
    </w:p>
    <w:p w:rsidR="004616EA" w:rsidRPr="00F30319" w:rsidRDefault="004616EA" w:rsidP="00F30319">
      <w:pPr>
        <w:numPr>
          <w:ilvl w:val="0"/>
          <w:numId w:val="88"/>
        </w:numPr>
        <w:tabs>
          <w:tab w:val="left" w:pos="709"/>
          <w:tab w:val="left" w:pos="993"/>
        </w:tabs>
        <w:autoSpaceDE w:val="0"/>
        <w:autoSpaceDN w:val="0"/>
        <w:adjustRightInd w:val="0"/>
        <w:spacing w:after="0" w:line="240" w:lineRule="auto"/>
        <w:ind w:left="0" w:firstLine="709"/>
        <w:jc w:val="both"/>
        <w:rPr>
          <w:rFonts w:ascii="Times New Roman" w:hAnsi="Times New Roman"/>
          <w:sz w:val="26"/>
          <w:szCs w:val="26"/>
        </w:rPr>
      </w:pPr>
      <w:r w:rsidRPr="00F30319">
        <w:rPr>
          <w:rFonts w:ascii="Times New Roman" w:hAnsi="Times New Roman"/>
          <w:sz w:val="26"/>
          <w:szCs w:val="26"/>
        </w:rPr>
        <w:t>получение достоверной и объективной информации о протекающих социально-экономических процессах;</w:t>
      </w:r>
    </w:p>
    <w:p w:rsidR="004616EA" w:rsidRPr="00F30319" w:rsidRDefault="004616EA" w:rsidP="00F30319">
      <w:pPr>
        <w:numPr>
          <w:ilvl w:val="0"/>
          <w:numId w:val="88"/>
        </w:numPr>
        <w:tabs>
          <w:tab w:val="left" w:pos="709"/>
          <w:tab w:val="left" w:pos="993"/>
        </w:tabs>
        <w:autoSpaceDE w:val="0"/>
        <w:autoSpaceDN w:val="0"/>
        <w:adjustRightInd w:val="0"/>
        <w:spacing w:after="0" w:line="240" w:lineRule="auto"/>
        <w:ind w:left="0" w:firstLine="709"/>
        <w:jc w:val="both"/>
        <w:rPr>
          <w:rFonts w:ascii="Times New Roman" w:hAnsi="Times New Roman"/>
          <w:sz w:val="26"/>
          <w:szCs w:val="26"/>
        </w:rPr>
      </w:pPr>
      <w:r w:rsidRPr="00F30319">
        <w:rPr>
          <w:rFonts w:ascii="Times New Roman" w:hAnsi="Times New Roman"/>
          <w:sz w:val="26"/>
          <w:szCs w:val="26"/>
        </w:rPr>
        <w:t>оценку и анализ тенденций в различных сферах экономики;</w:t>
      </w:r>
    </w:p>
    <w:p w:rsidR="004616EA" w:rsidRPr="00F30319" w:rsidRDefault="004616EA" w:rsidP="00F30319">
      <w:pPr>
        <w:numPr>
          <w:ilvl w:val="0"/>
          <w:numId w:val="88"/>
        </w:numPr>
        <w:tabs>
          <w:tab w:val="left" w:pos="709"/>
          <w:tab w:val="left" w:pos="993"/>
        </w:tabs>
        <w:autoSpaceDE w:val="0"/>
        <w:autoSpaceDN w:val="0"/>
        <w:adjustRightInd w:val="0"/>
        <w:spacing w:after="0" w:line="240" w:lineRule="auto"/>
        <w:ind w:left="0" w:firstLine="709"/>
        <w:jc w:val="both"/>
        <w:rPr>
          <w:rFonts w:ascii="Times New Roman" w:hAnsi="Times New Roman"/>
          <w:sz w:val="26"/>
          <w:szCs w:val="26"/>
        </w:rPr>
      </w:pPr>
      <w:r w:rsidRPr="00F30319">
        <w:rPr>
          <w:rFonts w:ascii="Times New Roman" w:hAnsi="Times New Roman"/>
          <w:sz w:val="26"/>
          <w:szCs w:val="26"/>
        </w:rPr>
        <w:t>выявление причин, вызывающих тот или иной характер изменений;</w:t>
      </w:r>
    </w:p>
    <w:p w:rsidR="004616EA" w:rsidRPr="00F30319" w:rsidRDefault="004616EA" w:rsidP="00F30319">
      <w:pPr>
        <w:numPr>
          <w:ilvl w:val="0"/>
          <w:numId w:val="88"/>
        </w:numPr>
        <w:tabs>
          <w:tab w:val="left" w:pos="709"/>
          <w:tab w:val="left" w:pos="993"/>
        </w:tabs>
        <w:autoSpaceDE w:val="0"/>
        <w:autoSpaceDN w:val="0"/>
        <w:adjustRightInd w:val="0"/>
        <w:spacing w:after="0" w:line="240" w:lineRule="auto"/>
        <w:ind w:left="0" w:firstLine="709"/>
        <w:jc w:val="both"/>
        <w:rPr>
          <w:rFonts w:ascii="Times New Roman" w:hAnsi="Times New Roman"/>
          <w:sz w:val="26"/>
          <w:szCs w:val="26"/>
        </w:rPr>
      </w:pPr>
      <w:r w:rsidRPr="00F30319">
        <w:rPr>
          <w:rFonts w:ascii="Times New Roman" w:hAnsi="Times New Roman"/>
          <w:sz w:val="26"/>
          <w:szCs w:val="26"/>
        </w:rPr>
        <w:t>определение степени достижения главной цели, решения основных задач Стратегии;</w:t>
      </w:r>
    </w:p>
    <w:p w:rsidR="004616EA" w:rsidRPr="00F30319" w:rsidRDefault="004616EA" w:rsidP="00F30319">
      <w:pPr>
        <w:numPr>
          <w:ilvl w:val="0"/>
          <w:numId w:val="88"/>
        </w:numPr>
        <w:tabs>
          <w:tab w:val="left" w:pos="709"/>
          <w:tab w:val="left" w:pos="993"/>
        </w:tabs>
        <w:autoSpaceDE w:val="0"/>
        <w:autoSpaceDN w:val="0"/>
        <w:adjustRightInd w:val="0"/>
        <w:spacing w:after="0" w:line="240" w:lineRule="auto"/>
        <w:ind w:left="0" w:firstLine="709"/>
        <w:jc w:val="both"/>
        <w:rPr>
          <w:rFonts w:ascii="Times New Roman" w:hAnsi="Times New Roman"/>
          <w:sz w:val="26"/>
          <w:szCs w:val="26"/>
        </w:rPr>
      </w:pPr>
      <w:r w:rsidRPr="00F30319">
        <w:rPr>
          <w:rFonts w:ascii="Times New Roman" w:hAnsi="Times New Roman"/>
          <w:sz w:val="26"/>
          <w:szCs w:val="26"/>
        </w:rPr>
        <w:t>обеспечение в установленном порядке органов управления, предприятий, учреждений и организаций, граждан аналитической информацией, прогнозирование и моделирование экономической конъюнктуры и социальной ситуации;</w:t>
      </w:r>
    </w:p>
    <w:p w:rsidR="004616EA" w:rsidRPr="00F30319" w:rsidRDefault="004616EA" w:rsidP="00F30319">
      <w:pPr>
        <w:numPr>
          <w:ilvl w:val="0"/>
          <w:numId w:val="88"/>
        </w:numPr>
        <w:tabs>
          <w:tab w:val="left" w:pos="709"/>
          <w:tab w:val="left" w:pos="993"/>
        </w:tabs>
        <w:autoSpaceDE w:val="0"/>
        <w:autoSpaceDN w:val="0"/>
        <w:adjustRightInd w:val="0"/>
        <w:spacing w:after="0" w:line="240" w:lineRule="auto"/>
        <w:ind w:left="0" w:firstLine="709"/>
        <w:jc w:val="both"/>
        <w:rPr>
          <w:rFonts w:ascii="Times New Roman" w:hAnsi="Times New Roman"/>
          <w:sz w:val="26"/>
          <w:szCs w:val="26"/>
        </w:rPr>
      </w:pPr>
      <w:r w:rsidRPr="00F30319">
        <w:rPr>
          <w:rFonts w:ascii="Times New Roman" w:hAnsi="Times New Roman"/>
          <w:sz w:val="26"/>
          <w:szCs w:val="26"/>
        </w:rPr>
        <w:t>стимулирование реализации Стратегии в целом и отдельных его частей;</w:t>
      </w:r>
    </w:p>
    <w:p w:rsidR="004616EA" w:rsidRPr="00F30319" w:rsidRDefault="004616EA" w:rsidP="00F30319">
      <w:pPr>
        <w:numPr>
          <w:ilvl w:val="0"/>
          <w:numId w:val="88"/>
        </w:numPr>
        <w:tabs>
          <w:tab w:val="left" w:pos="709"/>
          <w:tab w:val="left" w:pos="993"/>
        </w:tabs>
        <w:autoSpaceDE w:val="0"/>
        <w:autoSpaceDN w:val="0"/>
        <w:adjustRightInd w:val="0"/>
        <w:spacing w:after="0" w:line="240" w:lineRule="auto"/>
        <w:ind w:left="0" w:firstLine="709"/>
        <w:jc w:val="both"/>
        <w:rPr>
          <w:rFonts w:ascii="Times New Roman" w:hAnsi="Times New Roman"/>
          <w:sz w:val="26"/>
          <w:szCs w:val="26"/>
        </w:rPr>
      </w:pPr>
      <w:r w:rsidRPr="00F30319">
        <w:rPr>
          <w:rFonts w:ascii="Times New Roman" w:hAnsi="Times New Roman"/>
          <w:sz w:val="26"/>
          <w:szCs w:val="26"/>
        </w:rPr>
        <w:t>подготовку рекомендаций, направленных на преодоление негативных и поддержку позитивных тенденций, доведение их до сведения соответствующих органов власти.</w:t>
      </w:r>
    </w:p>
    <w:p w:rsidR="004616EA" w:rsidRPr="00F30319" w:rsidRDefault="004616EA" w:rsidP="00F30319">
      <w:pPr>
        <w:autoSpaceDE w:val="0"/>
        <w:autoSpaceDN w:val="0"/>
        <w:adjustRightInd w:val="0"/>
        <w:spacing w:after="0" w:line="240" w:lineRule="auto"/>
        <w:ind w:firstLine="709"/>
        <w:jc w:val="both"/>
        <w:rPr>
          <w:rFonts w:ascii="Times New Roman" w:hAnsi="Times New Roman"/>
          <w:sz w:val="26"/>
          <w:szCs w:val="26"/>
        </w:rPr>
      </w:pPr>
      <w:r w:rsidRPr="00F30319">
        <w:rPr>
          <w:rFonts w:ascii="Times New Roman" w:hAnsi="Times New Roman"/>
          <w:sz w:val="26"/>
          <w:szCs w:val="26"/>
        </w:rPr>
        <w:t>Система должна обеспечивать постоянный контроль и анализ выполнения запланированных мероприятий в соответствии с целями и задачами Стратегии, а также обеспечивать обратную связь и корректировку текущего планирования в соответствии с изменяющимися обстоятельствами.</w:t>
      </w:r>
    </w:p>
    <w:p w:rsidR="004616EA" w:rsidRPr="00F30319" w:rsidRDefault="004616EA" w:rsidP="00F30319">
      <w:pPr>
        <w:autoSpaceDE w:val="0"/>
        <w:autoSpaceDN w:val="0"/>
        <w:adjustRightInd w:val="0"/>
        <w:spacing w:after="0" w:line="240" w:lineRule="auto"/>
        <w:ind w:firstLine="709"/>
        <w:jc w:val="both"/>
        <w:rPr>
          <w:rFonts w:ascii="Times New Roman" w:hAnsi="Times New Roman"/>
          <w:sz w:val="26"/>
          <w:szCs w:val="26"/>
        </w:rPr>
      </w:pPr>
      <w:r w:rsidRPr="00F30319">
        <w:rPr>
          <w:rFonts w:ascii="Times New Roman" w:hAnsi="Times New Roman"/>
          <w:sz w:val="26"/>
          <w:szCs w:val="26"/>
        </w:rPr>
        <w:t>Система контроля и корректировки реализации положений Стратегии предполагает регулярный анализ развития территории города Когалыма. В случае необходимости изначальный план реализации стратегических мероприятий может быть скорректирован в направлении изменения их перечня и уровня приоритетности, периода реализации, финансовых лимитов, значений целевых индикаторов.</w:t>
      </w:r>
    </w:p>
    <w:p w:rsidR="004616EA" w:rsidRPr="00F30319" w:rsidRDefault="004616EA" w:rsidP="00F30319">
      <w:pPr>
        <w:autoSpaceDE w:val="0"/>
        <w:autoSpaceDN w:val="0"/>
        <w:adjustRightInd w:val="0"/>
        <w:spacing w:after="0" w:line="240" w:lineRule="auto"/>
        <w:ind w:firstLine="709"/>
        <w:jc w:val="both"/>
        <w:rPr>
          <w:rFonts w:ascii="Times New Roman" w:hAnsi="Times New Roman"/>
          <w:sz w:val="26"/>
          <w:szCs w:val="26"/>
        </w:rPr>
      </w:pPr>
      <w:r w:rsidRPr="00F30319">
        <w:rPr>
          <w:rFonts w:ascii="Times New Roman" w:hAnsi="Times New Roman"/>
          <w:sz w:val="26"/>
          <w:szCs w:val="26"/>
        </w:rPr>
        <w:t>При этом согласованные и утвержденные цели и задачи долгосрочного социально-экономического развития города Когалыма могут подвергаться корректировке только в крайних обстоятельствах, потому что они являются ориентирами социально-экономического развития и не могут ежегодно пересматриваться.</w:t>
      </w:r>
    </w:p>
    <w:p w:rsidR="004616EA" w:rsidRPr="00F30319" w:rsidRDefault="004616EA" w:rsidP="00F30319">
      <w:pPr>
        <w:spacing w:after="0" w:line="240" w:lineRule="auto"/>
        <w:ind w:firstLine="709"/>
        <w:jc w:val="both"/>
        <w:rPr>
          <w:rFonts w:ascii="Times New Roman" w:hAnsi="Times New Roman"/>
          <w:sz w:val="26"/>
          <w:szCs w:val="26"/>
        </w:rPr>
      </w:pPr>
      <w:r w:rsidRPr="00F30319">
        <w:rPr>
          <w:rFonts w:ascii="Times New Roman" w:hAnsi="Times New Roman"/>
          <w:sz w:val="26"/>
          <w:szCs w:val="26"/>
        </w:rPr>
        <w:t>Для создания более гибкой и вариативной системы мониторинга и контроля реализации положений Стратегии предлагается определять схему анализа и обсуждения промежуточных итогов, исходя из конкретной ситуации. Иными словами, выработку порядка ежегодного мониторинга и контроля над исполнением документа целесообразно возложить на главного исполнителя Стратегии - администрацию города Когалыма.</w:t>
      </w:r>
    </w:p>
    <w:p w:rsidR="004616EA" w:rsidRPr="00F30319" w:rsidRDefault="004616EA" w:rsidP="00F30319">
      <w:pPr>
        <w:spacing w:after="0" w:line="240" w:lineRule="auto"/>
        <w:ind w:firstLine="709"/>
        <w:jc w:val="both"/>
        <w:rPr>
          <w:rFonts w:ascii="Times New Roman" w:hAnsi="Times New Roman"/>
          <w:sz w:val="26"/>
          <w:szCs w:val="26"/>
        </w:rPr>
      </w:pPr>
      <w:r w:rsidRPr="00F30319">
        <w:rPr>
          <w:rFonts w:ascii="Times New Roman" w:hAnsi="Times New Roman"/>
          <w:sz w:val="26"/>
          <w:szCs w:val="26"/>
        </w:rPr>
        <w:t>Для достижения стратегических целей и реализации стратегических задач разработан план мероприятий по реализации Стратегии, который утверждается отдельным нормативно-правовым актом администрации города Когалыма.</w:t>
      </w:r>
    </w:p>
    <w:p w:rsidR="004616EA" w:rsidRPr="00F30319" w:rsidRDefault="004616EA" w:rsidP="00F30319">
      <w:pPr>
        <w:spacing w:after="0" w:line="240" w:lineRule="auto"/>
        <w:ind w:firstLine="709"/>
        <w:jc w:val="both"/>
        <w:rPr>
          <w:rFonts w:ascii="Times New Roman" w:hAnsi="Times New Roman"/>
          <w:sz w:val="26"/>
          <w:szCs w:val="26"/>
        </w:rPr>
      </w:pPr>
      <w:r w:rsidRPr="00F30319">
        <w:rPr>
          <w:rFonts w:ascii="Times New Roman" w:hAnsi="Times New Roman"/>
          <w:sz w:val="26"/>
          <w:szCs w:val="26"/>
        </w:rPr>
        <w:t>Реализация Стратегии социально-экономического развития городского округа город Когалым до 2020 года и на период до 2030 года позволит осуществить переход к устойчивому развитию экономики, повысить качество жизни населения, обеспечить эффективность системы государственного управления.</w:t>
      </w:r>
    </w:p>
    <w:p w:rsidR="004616EA" w:rsidRPr="00475E67" w:rsidRDefault="004616EA" w:rsidP="00973F2A">
      <w:pPr>
        <w:spacing w:after="0" w:line="360" w:lineRule="auto"/>
        <w:ind w:firstLine="708"/>
        <w:jc w:val="both"/>
        <w:rPr>
          <w:rFonts w:ascii="Times New Roman" w:hAnsi="Times New Roman"/>
          <w:sz w:val="24"/>
          <w:szCs w:val="24"/>
        </w:rPr>
        <w:sectPr w:rsidR="004616EA" w:rsidRPr="00475E67" w:rsidSect="00F30319">
          <w:pgSz w:w="11906" w:h="16838"/>
          <w:pgMar w:top="1134" w:right="567" w:bottom="1134" w:left="2552" w:header="709" w:footer="709" w:gutter="0"/>
          <w:cols w:space="708"/>
          <w:docGrid w:linePitch="360"/>
        </w:sectPr>
      </w:pPr>
    </w:p>
    <w:p w:rsidR="004616EA" w:rsidRPr="00475E67" w:rsidRDefault="004616EA" w:rsidP="0000414C">
      <w:pPr>
        <w:pStyle w:val="1"/>
        <w:rPr>
          <w:lang w:eastAsia="ar-SA"/>
        </w:rPr>
      </w:pPr>
      <w:bookmarkStart w:id="219" w:name="_Toc405805538"/>
      <w:r w:rsidRPr="00475E67">
        <w:rPr>
          <w:lang w:eastAsia="ar-SA"/>
        </w:rPr>
        <w:t>Приложение А</w:t>
      </w:r>
      <w:bookmarkEnd w:id="219"/>
    </w:p>
    <w:p w:rsidR="004616EA" w:rsidRPr="00475E67" w:rsidRDefault="004616EA" w:rsidP="000C4A9F">
      <w:pPr>
        <w:spacing w:after="0" w:line="360" w:lineRule="auto"/>
        <w:rPr>
          <w:rFonts w:ascii="Times New Roman" w:hAnsi="Times New Roman"/>
          <w:iCs/>
          <w:sz w:val="24"/>
          <w:szCs w:val="24"/>
          <w:lang w:eastAsia="ar-SA"/>
        </w:rPr>
      </w:pPr>
      <w:r w:rsidRPr="00475E67">
        <w:rPr>
          <w:rFonts w:ascii="Times New Roman" w:hAnsi="Times New Roman"/>
          <w:iCs/>
          <w:sz w:val="24"/>
          <w:szCs w:val="24"/>
          <w:lang w:eastAsia="ar-SA"/>
        </w:rPr>
        <w:t>Таблица А.1 - Муниципальные программы, реализуемые на территории муниципального образования городской округ город Когалым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12"/>
        <w:gridCol w:w="4430"/>
        <w:gridCol w:w="1774"/>
        <w:gridCol w:w="1834"/>
        <w:gridCol w:w="5270"/>
      </w:tblGrid>
      <w:tr w:rsidR="004616EA" w:rsidRPr="00475E67" w:rsidTr="00F30319">
        <w:trPr>
          <w:trHeight w:val="271"/>
        </w:trPr>
        <w:tc>
          <w:tcPr>
            <w:tcW w:w="820"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lang w:eastAsia="ru-RU"/>
              </w:rPr>
              <w:t>Наименование программы</w:t>
            </w:r>
          </w:p>
        </w:tc>
        <w:tc>
          <w:tcPr>
            <w:tcW w:w="1391"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lang w:eastAsia="ru-RU"/>
              </w:rPr>
              <w:t>Основные цели задачи программы</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lang w:eastAsia="ru-RU"/>
              </w:rPr>
              <w:t>Общий объем финансирования, тыс. рублей</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lang w:eastAsia="ru-RU"/>
              </w:rPr>
              <w:t>Источники финансирования</w:t>
            </w:r>
          </w:p>
        </w:tc>
        <w:tc>
          <w:tcPr>
            <w:tcW w:w="1655"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lang w:eastAsia="ru-RU"/>
              </w:rPr>
              <w:t>Ожидаемые результаты от реализации</w:t>
            </w:r>
          </w:p>
        </w:tc>
      </w:tr>
      <w:tr w:rsidR="004616EA" w:rsidRPr="00475E67" w:rsidTr="00F30319">
        <w:trPr>
          <w:trHeight w:val="271"/>
        </w:trPr>
        <w:tc>
          <w:tcPr>
            <w:tcW w:w="820" w:type="pct"/>
            <w:vAlign w:val="center"/>
          </w:tcPr>
          <w:p w:rsidR="004616EA" w:rsidRPr="00475E67" w:rsidRDefault="004616EA" w:rsidP="00F30319">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w:t>
            </w:r>
          </w:p>
        </w:tc>
        <w:tc>
          <w:tcPr>
            <w:tcW w:w="1391" w:type="pct"/>
            <w:vAlign w:val="center"/>
          </w:tcPr>
          <w:p w:rsidR="004616EA" w:rsidRPr="00475E67" w:rsidRDefault="004616EA" w:rsidP="00F30319">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w:t>
            </w:r>
          </w:p>
        </w:tc>
        <w:tc>
          <w:tcPr>
            <w:tcW w:w="557" w:type="pct"/>
            <w:vAlign w:val="center"/>
          </w:tcPr>
          <w:p w:rsidR="004616EA" w:rsidRPr="00475E67" w:rsidRDefault="004616EA" w:rsidP="00F30319">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3</w:t>
            </w:r>
          </w:p>
        </w:tc>
        <w:tc>
          <w:tcPr>
            <w:tcW w:w="576" w:type="pct"/>
            <w:vAlign w:val="center"/>
          </w:tcPr>
          <w:p w:rsidR="004616EA" w:rsidRPr="00475E67" w:rsidRDefault="004616EA" w:rsidP="00F30319">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4</w:t>
            </w:r>
          </w:p>
        </w:tc>
        <w:tc>
          <w:tcPr>
            <w:tcW w:w="1655" w:type="pct"/>
            <w:vAlign w:val="center"/>
          </w:tcPr>
          <w:p w:rsidR="004616EA" w:rsidRPr="00475E67" w:rsidRDefault="004616EA" w:rsidP="00F30319">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5</w:t>
            </w:r>
          </w:p>
        </w:tc>
      </w:tr>
      <w:tr w:rsidR="004616EA" w:rsidRPr="00475E67" w:rsidTr="00F30319">
        <w:trPr>
          <w:trHeight w:val="268"/>
        </w:trPr>
        <w:tc>
          <w:tcPr>
            <w:tcW w:w="820" w:type="pct"/>
            <w:vAlign w:val="center"/>
          </w:tcPr>
          <w:p w:rsidR="004616EA" w:rsidRPr="00475E67" w:rsidRDefault="004616EA" w:rsidP="00FA0564">
            <w:pPr>
              <w:spacing w:before="240"/>
              <w:jc w:val="center"/>
              <w:rPr>
                <w:rFonts w:ascii="Times New Roman" w:hAnsi="Times New Roman"/>
                <w:sz w:val="20"/>
                <w:szCs w:val="20"/>
              </w:rPr>
            </w:pPr>
            <w:r w:rsidRPr="00475E67">
              <w:rPr>
                <w:rFonts w:ascii="Times New Roman" w:hAnsi="Times New Roman"/>
                <w:sz w:val="20"/>
                <w:szCs w:val="20"/>
                <w:lang w:eastAsia="ru-RU"/>
              </w:rPr>
              <w:t xml:space="preserve">1. </w:t>
            </w:r>
            <w:r w:rsidRPr="00475E67">
              <w:rPr>
                <w:rFonts w:ascii="Times New Roman" w:hAnsi="Times New Roman"/>
                <w:sz w:val="20"/>
                <w:szCs w:val="20"/>
              </w:rPr>
              <w:t xml:space="preserve">«Доступная среда города Когалыма на 2014-2016 годы» </w:t>
            </w:r>
          </w:p>
          <w:p w:rsidR="004616EA" w:rsidRPr="00475E67" w:rsidRDefault="004616EA" w:rsidP="00FA0564">
            <w:pPr>
              <w:spacing w:before="240"/>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09.10.2013 №2864</w:t>
            </w:r>
          </w:p>
          <w:p w:rsidR="004616EA" w:rsidRPr="00475E67" w:rsidRDefault="004616EA" w:rsidP="00FA0564">
            <w:pPr>
              <w:spacing w:before="240"/>
              <w:jc w:val="center"/>
              <w:rPr>
                <w:rFonts w:ascii="Times New Roman" w:hAnsi="Times New Roman"/>
                <w:sz w:val="20"/>
                <w:szCs w:val="20"/>
              </w:rPr>
            </w:pPr>
            <w:r w:rsidRPr="00475E67">
              <w:rPr>
                <w:rFonts w:ascii="Times New Roman" w:hAnsi="Times New Roman"/>
                <w:sz w:val="20"/>
                <w:szCs w:val="20"/>
              </w:rPr>
              <w:t>(в ред. от 15.07.2014 №1740)</w:t>
            </w:r>
          </w:p>
          <w:p w:rsidR="004616EA" w:rsidRPr="00475E67" w:rsidRDefault="004616EA" w:rsidP="00FA0564">
            <w:pPr>
              <w:spacing w:after="0" w:line="240" w:lineRule="auto"/>
              <w:jc w:val="center"/>
              <w:rPr>
                <w:rFonts w:ascii="Times New Roman" w:hAnsi="Times New Roman"/>
                <w:sz w:val="20"/>
                <w:szCs w:val="20"/>
                <w:lang w:eastAsia="ru-RU"/>
              </w:rPr>
            </w:pPr>
          </w:p>
        </w:tc>
        <w:tc>
          <w:tcPr>
            <w:tcW w:w="1391" w:type="pct"/>
            <w:vAlign w:val="center"/>
          </w:tcPr>
          <w:p w:rsidR="004616EA" w:rsidRPr="00475E67" w:rsidRDefault="004616EA" w:rsidP="00FA0564">
            <w:pPr>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Цель:</w:t>
            </w:r>
          </w:p>
          <w:p w:rsidR="004616EA" w:rsidRPr="00475E67" w:rsidRDefault="004616EA" w:rsidP="00FA0564">
            <w:pPr>
              <w:spacing w:after="0" w:line="240" w:lineRule="auto"/>
              <w:jc w:val="both"/>
              <w:rPr>
                <w:rFonts w:ascii="Times New Roman" w:hAnsi="Times New Roman"/>
                <w:sz w:val="20"/>
                <w:szCs w:val="20"/>
              </w:rPr>
            </w:pPr>
            <w:r w:rsidRPr="00475E67">
              <w:rPr>
                <w:rFonts w:ascii="Times New Roman" w:hAnsi="Times New Roman"/>
                <w:sz w:val="20"/>
                <w:szCs w:val="20"/>
              </w:rPr>
              <w:t>Создание благоприятных условий для жизнедеятельности инвалидов и других маломобильных групп населения, обеспечивающих равные возможности доступа к объектам социальной инфраструктуры города Когалыма и пользования услугами в приоритетных сферах жизни общества</w:t>
            </w:r>
          </w:p>
          <w:p w:rsidR="004616EA" w:rsidRPr="00475E67" w:rsidRDefault="004616EA" w:rsidP="00FA0564">
            <w:pPr>
              <w:spacing w:after="0" w:line="240" w:lineRule="auto"/>
              <w:jc w:val="both"/>
              <w:rPr>
                <w:rFonts w:ascii="Times New Roman" w:hAnsi="Times New Roman"/>
                <w:bCs/>
                <w:i/>
                <w:sz w:val="20"/>
                <w:szCs w:val="20"/>
                <w:u w:val="single"/>
              </w:rPr>
            </w:pPr>
            <w:r w:rsidRPr="00475E67">
              <w:rPr>
                <w:rFonts w:ascii="Times New Roman" w:hAnsi="Times New Roman"/>
                <w:bCs/>
                <w:i/>
                <w:sz w:val="20"/>
                <w:szCs w:val="20"/>
                <w:u w:val="single"/>
              </w:rPr>
              <w:t>Задачи:</w:t>
            </w:r>
          </w:p>
          <w:p w:rsidR="004616EA" w:rsidRPr="00FF6DF6" w:rsidRDefault="004616EA" w:rsidP="00FA0564">
            <w:pPr>
              <w:pStyle w:val="a7"/>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Оценка состояния доступности объектов социальной инфраструктуры и услуг в приоритетных сферах жизнедеятельности инвалидов и других маломобильных групп населения;</w:t>
            </w:r>
          </w:p>
          <w:p w:rsidR="004616EA" w:rsidRPr="00FF6DF6" w:rsidRDefault="004616EA" w:rsidP="00FA0564">
            <w:pPr>
              <w:pStyle w:val="a7"/>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Оснащение объектов транспортной и социальной инфраструктур города Когалыма, находящихся в муниципальной собственности, в том числе жилых домов, приспособлениями и устройствами для беспрепятственного доступа и перемещения инвалидов и маломобильных групп населения;</w:t>
            </w:r>
          </w:p>
          <w:p w:rsidR="004616EA" w:rsidRPr="00FF6DF6" w:rsidRDefault="004616EA" w:rsidP="00FA0564">
            <w:pPr>
              <w:pStyle w:val="a7"/>
              <w:autoSpaceDE w:val="0"/>
              <w:autoSpaceDN w:val="0"/>
              <w:adjustRightInd w:val="0"/>
              <w:spacing w:line="240" w:lineRule="auto"/>
              <w:ind w:left="0"/>
              <w:jc w:val="both"/>
              <w:rPr>
                <w:rFonts w:ascii="Times New Roman" w:hAnsi="Times New Roman"/>
                <w:lang w:eastAsia="en-US"/>
              </w:rPr>
            </w:pPr>
            <w:r w:rsidRPr="00FF6DF6">
              <w:rPr>
                <w:rFonts w:ascii="Times New Roman" w:hAnsi="Times New Roman"/>
                <w:lang w:eastAsia="en-US"/>
              </w:rPr>
              <w:t>Обеспечение доступности приоритетных услуг в сфере образования, культуры, спорта для инвалидов и других маломобильных групп населения</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 xml:space="preserve">17 456,39 </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Местный бюджет, внебюджетные средства</w:t>
            </w:r>
          </w:p>
        </w:tc>
        <w:tc>
          <w:tcPr>
            <w:tcW w:w="1655" w:type="pct"/>
          </w:tcPr>
          <w:p w:rsidR="004616EA" w:rsidRPr="00FF6DF6" w:rsidRDefault="004616EA" w:rsidP="00392B97">
            <w:pPr>
              <w:pStyle w:val="a7"/>
              <w:autoSpaceDE w:val="0"/>
              <w:autoSpaceDN w:val="0"/>
              <w:adjustRightInd w:val="0"/>
              <w:spacing w:after="0" w:line="240" w:lineRule="auto"/>
              <w:ind w:left="0"/>
              <w:jc w:val="both"/>
              <w:outlineLvl w:val="1"/>
              <w:rPr>
                <w:rFonts w:ascii="Times New Roman" w:hAnsi="Times New Roman"/>
                <w:sz w:val="22"/>
                <w:szCs w:val="22"/>
                <w:lang w:eastAsia="en-US"/>
              </w:rPr>
            </w:pPr>
            <w:bookmarkStart w:id="220" w:name="_Toc396945868"/>
            <w:bookmarkStart w:id="221" w:name="_Toc397081547"/>
            <w:bookmarkStart w:id="222" w:name="_Toc400983673"/>
            <w:bookmarkStart w:id="223" w:name="_Toc401048579"/>
            <w:bookmarkStart w:id="224" w:name="_Toc405566056"/>
            <w:bookmarkStart w:id="225" w:name="_Toc405805539"/>
            <w:r w:rsidRPr="00FF6DF6">
              <w:rPr>
                <w:rFonts w:ascii="Times New Roman" w:hAnsi="Times New Roman"/>
                <w:sz w:val="22"/>
                <w:szCs w:val="22"/>
                <w:lang w:eastAsia="en-US"/>
              </w:rPr>
              <w:t>Увеличение доли инвалидов, положительно оценивающих уровень доступности объектов социальной инфраструктуры и услуг в приоритетных сферах жизнедеятельности, из числа опрошенных инвалидов (не менее 10% от общей численности инвалидов) до 89,6%;</w:t>
            </w:r>
            <w:bookmarkEnd w:id="220"/>
            <w:bookmarkEnd w:id="221"/>
            <w:bookmarkEnd w:id="222"/>
            <w:bookmarkEnd w:id="223"/>
            <w:bookmarkEnd w:id="224"/>
            <w:bookmarkEnd w:id="225"/>
          </w:p>
          <w:p w:rsidR="004616EA" w:rsidRPr="00FF6DF6" w:rsidRDefault="004616EA" w:rsidP="00392B97">
            <w:pPr>
              <w:pStyle w:val="a7"/>
              <w:spacing w:after="0" w:line="240" w:lineRule="auto"/>
              <w:ind w:left="0"/>
              <w:jc w:val="both"/>
              <w:rPr>
                <w:rFonts w:ascii="Times New Roman" w:hAnsi="Times New Roman"/>
                <w:sz w:val="22"/>
                <w:szCs w:val="22"/>
                <w:lang w:eastAsia="en-US"/>
              </w:rPr>
            </w:pPr>
            <w:r w:rsidRPr="00FF6DF6">
              <w:rPr>
                <w:rFonts w:ascii="Times New Roman" w:hAnsi="Times New Roman"/>
                <w:sz w:val="22"/>
                <w:szCs w:val="22"/>
                <w:lang w:eastAsia="en-US"/>
              </w:rPr>
              <w:t xml:space="preserve">Увеличение доли доступных для инвалидов и других маломобильных групп населения объектов социальной инфраструктуры в общем количестве приоритетных объектов (базовый показатель – 93 объекта) до 23,7%; </w:t>
            </w:r>
          </w:p>
          <w:p w:rsidR="004616EA" w:rsidRPr="00FF6DF6" w:rsidRDefault="004616EA" w:rsidP="00392B97">
            <w:pPr>
              <w:pStyle w:val="a7"/>
              <w:spacing w:after="0" w:line="240" w:lineRule="auto"/>
              <w:ind w:left="0"/>
              <w:jc w:val="both"/>
              <w:rPr>
                <w:rFonts w:ascii="Times New Roman" w:hAnsi="Times New Roman"/>
                <w:sz w:val="22"/>
                <w:szCs w:val="22"/>
                <w:lang w:eastAsia="en-US"/>
              </w:rPr>
            </w:pPr>
            <w:r w:rsidRPr="00FF6DF6">
              <w:rPr>
                <w:rFonts w:ascii="Times New Roman" w:hAnsi="Times New Roman"/>
                <w:bCs/>
                <w:iCs/>
                <w:sz w:val="22"/>
                <w:szCs w:val="22"/>
                <w:lang w:eastAsia="en-US"/>
              </w:rPr>
              <w:t>Увеличение доли лиц с ограниченными возможностями здоровья, систематически занимающихся физической культурой и спортом, в общей численности этой категории населения до 4,2%;</w:t>
            </w:r>
          </w:p>
          <w:p w:rsidR="004616EA" w:rsidRPr="00FF6DF6" w:rsidRDefault="004616EA" w:rsidP="00392B97">
            <w:pPr>
              <w:pStyle w:val="a7"/>
              <w:spacing w:after="0" w:line="240" w:lineRule="auto"/>
              <w:ind w:left="0"/>
              <w:jc w:val="both"/>
              <w:rPr>
                <w:rFonts w:ascii="Times New Roman" w:hAnsi="Times New Roman"/>
                <w:sz w:val="22"/>
                <w:szCs w:val="22"/>
                <w:lang w:eastAsia="en-US"/>
              </w:rPr>
            </w:pPr>
            <w:r w:rsidRPr="00FF6DF6">
              <w:rPr>
                <w:rFonts w:ascii="Times New Roman" w:hAnsi="Times New Roman"/>
                <w:bCs/>
                <w:iCs/>
                <w:sz w:val="22"/>
                <w:szCs w:val="22"/>
                <w:lang w:eastAsia="en-US"/>
              </w:rPr>
              <w:t>Увеличение доли детей-инвалидов, охваченных образовательным процессом в общей численности этой категории населения до 65%;</w:t>
            </w:r>
          </w:p>
          <w:p w:rsidR="004616EA" w:rsidRPr="00FF6DF6" w:rsidRDefault="004616EA" w:rsidP="00392B97">
            <w:pPr>
              <w:pStyle w:val="a7"/>
              <w:spacing w:after="0" w:line="240" w:lineRule="auto"/>
              <w:ind w:left="0"/>
              <w:jc w:val="both"/>
              <w:rPr>
                <w:rFonts w:ascii="Times New Roman" w:hAnsi="Times New Roman"/>
              </w:rPr>
            </w:pPr>
            <w:r w:rsidRPr="00FF6DF6">
              <w:rPr>
                <w:rFonts w:ascii="Times New Roman" w:hAnsi="Times New Roman"/>
                <w:sz w:val="22"/>
                <w:szCs w:val="22"/>
                <w:lang w:eastAsia="en-US"/>
              </w:rPr>
              <w:t>Увеличение д</w:t>
            </w:r>
            <w:r w:rsidRPr="00FF6DF6">
              <w:rPr>
                <w:rFonts w:ascii="Times New Roman" w:hAnsi="Times New Roman"/>
                <w:bCs/>
                <w:iCs/>
                <w:sz w:val="22"/>
                <w:szCs w:val="22"/>
                <w:lang w:eastAsia="en-US"/>
              </w:rPr>
              <w:t>оли лиц с ограниченными возможностями здоровья, участвующих в процессе социализации через организацию досуговой деятельности средствами культуры до 86%</w:t>
            </w:r>
          </w:p>
        </w:tc>
      </w:tr>
    </w:tbl>
    <w:p w:rsidR="004616EA" w:rsidRDefault="004616EA">
      <w:pPr>
        <w:sectPr w:rsidR="004616EA" w:rsidSect="00461CB8">
          <w:pgSz w:w="16838" w:h="11906" w:orient="landscape"/>
          <w:pgMar w:top="2552" w:right="567" w:bottom="567" w:left="567" w:header="709" w:footer="709" w:gutter="0"/>
          <w:cols w:space="708"/>
          <w:docGrid w:linePitch="360"/>
        </w:sectPr>
      </w:pPr>
    </w:p>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12"/>
        <w:gridCol w:w="4430"/>
        <w:gridCol w:w="1774"/>
        <w:gridCol w:w="1834"/>
        <w:gridCol w:w="5270"/>
      </w:tblGrid>
      <w:tr w:rsidR="004616EA" w:rsidRPr="00475E67" w:rsidTr="00F30319">
        <w:trPr>
          <w:trHeight w:val="1275"/>
        </w:trPr>
        <w:tc>
          <w:tcPr>
            <w:tcW w:w="820" w:type="pct"/>
            <w:vAlign w:val="center"/>
          </w:tcPr>
          <w:p w:rsidR="004616EA" w:rsidRPr="00475E67" w:rsidRDefault="004616EA" w:rsidP="00FA0564">
            <w:pPr>
              <w:autoSpaceDE w:val="0"/>
              <w:autoSpaceDN w:val="0"/>
              <w:adjustRightInd w:val="0"/>
              <w:jc w:val="center"/>
              <w:rPr>
                <w:rFonts w:ascii="Times New Roman" w:hAnsi="Times New Roman"/>
                <w:sz w:val="20"/>
                <w:szCs w:val="20"/>
              </w:rPr>
            </w:pPr>
            <w:r w:rsidRPr="00475E67">
              <w:rPr>
                <w:rFonts w:ascii="Times New Roman" w:hAnsi="Times New Roman"/>
                <w:sz w:val="20"/>
                <w:szCs w:val="20"/>
                <w:lang w:eastAsia="ru-RU"/>
              </w:rPr>
              <w:t xml:space="preserve">2. </w:t>
            </w:r>
            <w:r w:rsidRPr="00475E67">
              <w:rPr>
                <w:rFonts w:ascii="Times New Roman" w:hAnsi="Times New Roman"/>
                <w:sz w:val="20"/>
                <w:szCs w:val="20"/>
              </w:rPr>
              <w:t>«Защита населения и территорий от чрезвычайных ситуаций и укрепление пожарной безопасности в городе Когалыме на 2014 - 2016 годы»</w:t>
            </w:r>
          </w:p>
          <w:p w:rsidR="004616EA" w:rsidRPr="00475E67" w:rsidRDefault="004616EA" w:rsidP="00FA0564">
            <w:pPr>
              <w:spacing w:before="240"/>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02.10.2013 №2810</w:t>
            </w:r>
          </w:p>
          <w:p w:rsidR="004616EA" w:rsidRPr="00475E67" w:rsidRDefault="004616EA" w:rsidP="00FA0564">
            <w:pPr>
              <w:spacing w:before="240"/>
              <w:jc w:val="center"/>
              <w:rPr>
                <w:rFonts w:ascii="Times New Roman" w:hAnsi="Times New Roman"/>
                <w:sz w:val="20"/>
                <w:szCs w:val="20"/>
              </w:rPr>
            </w:pPr>
            <w:r w:rsidRPr="00475E67">
              <w:rPr>
                <w:rFonts w:ascii="Times New Roman" w:hAnsi="Times New Roman"/>
                <w:sz w:val="20"/>
                <w:szCs w:val="20"/>
              </w:rPr>
              <w:t>(в ред. от 06.06.2014 №1361)</w:t>
            </w:r>
          </w:p>
          <w:p w:rsidR="004616EA" w:rsidRPr="00475E67" w:rsidRDefault="004616EA" w:rsidP="00FA0564">
            <w:pPr>
              <w:spacing w:after="0" w:line="240" w:lineRule="auto"/>
              <w:jc w:val="center"/>
              <w:rPr>
                <w:rFonts w:ascii="Times New Roman" w:hAnsi="Times New Roman"/>
                <w:sz w:val="20"/>
                <w:szCs w:val="20"/>
                <w:lang w:eastAsia="ru-RU"/>
              </w:rPr>
            </w:pPr>
          </w:p>
        </w:tc>
        <w:tc>
          <w:tcPr>
            <w:tcW w:w="1391" w:type="pct"/>
            <w:vAlign w:val="center"/>
          </w:tcPr>
          <w:p w:rsidR="004616EA" w:rsidRPr="00475E67" w:rsidRDefault="004616EA" w:rsidP="00FA0564">
            <w:pPr>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Цели:</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bCs/>
                <w:lang w:eastAsia="en-US"/>
              </w:rPr>
              <w:t>Повышение защиты населения и территории города Когалыма от угроз природного и техногенного характера;</w:t>
            </w:r>
          </w:p>
          <w:p w:rsidR="004616EA" w:rsidRPr="00FF6DF6" w:rsidRDefault="004616EA" w:rsidP="00FA0564">
            <w:pPr>
              <w:pStyle w:val="a7"/>
              <w:spacing w:after="0" w:line="240" w:lineRule="auto"/>
              <w:ind w:left="0"/>
              <w:jc w:val="both"/>
              <w:rPr>
                <w:rFonts w:ascii="Times New Roman" w:hAnsi="Times New Roman"/>
                <w:bCs/>
                <w:lang w:eastAsia="en-US"/>
              </w:rPr>
            </w:pPr>
            <w:r w:rsidRPr="00FF6DF6">
              <w:rPr>
                <w:rFonts w:ascii="Times New Roman" w:hAnsi="Times New Roman"/>
                <w:bCs/>
                <w:lang w:eastAsia="en-US"/>
              </w:rPr>
              <w:t>Повышение уровня пожарной безопасности в городе Когалыме;</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Создание условий для осуществления эффективной деятельности отдела по делам гражданской обороны и чрезвычайных ситуаций Администрации города Когалыма</w:t>
            </w:r>
          </w:p>
          <w:p w:rsidR="004616EA" w:rsidRPr="00475E67" w:rsidRDefault="004616EA" w:rsidP="00FA0564">
            <w:pPr>
              <w:widowControl w:val="0"/>
              <w:autoSpaceDE w:val="0"/>
              <w:autoSpaceDN w:val="0"/>
              <w:adjustRightInd w:val="0"/>
              <w:spacing w:after="0" w:line="240" w:lineRule="auto"/>
              <w:jc w:val="both"/>
              <w:outlineLvl w:val="1"/>
              <w:rPr>
                <w:rFonts w:ascii="Times New Roman" w:hAnsi="Times New Roman"/>
                <w:i/>
                <w:sz w:val="20"/>
                <w:szCs w:val="20"/>
                <w:u w:val="single"/>
              </w:rPr>
            </w:pPr>
            <w:bookmarkStart w:id="226" w:name="_Toc396945869"/>
            <w:bookmarkStart w:id="227" w:name="_Toc397081548"/>
            <w:bookmarkStart w:id="228" w:name="_Toc400983674"/>
            <w:bookmarkStart w:id="229" w:name="_Toc401048580"/>
            <w:bookmarkStart w:id="230" w:name="_Toc403463492"/>
            <w:bookmarkStart w:id="231" w:name="_Toc405566057"/>
            <w:bookmarkStart w:id="232" w:name="_Toc405805540"/>
            <w:r w:rsidRPr="00475E67">
              <w:rPr>
                <w:rFonts w:ascii="Times New Roman" w:hAnsi="Times New Roman"/>
                <w:i/>
                <w:sz w:val="20"/>
                <w:szCs w:val="20"/>
                <w:u w:val="single"/>
              </w:rPr>
              <w:t>Задачи:</w:t>
            </w:r>
            <w:bookmarkEnd w:id="226"/>
            <w:bookmarkEnd w:id="227"/>
            <w:bookmarkEnd w:id="228"/>
            <w:bookmarkEnd w:id="229"/>
            <w:bookmarkEnd w:id="230"/>
            <w:bookmarkEnd w:id="231"/>
            <w:bookmarkEnd w:id="232"/>
          </w:p>
          <w:p w:rsidR="004616EA" w:rsidRPr="00FF6DF6" w:rsidRDefault="004616EA" w:rsidP="00FA0564">
            <w:pPr>
              <w:pStyle w:val="a7"/>
              <w:widowControl w:val="0"/>
              <w:autoSpaceDE w:val="0"/>
              <w:autoSpaceDN w:val="0"/>
              <w:adjustRightInd w:val="0"/>
              <w:spacing w:after="0" w:line="240" w:lineRule="auto"/>
              <w:ind w:left="0"/>
              <w:jc w:val="both"/>
              <w:outlineLvl w:val="1"/>
              <w:rPr>
                <w:rFonts w:ascii="Times New Roman" w:hAnsi="Times New Roman"/>
                <w:lang w:eastAsia="en-US"/>
              </w:rPr>
            </w:pPr>
            <w:bookmarkStart w:id="233" w:name="_Toc396945870"/>
            <w:bookmarkStart w:id="234" w:name="_Toc397081549"/>
            <w:bookmarkStart w:id="235" w:name="_Toc400983675"/>
            <w:bookmarkStart w:id="236" w:name="_Toc401048581"/>
            <w:bookmarkStart w:id="237" w:name="_Toc403463493"/>
            <w:bookmarkStart w:id="238" w:name="_Toc405566058"/>
            <w:bookmarkStart w:id="239" w:name="_Toc405805541"/>
            <w:r w:rsidRPr="00FF6DF6">
              <w:rPr>
                <w:rFonts w:ascii="Times New Roman" w:hAnsi="Times New Roman"/>
                <w:bCs/>
                <w:lang w:eastAsia="en-US"/>
              </w:rPr>
              <w:t xml:space="preserve">Совершенствование организации и функционирования городского звена </w:t>
            </w:r>
            <w:r w:rsidRPr="00FF6DF6">
              <w:rPr>
                <w:rFonts w:ascii="Times New Roman" w:hAnsi="Times New Roman"/>
                <w:lang w:eastAsia="en-US"/>
              </w:rPr>
              <w:t>территориальной подсистемы Ханты-Мансийского автономного округа – Югры единой государственной системы предупреждения и ликвидации чрезвычайных ситуаций;</w:t>
            </w:r>
            <w:bookmarkEnd w:id="233"/>
            <w:bookmarkEnd w:id="234"/>
            <w:bookmarkEnd w:id="235"/>
            <w:bookmarkEnd w:id="236"/>
            <w:bookmarkEnd w:id="237"/>
            <w:bookmarkEnd w:id="238"/>
            <w:bookmarkEnd w:id="239"/>
          </w:p>
          <w:p w:rsidR="004616EA" w:rsidRPr="00FF6DF6" w:rsidRDefault="004616EA" w:rsidP="00FA0564">
            <w:pPr>
              <w:pStyle w:val="a7"/>
              <w:widowControl w:val="0"/>
              <w:autoSpaceDE w:val="0"/>
              <w:autoSpaceDN w:val="0"/>
              <w:adjustRightInd w:val="0"/>
              <w:spacing w:after="0" w:line="240" w:lineRule="auto"/>
              <w:ind w:left="0"/>
              <w:jc w:val="both"/>
              <w:outlineLvl w:val="1"/>
              <w:rPr>
                <w:rFonts w:ascii="Times New Roman" w:hAnsi="Times New Roman"/>
                <w:bCs/>
                <w:lang w:eastAsia="en-US"/>
              </w:rPr>
            </w:pPr>
            <w:bookmarkStart w:id="240" w:name="_Toc396945871"/>
            <w:bookmarkStart w:id="241" w:name="_Toc397081550"/>
            <w:bookmarkStart w:id="242" w:name="_Toc400983676"/>
            <w:bookmarkStart w:id="243" w:name="_Toc401048582"/>
            <w:bookmarkStart w:id="244" w:name="_Toc403463494"/>
            <w:bookmarkStart w:id="245" w:name="_Toc405566059"/>
            <w:bookmarkStart w:id="246" w:name="_Toc405805542"/>
            <w:r w:rsidRPr="00FF6DF6">
              <w:rPr>
                <w:rFonts w:ascii="Times New Roman" w:hAnsi="Times New Roman"/>
                <w:bCs/>
                <w:lang w:eastAsia="en-US"/>
              </w:rPr>
              <w:t>Обеспечение населения города Когалыма средствами защиты;</w:t>
            </w:r>
            <w:bookmarkEnd w:id="240"/>
            <w:bookmarkEnd w:id="241"/>
            <w:bookmarkEnd w:id="242"/>
            <w:bookmarkEnd w:id="243"/>
            <w:bookmarkEnd w:id="244"/>
            <w:bookmarkEnd w:id="245"/>
            <w:bookmarkEnd w:id="246"/>
          </w:p>
          <w:p w:rsidR="004616EA" w:rsidRPr="00FF6DF6" w:rsidRDefault="004616EA" w:rsidP="00FA0564">
            <w:pPr>
              <w:pStyle w:val="a7"/>
              <w:widowControl w:val="0"/>
              <w:autoSpaceDE w:val="0"/>
              <w:autoSpaceDN w:val="0"/>
              <w:adjustRightInd w:val="0"/>
              <w:spacing w:after="0" w:line="240" w:lineRule="auto"/>
              <w:ind w:left="0"/>
              <w:jc w:val="both"/>
              <w:outlineLvl w:val="1"/>
              <w:rPr>
                <w:rFonts w:ascii="Times New Roman" w:hAnsi="Times New Roman"/>
                <w:lang w:eastAsia="en-US"/>
              </w:rPr>
            </w:pPr>
            <w:bookmarkStart w:id="247" w:name="_Toc396945872"/>
            <w:bookmarkStart w:id="248" w:name="_Toc397081551"/>
            <w:bookmarkStart w:id="249" w:name="_Toc400983677"/>
            <w:bookmarkStart w:id="250" w:name="_Toc401048583"/>
            <w:bookmarkStart w:id="251" w:name="_Toc403463495"/>
            <w:bookmarkStart w:id="252" w:name="_Toc405566060"/>
            <w:bookmarkStart w:id="253" w:name="_Toc405805543"/>
            <w:r w:rsidRPr="00FF6DF6">
              <w:rPr>
                <w:rFonts w:ascii="Times New Roman" w:hAnsi="Times New Roman"/>
                <w:lang w:eastAsia="en-US"/>
              </w:rPr>
              <w:t>Развитие материально-технической базы гражданской обороны и защиты от чрезвычайных ситуаций;</w:t>
            </w:r>
            <w:bookmarkEnd w:id="247"/>
            <w:bookmarkEnd w:id="248"/>
            <w:bookmarkEnd w:id="249"/>
            <w:bookmarkEnd w:id="250"/>
            <w:bookmarkEnd w:id="251"/>
            <w:bookmarkEnd w:id="252"/>
            <w:bookmarkEnd w:id="253"/>
          </w:p>
          <w:p w:rsidR="004616EA" w:rsidRPr="00FF6DF6" w:rsidRDefault="004616EA" w:rsidP="00FA0564">
            <w:pPr>
              <w:pStyle w:val="a7"/>
              <w:widowControl w:val="0"/>
              <w:autoSpaceDE w:val="0"/>
              <w:autoSpaceDN w:val="0"/>
              <w:adjustRightInd w:val="0"/>
              <w:spacing w:after="0" w:line="240" w:lineRule="auto"/>
              <w:ind w:left="0"/>
              <w:jc w:val="both"/>
              <w:outlineLvl w:val="1"/>
              <w:rPr>
                <w:rFonts w:ascii="Times New Roman" w:hAnsi="Times New Roman"/>
                <w:bCs/>
                <w:lang w:eastAsia="en-US"/>
              </w:rPr>
            </w:pPr>
            <w:bookmarkStart w:id="254" w:name="_Toc396945873"/>
            <w:bookmarkStart w:id="255" w:name="_Toc397081552"/>
            <w:bookmarkStart w:id="256" w:name="_Toc400983678"/>
            <w:bookmarkStart w:id="257" w:name="_Toc401048584"/>
            <w:bookmarkStart w:id="258" w:name="_Toc403463496"/>
            <w:bookmarkStart w:id="259" w:name="_Toc405566061"/>
            <w:bookmarkStart w:id="260" w:name="_Toc405805544"/>
            <w:r w:rsidRPr="00FF6DF6">
              <w:rPr>
                <w:rFonts w:ascii="Times New Roman" w:hAnsi="Times New Roman"/>
                <w:bCs/>
                <w:lang w:eastAsia="en-US"/>
              </w:rPr>
              <w:t>Создание общественных спасательных постов в местах массового отдыха людей на водных объектах города Когалыма;</w:t>
            </w:r>
            <w:bookmarkEnd w:id="254"/>
            <w:bookmarkEnd w:id="255"/>
            <w:bookmarkEnd w:id="256"/>
            <w:bookmarkEnd w:id="257"/>
            <w:bookmarkEnd w:id="258"/>
            <w:bookmarkEnd w:id="259"/>
            <w:bookmarkEnd w:id="260"/>
          </w:p>
          <w:p w:rsidR="004616EA" w:rsidRPr="00FF6DF6" w:rsidRDefault="004616EA" w:rsidP="00FA0564">
            <w:pPr>
              <w:pStyle w:val="a7"/>
              <w:widowControl w:val="0"/>
              <w:autoSpaceDE w:val="0"/>
              <w:autoSpaceDN w:val="0"/>
              <w:adjustRightInd w:val="0"/>
              <w:spacing w:after="0" w:line="240" w:lineRule="auto"/>
              <w:ind w:left="0"/>
              <w:jc w:val="both"/>
              <w:outlineLvl w:val="1"/>
              <w:rPr>
                <w:rFonts w:ascii="Times New Roman" w:hAnsi="Times New Roman"/>
                <w:lang w:eastAsia="en-US"/>
              </w:rPr>
            </w:pPr>
            <w:bookmarkStart w:id="261" w:name="_Toc396945874"/>
            <w:bookmarkStart w:id="262" w:name="_Toc397081553"/>
            <w:bookmarkStart w:id="263" w:name="_Toc400983679"/>
            <w:bookmarkStart w:id="264" w:name="_Toc401048585"/>
            <w:bookmarkStart w:id="265" w:name="_Toc403463497"/>
            <w:bookmarkStart w:id="266" w:name="_Toc405566062"/>
            <w:bookmarkStart w:id="267" w:name="_Toc405805545"/>
            <w:r w:rsidRPr="00FF6DF6">
              <w:rPr>
                <w:rFonts w:ascii="Times New Roman" w:hAnsi="Times New Roman"/>
                <w:lang w:eastAsia="en-US"/>
              </w:rPr>
              <w:t>Обеспечение первичных мер пожарной безопасности в городе Когалыме;</w:t>
            </w:r>
            <w:bookmarkEnd w:id="261"/>
            <w:bookmarkEnd w:id="262"/>
            <w:bookmarkEnd w:id="263"/>
            <w:bookmarkEnd w:id="264"/>
            <w:bookmarkEnd w:id="265"/>
            <w:bookmarkEnd w:id="266"/>
            <w:bookmarkEnd w:id="267"/>
          </w:p>
          <w:p w:rsidR="004616EA" w:rsidRPr="00FF6DF6" w:rsidRDefault="004616EA" w:rsidP="00FA0564">
            <w:pPr>
              <w:pStyle w:val="a7"/>
              <w:widowControl w:val="0"/>
              <w:autoSpaceDE w:val="0"/>
              <w:autoSpaceDN w:val="0"/>
              <w:adjustRightInd w:val="0"/>
              <w:spacing w:after="0" w:line="240" w:lineRule="auto"/>
              <w:ind w:left="0"/>
              <w:jc w:val="both"/>
              <w:outlineLvl w:val="1"/>
              <w:rPr>
                <w:rFonts w:ascii="Times New Roman" w:hAnsi="Times New Roman"/>
                <w:bCs/>
                <w:lang w:eastAsia="en-US"/>
              </w:rPr>
            </w:pPr>
            <w:bookmarkStart w:id="268" w:name="_Toc396945875"/>
            <w:bookmarkStart w:id="269" w:name="_Toc397081554"/>
            <w:bookmarkStart w:id="270" w:name="_Toc400983680"/>
            <w:bookmarkStart w:id="271" w:name="_Toc401048586"/>
            <w:bookmarkStart w:id="272" w:name="_Toc403463498"/>
            <w:bookmarkStart w:id="273" w:name="_Toc405566063"/>
            <w:bookmarkStart w:id="274" w:name="_Toc405805546"/>
            <w:r w:rsidRPr="00FF6DF6">
              <w:rPr>
                <w:rFonts w:ascii="Times New Roman" w:hAnsi="Times New Roman"/>
                <w:bCs/>
                <w:lang w:eastAsia="en-US"/>
              </w:rPr>
              <w:t>Организация обучения населения мерам пожарной безопасности, и пропаганда в области пожарной безопасности, содействие распространению пожарно-технических знаний;</w:t>
            </w:r>
            <w:bookmarkEnd w:id="268"/>
            <w:bookmarkEnd w:id="269"/>
            <w:bookmarkEnd w:id="270"/>
            <w:bookmarkEnd w:id="271"/>
            <w:bookmarkEnd w:id="272"/>
            <w:bookmarkEnd w:id="273"/>
            <w:bookmarkEnd w:id="274"/>
          </w:p>
          <w:p w:rsidR="004616EA" w:rsidRPr="00FF6DF6" w:rsidRDefault="004616EA" w:rsidP="00FA0564">
            <w:pPr>
              <w:pStyle w:val="a7"/>
              <w:widowControl w:val="0"/>
              <w:autoSpaceDE w:val="0"/>
              <w:autoSpaceDN w:val="0"/>
              <w:adjustRightInd w:val="0"/>
              <w:spacing w:after="0" w:line="240" w:lineRule="auto"/>
              <w:ind w:left="0"/>
              <w:jc w:val="both"/>
              <w:outlineLvl w:val="1"/>
              <w:rPr>
                <w:rFonts w:ascii="Times New Roman" w:hAnsi="Times New Roman"/>
                <w:bCs/>
                <w:lang w:eastAsia="en-US"/>
              </w:rPr>
            </w:pPr>
            <w:bookmarkStart w:id="275" w:name="_Toc396945876"/>
            <w:bookmarkStart w:id="276" w:name="_Toc397081555"/>
            <w:bookmarkStart w:id="277" w:name="_Toc400983681"/>
            <w:bookmarkStart w:id="278" w:name="_Toc401048587"/>
            <w:bookmarkStart w:id="279" w:name="_Toc403463499"/>
            <w:bookmarkStart w:id="280" w:name="_Toc405566064"/>
            <w:bookmarkStart w:id="281" w:name="_Toc405805547"/>
            <w:r w:rsidRPr="00FF6DF6">
              <w:rPr>
                <w:rFonts w:ascii="Times New Roman" w:hAnsi="Times New Roman"/>
                <w:bCs/>
                <w:lang w:eastAsia="en-US"/>
              </w:rPr>
              <w:t>Обеспечение тушения лесных пожаров</w:t>
            </w:r>
            <w:bookmarkEnd w:id="275"/>
            <w:bookmarkEnd w:id="276"/>
            <w:bookmarkEnd w:id="277"/>
            <w:bookmarkEnd w:id="278"/>
            <w:bookmarkEnd w:id="279"/>
            <w:bookmarkEnd w:id="280"/>
            <w:bookmarkEnd w:id="281"/>
          </w:p>
          <w:p w:rsidR="004616EA" w:rsidRPr="00475E67" w:rsidRDefault="004616EA" w:rsidP="00FA0564">
            <w:pPr>
              <w:spacing w:after="0" w:line="240" w:lineRule="auto"/>
              <w:rPr>
                <w:rFonts w:ascii="Times New Roman" w:hAnsi="Times New Roman"/>
                <w:sz w:val="20"/>
                <w:szCs w:val="20"/>
                <w:lang w:eastAsia="ru-RU"/>
              </w:rPr>
            </w:pP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123 511,80</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Окружной бюджет, местный бюджет, внебюджетные источники</w:t>
            </w:r>
          </w:p>
        </w:tc>
        <w:tc>
          <w:tcPr>
            <w:tcW w:w="1655" w:type="pct"/>
          </w:tcPr>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Обеспечение беспрепятственного подъезда к источникам наружного противопожарного водоснабжения, расположенным на территории города Когалыма, до 100%;</w:t>
            </w:r>
          </w:p>
          <w:p w:rsidR="004616EA" w:rsidRPr="00FF6DF6" w:rsidRDefault="004616EA" w:rsidP="00FA0564">
            <w:pPr>
              <w:pStyle w:val="a7"/>
              <w:spacing w:before="240" w:after="0" w:line="240" w:lineRule="auto"/>
              <w:ind w:left="0"/>
              <w:jc w:val="both"/>
              <w:rPr>
                <w:rFonts w:ascii="Times New Roman" w:hAnsi="Times New Roman"/>
                <w:lang w:eastAsia="en-US"/>
              </w:rPr>
            </w:pPr>
            <w:r w:rsidRPr="00FF6DF6">
              <w:rPr>
                <w:rFonts w:ascii="Times New Roman" w:hAnsi="Times New Roman"/>
                <w:lang w:eastAsia="en-US"/>
              </w:rPr>
              <w:t>Обеспечение работников муниципальных организаций средствами защиты, до 25,5%;</w:t>
            </w:r>
          </w:p>
          <w:p w:rsidR="004616EA" w:rsidRPr="00FF6DF6" w:rsidRDefault="004616EA" w:rsidP="00FA0564">
            <w:pPr>
              <w:pStyle w:val="a7"/>
              <w:spacing w:before="240" w:after="0" w:line="240" w:lineRule="auto"/>
              <w:ind w:left="0"/>
              <w:jc w:val="both"/>
              <w:rPr>
                <w:rFonts w:ascii="Times New Roman" w:hAnsi="Times New Roman"/>
                <w:lang w:eastAsia="en-US"/>
              </w:rPr>
            </w:pPr>
            <w:r w:rsidRPr="00FF6DF6">
              <w:rPr>
                <w:rFonts w:ascii="Times New Roman" w:hAnsi="Times New Roman"/>
                <w:lang w:eastAsia="en-US"/>
              </w:rPr>
              <w:t>Обеспечение информированности и уровня знаний в области пожарной безопасности населения города Когалыма, до 100%.</w:t>
            </w:r>
          </w:p>
          <w:p w:rsidR="004616EA" w:rsidRPr="00FF6DF6" w:rsidRDefault="004616EA" w:rsidP="00FA0564">
            <w:pPr>
              <w:pStyle w:val="a7"/>
              <w:spacing w:before="240" w:after="0" w:line="240" w:lineRule="auto"/>
              <w:ind w:left="0"/>
              <w:jc w:val="both"/>
              <w:rPr>
                <w:rFonts w:ascii="Times New Roman" w:hAnsi="Times New Roman"/>
                <w:lang w:eastAsia="en-US"/>
              </w:rPr>
            </w:pPr>
            <w:r w:rsidRPr="00FF6DF6">
              <w:rPr>
                <w:rFonts w:ascii="Times New Roman" w:hAnsi="Times New Roman"/>
                <w:lang w:eastAsia="en-US"/>
              </w:rPr>
              <w:t>Повышение эффективности действий при тушении пожаров и проведении первоочередных аварийно-спасательных работ;</w:t>
            </w:r>
          </w:p>
          <w:p w:rsidR="004616EA" w:rsidRPr="00FF6DF6" w:rsidRDefault="004616EA" w:rsidP="00FA0564">
            <w:pPr>
              <w:pStyle w:val="a7"/>
              <w:spacing w:before="240" w:after="0" w:line="240" w:lineRule="auto"/>
              <w:ind w:left="0"/>
              <w:jc w:val="both"/>
              <w:rPr>
                <w:rFonts w:ascii="Times New Roman" w:hAnsi="Times New Roman"/>
                <w:lang w:eastAsia="en-US"/>
              </w:rPr>
            </w:pPr>
            <w:r w:rsidRPr="00FF6DF6">
              <w:rPr>
                <w:rFonts w:ascii="Times New Roman" w:hAnsi="Times New Roman"/>
                <w:lang w:eastAsia="en-US"/>
              </w:rPr>
              <w:t>Увеличение количества ежегодно обучаемого неработающего населения города Когалыма способам защиты и действиям в чрезвычайной ситуации, до 1250 человек;</w:t>
            </w:r>
          </w:p>
          <w:p w:rsidR="004616EA" w:rsidRPr="00FF6DF6" w:rsidRDefault="004616EA" w:rsidP="00FA0564">
            <w:pPr>
              <w:pStyle w:val="a7"/>
              <w:spacing w:before="240" w:after="0" w:line="240" w:lineRule="auto"/>
              <w:ind w:left="0"/>
              <w:jc w:val="both"/>
              <w:rPr>
                <w:rFonts w:ascii="Times New Roman" w:hAnsi="Times New Roman"/>
                <w:lang w:eastAsia="en-US"/>
              </w:rPr>
            </w:pPr>
            <w:r w:rsidRPr="00FF6DF6">
              <w:rPr>
                <w:rFonts w:ascii="Times New Roman" w:hAnsi="Times New Roman"/>
                <w:lang w:eastAsia="en-US"/>
              </w:rPr>
              <w:t>Увеличение количества ежегодно информируемого населения города Когалыма безопасности жизнедеятельности, до 15,5 тысяч человек;</w:t>
            </w:r>
          </w:p>
          <w:p w:rsidR="004616EA" w:rsidRPr="00FF6DF6" w:rsidRDefault="004616EA" w:rsidP="00FA0564">
            <w:pPr>
              <w:pStyle w:val="a7"/>
              <w:spacing w:before="240" w:after="0" w:line="240" w:lineRule="auto"/>
              <w:ind w:left="0"/>
              <w:jc w:val="both"/>
              <w:rPr>
                <w:rFonts w:ascii="Times New Roman" w:hAnsi="Times New Roman"/>
                <w:lang w:eastAsia="en-US"/>
              </w:rPr>
            </w:pPr>
            <w:r w:rsidRPr="00FF6DF6">
              <w:rPr>
                <w:rFonts w:ascii="Times New Roman" w:hAnsi="Times New Roman"/>
                <w:lang w:eastAsia="en-US"/>
              </w:rPr>
              <w:t>Сокращение времени прибытия к месту чрезвычайной ситуации, до 7,5 минут</w:t>
            </w:r>
          </w:p>
        </w:tc>
      </w:tr>
    </w:tbl>
    <w:p w:rsidR="004616EA" w:rsidRDefault="004616EA">
      <w:pPr>
        <w:sectPr w:rsidR="004616EA" w:rsidSect="00461CB8">
          <w:type w:val="continuous"/>
          <w:pgSz w:w="16838" w:h="11906" w:orient="landscape"/>
          <w:pgMar w:top="567" w:right="567" w:bottom="2552" w:left="567" w:header="709" w:footer="709" w:gutter="0"/>
          <w:cols w:space="708"/>
          <w:docGrid w:linePitch="360"/>
        </w:sectPr>
      </w:pPr>
    </w:p>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12"/>
        <w:gridCol w:w="4430"/>
        <w:gridCol w:w="1774"/>
        <w:gridCol w:w="1834"/>
        <w:gridCol w:w="5270"/>
      </w:tblGrid>
      <w:tr w:rsidR="004616EA" w:rsidRPr="00475E67" w:rsidTr="00F30319">
        <w:trPr>
          <w:trHeight w:val="1417"/>
        </w:trPr>
        <w:tc>
          <w:tcPr>
            <w:tcW w:w="820" w:type="pct"/>
            <w:vAlign w:val="center"/>
          </w:tcPr>
          <w:p w:rsidR="004616EA" w:rsidRPr="00475E67" w:rsidRDefault="004616EA" w:rsidP="00FA0564">
            <w:pPr>
              <w:spacing w:after="0"/>
              <w:jc w:val="center"/>
              <w:rPr>
                <w:rFonts w:ascii="Times New Roman" w:hAnsi="Times New Roman"/>
                <w:sz w:val="20"/>
                <w:szCs w:val="20"/>
              </w:rPr>
            </w:pPr>
            <w:r w:rsidRPr="00475E67">
              <w:rPr>
                <w:rFonts w:ascii="Times New Roman" w:hAnsi="Times New Roman"/>
                <w:sz w:val="20"/>
                <w:szCs w:val="20"/>
                <w:lang w:eastAsia="ru-RU"/>
              </w:rPr>
              <w:t xml:space="preserve">3. </w:t>
            </w:r>
            <w:r w:rsidRPr="00475E67">
              <w:rPr>
                <w:rFonts w:ascii="Times New Roman" w:hAnsi="Times New Roman"/>
                <w:sz w:val="20"/>
                <w:szCs w:val="20"/>
              </w:rPr>
              <w:t>«Информационное общество-Когалым»</w:t>
            </w:r>
          </w:p>
          <w:p w:rsidR="004616EA" w:rsidRPr="00475E67" w:rsidRDefault="004616EA" w:rsidP="00FA0564">
            <w:pPr>
              <w:spacing w:after="0"/>
              <w:jc w:val="center"/>
              <w:rPr>
                <w:rFonts w:ascii="Times New Roman" w:hAnsi="Times New Roman"/>
                <w:sz w:val="20"/>
                <w:szCs w:val="20"/>
              </w:rPr>
            </w:pPr>
            <w:r w:rsidRPr="00475E67">
              <w:rPr>
                <w:rFonts w:ascii="Times New Roman" w:hAnsi="Times New Roman"/>
                <w:sz w:val="20"/>
                <w:szCs w:val="20"/>
              </w:rPr>
              <w:t>на 2014-2016 годы»</w:t>
            </w:r>
          </w:p>
          <w:p w:rsidR="004616EA" w:rsidRPr="00475E67" w:rsidRDefault="004616EA" w:rsidP="00FA0564">
            <w:pPr>
              <w:spacing w:before="240"/>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11.10.2013 №2905</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14.11.2013 №3268)</w:t>
            </w:r>
          </w:p>
        </w:tc>
        <w:tc>
          <w:tcPr>
            <w:tcW w:w="1391" w:type="pct"/>
            <w:vAlign w:val="center"/>
          </w:tcPr>
          <w:p w:rsidR="004616EA" w:rsidRPr="00475E67" w:rsidRDefault="004616EA" w:rsidP="00F30319">
            <w:pPr>
              <w:spacing w:after="0" w:line="240" w:lineRule="auto"/>
              <w:rPr>
                <w:rFonts w:ascii="Times New Roman" w:hAnsi="Times New Roman"/>
                <w:i/>
                <w:sz w:val="20"/>
                <w:szCs w:val="20"/>
                <w:u w:val="single"/>
              </w:rPr>
            </w:pPr>
            <w:r w:rsidRPr="00475E67">
              <w:rPr>
                <w:rFonts w:ascii="Times New Roman" w:hAnsi="Times New Roman"/>
                <w:i/>
                <w:sz w:val="20"/>
                <w:szCs w:val="20"/>
                <w:u w:val="single"/>
              </w:rPr>
              <w:t xml:space="preserve">Цель: </w:t>
            </w:r>
          </w:p>
          <w:p w:rsidR="004616EA" w:rsidRPr="00475E67" w:rsidRDefault="004616EA" w:rsidP="00F30319">
            <w:pPr>
              <w:spacing w:after="0" w:line="240" w:lineRule="auto"/>
              <w:rPr>
                <w:rFonts w:ascii="Times New Roman" w:hAnsi="Times New Roman"/>
                <w:sz w:val="20"/>
                <w:szCs w:val="20"/>
              </w:rPr>
            </w:pPr>
            <w:r w:rsidRPr="00475E67">
              <w:rPr>
                <w:rFonts w:ascii="Times New Roman" w:hAnsi="Times New Roman"/>
                <w:sz w:val="20"/>
                <w:szCs w:val="20"/>
              </w:rPr>
              <w:t xml:space="preserve">Повышение качества жизни населения города Когалыма, развитие социальной, экономической и культурной сфер жизни общества, а также совершенствование системы муниципального управления на основе использования современных информационно- коммуникационных технологий    </w:t>
            </w:r>
          </w:p>
          <w:p w:rsidR="004616EA" w:rsidRPr="00475E67" w:rsidRDefault="004616EA" w:rsidP="00F30319">
            <w:pPr>
              <w:spacing w:after="0" w:line="240" w:lineRule="auto"/>
              <w:rPr>
                <w:rFonts w:ascii="Times New Roman" w:hAnsi="Times New Roman"/>
                <w:i/>
                <w:sz w:val="20"/>
                <w:szCs w:val="20"/>
                <w:u w:val="single"/>
              </w:rPr>
            </w:pPr>
            <w:r w:rsidRPr="00475E67">
              <w:rPr>
                <w:rFonts w:ascii="Times New Roman" w:hAnsi="Times New Roman"/>
                <w:i/>
                <w:sz w:val="20"/>
                <w:szCs w:val="20"/>
                <w:u w:val="single"/>
              </w:rPr>
              <w:t xml:space="preserve">Задачи: </w:t>
            </w:r>
          </w:p>
          <w:p w:rsidR="004616EA" w:rsidRPr="00FF6DF6" w:rsidRDefault="004616EA" w:rsidP="00F30319">
            <w:pPr>
              <w:pStyle w:val="a7"/>
              <w:spacing w:after="0" w:line="240" w:lineRule="auto"/>
              <w:ind w:left="0"/>
              <w:rPr>
                <w:rFonts w:ascii="Times New Roman" w:hAnsi="Times New Roman"/>
                <w:lang w:eastAsia="en-US"/>
              </w:rPr>
            </w:pPr>
            <w:r w:rsidRPr="00FF6DF6">
              <w:rPr>
                <w:rFonts w:ascii="Times New Roman" w:hAnsi="Times New Roman"/>
                <w:lang w:eastAsia="en-US"/>
              </w:rPr>
              <w:t xml:space="preserve">Формирование электронного муниципалитета;              </w:t>
            </w:r>
          </w:p>
          <w:p w:rsidR="004616EA" w:rsidRPr="00FF6DF6" w:rsidRDefault="004616EA" w:rsidP="00F30319">
            <w:pPr>
              <w:pStyle w:val="a7"/>
              <w:spacing w:after="0" w:line="240" w:lineRule="auto"/>
              <w:ind w:left="0"/>
              <w:rPr>
                <w:rFonts w:ascii="Times New Roman" w:hAnsi="Times New Roman"/>
                <w:lang w:eastAsia="en-US"/>
              </w:rPr>
            </w:pPr>
            <w:r w:rsidRPr="00FF6DF6">
              <w:rPr>
                <w:rFonts w:ascii="Times New Roman" w:hAnsi="Times New Roman"/>
                <w:lang w:eastAsia="en-US"/>
              </w:rPr>
              <w:t>Формирование муниципальной</w:t>
            </w:r>
          </w:p>
          <w:p w:rsidR="004616EA" w:rsidRPr="00FF6DF6" w:rsidRDefault="004616EA" w:rsidP="00F30319">
            <w:pPr>
              <w:pStyle w:val="a7"/>
              <w:spacing w:after="0" w:line="240" w:lineRule="auto"/>
              <w:ind w:left="0"/>
              <w:rPr>
                <w:rFonts w:ascii="Times New Roman" w:hAnsi="Times New Roman"/>
                <w:lang w:eastAsia="en-US"/>
              </w:rPr>
            </w:pPr>
            <w:r w:rsidRPr="00FF6DF6">
              <w:rPr>
                <w:rFonts w:ascii="Times New Roman" w:hAnsi="Times New Roman"/>
                <w:lang w:eastAsia="en-US"/>
              </w:rPr>
              <w:t xml:space="preserve">телекоммуникационной инфраструктуры органов местного самоуправления, предприятий и учреждений города Когалыма;                      </w:t>
            </w:r>
          </w:p>
          <w:p w:rsidR="004616EA" w:rsidRPr="00FF6DF6" w:rsidRDefault="004616EA" w:rsidP="00F30319">
            <w:pPr>
              <w:pStyle w:val="a7"/>
              <w:spacing w:after="0" w:line="240" w:lineRule="auto"/>
              <w:ind w:left="0"/>
              <w:rPr>
                <w:rFonts w:ascii="Times New Roman" w:hAnsi="Times New Roman"/>
                <w:lang w:eastAsia="en-US"/>
              </w:rPr>
            </w:pPr>
            <w:r w:rsidRPr="00FF6DF6">
              <w:rPr>
                <w:rFonts w:ascii="Times New Roman" w:hAnsi="Times New Roman"/>
                <w:lang w:eastAsia="en-US"/>
              </w:rPr>
              <w:t>Повышение уровня защиты информации в информационных системах;</w:t>
            </w:r>
          </w:p>
          <w:p w:rsidR="004616EA" w:rsidRPr="00FF6DF6" w:rsidRDefault="004616EA" w:rsidP="00F30319">
            <w:pPr>
              <w:pStyle w:val="a7"/>
              <w:spacing w:after="0" w:line="240" w:lineRule="auto"/>
              <w:ind w:left="0"/>
              <w:rPr>
                <w:rFonts w:ascii="Times New Roman" w:hAnsi="Times New Roman"/>
              </w:rPr>
            </w:pPr>
            <w:r w:rsidRPr="00FF6DF6">
              <w:rPr>
                <w:rFonts w:ascii="Times New Roman" w:hAnsi="Times New Roman"/>
                <w:lang w:eastAsia="en-US"/>
              </w:rPr>
              <w:t xml:space="preserve">Организация информационно-технологического обеспечения деятельности Администрации города Когалыма </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64 920,60</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Местный бюджет</w:t>
            </w:r>
          </w:p>
        </w:tc>
        <w:tc>
          <w:tcPr>
            <w:tcW w:w="1655" w:type="pct"/>
            <w:vAlign w:val="center"/>
          </w:tcPr>
          <w:p w:rsidR="004616EA" w:rsidRPr="00FF6DF6" w:rsidRDefault="004616EA" w:rsidP="00FA0564">
            <w:pPr>
              <w:pStyle w:val="a7"/>
              <w:spacing w:line="240" w:lineRule="auto"/>
              <w:ind w:left="0"/>
              <w:jc w:val="both"/>
              <w:rPr>
                <w:rFonts w:ascii="Times New Roman" w:hAnsi="Times New Roman"/>
                <w:lang w:eastAsia="en-US"/>
              </w:rPr>
            </w:pPr>
            <w:r w:rsidRPr="00FF6DF6">
              <w:rPr>
                <w:rFonts w:ascii="Times New Roman" w:hAnsi="Times New Roman"/>
                <w:lang w:eastAsia="en-US"/>
              </w:rPr>
              <w:t>Увеличение доли пользователей Администрации города Когалыма, работающих в  системе электронного документооборота «Дело» с 50 до 100%.</w:t>
            </w:r>
          </w:p>
          <w:p w:rsidR="004616EA" w:rsidRPr="00FF6DF6" w:rsidRDefault="004616EA" w:rsidP="00FA0564">
            <w:pPr>
              <w:pStyle w:val="a7"/>
              <w:spacing w:line="240" w:lineRule="auto"/>
              <w:ind w:left="0"/>
              <w:jc w:val="both"/>
              <w:rPr>
                <w:rFonts w:ascii="Times New Roman" w:hAnsi="Times New Roman"/>
                <w:lang w:eastAsia="en-US"/>
              </w:rPr>
            </w:pPr>
            <w:r w:rsidRPr="00FF6DF6">
              <w:rPr>
                <w:rFonts w:ascii="Times New Roman" w:hAnsi="Times New Roman"/>
                <w:lang w:eastAsia="en-US"/>
              </w:rPr>
              <w:t>Автоматизация процесса регистрации документов в системе электронного документооборота «Дело» с 0 до 5 рабочих мест;</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Уменьшение времени простоя информационно-технологической инфраструктуры Администрации города с 48 до 16 часов;</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Повышение безопасности ИТ-инфраструктуры Администрации города Когалыма за счет перехода на новую, более безопасную операционную систему для 300 рабочих мест Администрации города Когалыма;</w:t>
            </w:r>
          </w:p>
          <w:p w:rsidR="004616EA" w:rsidRPr="00FF6DF6" w:rsidRDefault="004616EA" w:rsidP="00FA0564">
            <w:pPr>
              <w:pStyle w:val="a7"/>
              <w:spacing w:line="240" w:lineRule="auto"/>
              <w:ind w:left="0"/>
              <w:jc w:val="both"/>
              <w:rPr>
                <w:rFonts w:ascii="Times New Roman" w:hAnsi="Times New Roman"/>
                <w:lang w:eastAsia="en-US"/>
              </w:rPr>
            </w:pPr>
            <w:r w:rsidRPr="00FF6DF6">
              <w:rPr>
                <w:rFonts w:ascii="Times New Roman" w:hAnsi="Times New Roman"/>
                <w:lang w:eastAsia="en-US"/>
              </w:rPr>
              <w:t>Увеличение количества пользователей, подключенных к системе обмена мгновенными сообщениями и имеющих возможность отслеживать присутствие или отсутствие на рабочем месте, и совершать аудио и видеозвонки между персональными компьютерами с 0 до 300;</w:t>
            </w:r>
          </w:p>
          <w:p w:rsidR="004616EA" w:rsidRPr="00FF6DF6" w:rsidRDefault="004616EA" w:rsidP="00FA0564">
            <w:pPr>
              <w:pStyle w:val="a7"/>
              <w:spacing w:after="0" w:line="240" w:lineRule="auto"/>
              <w:ind w:left="0"/>
              <w:jc w:val="both"/>
              <w:rPr>
                <w:rFonts w:ascii="Times New Roman" w:hAnsi="Times New Roman"/>
              </w:rPr>
            </w:pPr>
            <w:r w:rsidRPr="00FF6DF6">
              <w:rPr>
                <w:rFonts w:ascii="Times New Roman" w:hAnsi="Times New Roman"/>
                <w:lang w:eastAsia="en-US"/>
              </w:rPr>
              <w:t>Увеличение количества перенесенных почтовых ящиков пользователей с имеющейся почтовой системы на Microsoft Exchange Online с 0 до 300</w:t>
            </w:r>
          </w:p>
        </w:tc>
      </w:tr>
      <w:tr w:rsidR="004616EA" w:rsidRPr="00475E67" w:rsidTr="00F30319">
        <w:trPr>
          <w:trHeight w:val="1754"/>
        </w:trPr>
        <w:tc>
          <w:tcPr>
            <w:tcW w:w="820" w:type="pct"/>
            <w:vAlign w:val="center"/>
          </w:tcPr>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lang w:eastAsia="ru-RU"/>
              </w:rPr>
              <w:t xml:space="preserve">4. </w:t>
            </w:r>
            <w:r w:rsidRPr="00475E67">
              <w:rPr>
                <w:rFonts w:ascii="Times New Roman" w:hAnsi="Times New Roman"/>
                <w:sz w:val="20"/>
                <w:szCs w:val="20"/>
              </w:rPr>
              <w:t>«Обеспечение доступным и комфортным жильем</w:t>
            </w:r>
          </w:p>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rPr>
              <w:t>жителей города Когалыма на 2014-2016 годы»</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 xml:space="preserve">утверждена Постановлением Администрации города Когалыма от 15.10.2013 </w:t>
            </w:r>
          </w:p>
        </w:tc>
        <w:tc>
          <w:tcPr>
            <w:tcW w:w="1391" w:type="pct"/>
          </w:tcPr>
          <w:p w:rsidR="004616EA" w:rsidRPr="00475E67" w:rsidRDefault="004616EA" w:rsidP="00FA0564">
            <w:pPr>
              <w:pStyle w:val="27"/>
              <w:tabs>
                <w:tab w:val="left" w:pos="492"/>
              </w:tabs>
              <w:spacing w:after="0" w:line="240" w:lineRule="auto"/>
              <w:ind w:left="0"/>
              <w:jc w:val="both"/>
              <w:rPr>
                <w:rFonts w:ascii="Times New Roman" w:hAnsi="Times New Roman"/>
                <w:i/>
                <w:sz w:val="20"/>
                <w:szCs w:val="20"/>
                <w:u w:val="single"/>
              </w:rPr>
            </w:pPr>
            <w:r w:rsidRPr="00475E67">
              <w:rPr>
                <w:rFonts w:ascii="Times New Roman" w:hAnsi="Times New Roman"/>
                <w:i/>
                <w:sz w:val="20"/>
                <w:szCs w:val="20"/>
                <w:u w:val="single"/>
              </w:rPr>
              <w:t>Цели:</w:t>
            </w:r>
          </w:p>
          <w:p w:rsidR="004616EA" w:rsidRPr="00475E67" w:rsidRDefault="004616EA" w:rsidP="00FA0564">
            <w:pPr>
              <w:pStyle w:val="27"/>
              <w:tabs>
                <w:tab w:val="left" w:pos="492"/>
              </w:tabs>
              <w:suppressAutoHyphens/>
              <w:spacing w:after="0" w:line="240" w:lineRule="auto"/>
              <w:ind w:left="0"/>
              <w:jc w:val="both"/>
              <w:rPr>
                <w:rFonts w:ascii="Times New Roman" w:hAnsi="Times New Roman"/>
                <w:sz w:val="20"/>
                <w:szCs w:val="20"/>
              </w:rPr>
            </w:pPr>
            <w:r w:rsidRPr="00475E67">
              <w:rPr>
                <w:rFonts w:ascii="Times New Roman" w:hAnsi="Times New Roman"/>
                <w:sz w:val="20"/>
                <w:szCs w:val="20"/>
              </w:rPr>
              <w:t>Создание условий и механизмов для увеличения объемов жилищного строительства;</w:t>
            </w:r>
          </w:p>
          <w:p w:rsidR="004616EA" w:rsidRPr="00475E67" w:rsidRDefault="004616EA" w:rsidP="00FA0564">
            <w:pPr>
              <w:pStyle w:val="27"/>
              <w:tabs>
                <w:tab w:val="left" w:pos="492"/>
              </w:tabs>
              <w:suppressAutoHyphens/>
              <w:spacing w:after="0" w:line="240" w:lineRule="auto"/>
              <w:ind w:left="0"/>
              <w:jc w:val="both"/>
              <w:rPr>
                <w:rFonts w:ascii="Times New Roman" w:hAnsi="Times New Roman"/>
                <w:sz w:val="20"/>
                <w:szCs w:val="20"/>
              </w:rPr>
            </w:pPr>
            <w:r w:rsidRPr="00475E67">
              <w:rPr>
                <w:rFonts w:ascii="Times New Roman" w:hAnsi="Times New Roman"/>
                <w:sz w:val="20"/>
                <w:szCs w:val="20"/>
              </w:rPr>
              <w:t>Создание условий, способствующих улучшению жилищных условий и качества жилищного обеспечения населения города Когалыма;</w:t>
            </w:r>
          </w:p>
          <w:p w:rsidR="004616EA" w:rsidRPr="00475E67" w:rsidRDefault="004616EA" w:rsidP="00FA0564">
            <w:pPr>
              <w:pStyle w:val="27"/>
              <w:tabs>
                <w:tab w:val="left" w:pos="454"/>
              </w:tabs>
              <w:suppressAutoHyphens/>
              <w:spacing w:after="0" w:line="240" w:lineRule="auto"/>
              <w:ind w:left="0"/>
              <w:jc w:val="both"/>
              <w:rPr>
                <w:rFonts w:ascii="Times New Roman" w:hAnsi="Times New Roman"/>
                <w:sz w:val="20"/>
                <w:szCs w:val="20"/>
              </w:rPr>
            </w:pPr>
            <w:r w:rsidRPr="00475E67">
              <w:rPr>
                <w:rFonts w:ascii="Times New Roman" w:hAnsi="Times New Roman"/>
                <w:sz w:val="20"/>
                <w:szCs w:val="20"/>
              </w:rPr>
              <w:t xml:space="preserve">Реализация единой государственной политики и нормативного правового регулирования, оказание услуг в сфере строительства, архитектуры, градостроительной деятельности, жилищной сфере в части обеспечения отдельных категорий граждан жилыми помещениями, </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195 334,90</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Федеральный бюджет, окружной бюджет, местный бюджет</w:t>
            </w:r>
          </w:p>
        </w:tc>
        <w:tc>
          <w:tcPr>
            <w:tcW w:w="1655" w:type="pct"/>
          </w:tcPr>
          <w:p w:rsidR="004616EA" w:rsidRPr="00FF6DF6" w:rsidRDefault="004616EA" w:rsidP="00FA0564">
            <w:pPr>
              <w:pStyle w:val="a7"/>
              <w:tabs>
                <w:tab w:val="left" w:pos="709"/>
              </w:tabs>
              <w:spacing w:after="0" w:line="240" w:lineRule="auto"/>
              <w:ind w:left="0"/>
              <w:jc w:val="both"/>
              <w:rPr>
                <w:rFonts w:ascii="Times New Roman" w:hAnsi="Times New Roman"/>
                <w:lang w:eastAsia="en-US"/>
              </w:rPr>
            </w:pPr>
            <w:r w:rsidRPr="00FF6DF6">
              <w:rPr>
                <w:rFonts w:ascii="Times New Roman" w:hAnsi="Times New Roman"/>
                <w:lang w:eastAsia="en-US"/>
              </w:rPr>
              <w:t>Переселение 286 семей из непригодного для проживания и аварийного жилищного фонда;</w:t>
            </w:r>
          </w:p>
          <w:p w:rsidR="004616EA" w:rsidRPr="00FF6DF6" w:rsidRDefault="004616EA" w:rsidP="00FA0564">
            <w:pPr>
              <w:pStyle w:val="a7"/>
              <w:tabs>
                <w:tab w:val="left" w:pos="709"/>
              </w:tabs>
              <w:spacing w:before="240" w:after="0" w:line="240" w:lineRule="auto"/>
              <w:ind w:left="0"/>
              <w:jc w:val="both"/>
              <w:rPr>
                <w:rFonts w:ascii="Times New Roman" w:hAnsi="Times New Roman"/>
                <w:lang w:eastAsia="en-US"/>
              </w:rPr>
            </w:pPr>
            <w:r w:rsidRPr="00FF6DF6">
              <w:rPr>
                <w:rFonts w:ascii="Times New Roman" w:hAnsi="Times New Roman"/>
                <w:lang w:eastAsia="en-US"/>
              </w:rPr>
              <w:t>Предоставление 161 семье жилых помещений по договорам социального найма в связи с подходом очередности;</w:t>
            </w:r>
          </w:p>
          <w:p w:rsidR="004616EA" w:rsidRPr="00FF6DF6" w:rsidRDefault="004616EA" w:rsidP="00FA0564">
            <w:pPr>
              <w:pStyle w:val="a7"/>
              <w:tabs>
                <w:tab w:val="left" w:pos="709"/>
              </w:tabs>
              <w:spacing w:before="240" w:after="0" w:line="240" w:lineRule="auto"/>
              <w:ind w:left="0"/>
              <w:jc w:val="both"/>
              <w:rPr>
                <w:rFonts w:ascii="Times New Roman" w:hAnsi="Times New Roman"/>
                <w:lang w:eastAsia="en-US"/>
              </w:rPr>
            </w:pPr>
            <w:r w:rsidRPr="00FF6DF6">
              <w:rPr>
                <w:rFonts w:ascii="Times New Roman" w:hAnsi="Times New Roman"/>
                <w:lang w:eastAsia="en-US"/>
              </w:rPr>
              <w:t>Формирование специализированного муниципального жилищного фонда из 70 квартир;</w:t>
            </w:r>
          </w:p>
          <w:p w:rsidR="004616EA" w:rsidRPr="00FF6DF6" w:rsidRDefault="004616EA" w:rsidP="00FA0564">
            <w:pPr>
              <w:pStyle w:val="a7"/>
              <w:tabs>
                <w:tab w:val="left" w:pos="709"/>
              </w:tabs>
              <w:spacing w:before="240" w:after="0" w:line="240" w:lineRule="auto"/>
              <w:ind w:left="0"/>
              <w:jc w:val="both"/>
              <w:rPr>
                <w:rFonts w:ascii="Times New Roman" w:hAnsi="Times New Roman"/>
                <w:lang w:eastAsia="en-US"/>
              </w:rPr>
            </w:pPr>
            <w:r w:rsidRPr="00FF6DF6">
              <w:rPr>
                <w:rFonts w:ascii="Times New Roman" w:hAnsi="Times New Roman"/>
                <w:lang w:eastAsia="en-US"/>
              </w:rPr>
              <w:t xml:space="preserve">Достижение уровня проживания граждан в жилых помещениях, при котором среднее количество комнат в </w:t>
            </w:r>
          </w:p>
        </w:tc>
      </w:tr>
    </w:tbl>
    <w:p w:rsidR="004616EA" w:rsidRDefault="004616EA">
      <w:pPr>
        <w:sectPr w:rsidR="004616EA" w:rsidSect="00461CB8">
          <w:type w:val="continuous"/>
          <w:pgSz w:w="16838" w:h="11906" w:orient="landscape"/>
          <w:pgMar w:top="2552" w:right="567" w:bottom="567"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12"/>
        <w:gridCol w:w="4430"/>
        <w:gridCol w:w="1774"/>
        <w:gridCol w:w="1834"/>
        <w:gridCol w:w="5270"/>
      </w:tblGrid>
      <w:tr w:rsidR="004616EA" w:rsidRPr="00475E67" w:rsidTr="006E01A0">
        <w:trPr>
          <w:trHeight w:val="1754"/>
        </w:trPr>
        <w:tc>
          <w:tcPr>
            <w:tcW w:w="820" w:type="pct"/>
          </w:tcPr>
          <w:p w:rsidR="004616EA" w:rsidRPr="00475E67" w:rsidRDefault="004616EA" w:rsidP="006E01A0">
            <w:pPr>
              <w:spacing w:after="0"/>
              <w:jc w:val="center"/>
              <w:rPr>
                <w:rFonts w:ascii="Times New Roman" w:hAnsi="Times New Roman"/>
                <w:sz w:val="20"/>
                <w:szCs w:val="20"/>
              </w:rPr>
            </w:pPr>
            <w:r w:rsidRPr="00475E67">
              <w:rPr>
                <w:rFonts w:ascii="Times New Roman" w:hAnsi="Times New Roman"/>
                <w:sz w:val="20"/>
                <w:szCs w:val="20"/>
              </w:rPr>
              <w:t>№2931</w:t>
            </w:r>
          </w:p>
          <w:p w:rsidR="004616EA" w:rsidRPr="00475E67" w:rsidRDefault="004616EA" w:rsidP="006E01A0">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31.03.2014 №675)</w:t>
            </w:r>
          </w:p>
        </w:tc>
        <w:tc>
          <w:tcPr>
            <w:tcW w:w="1391" w:type="pct"/>
          </w:tcPr>
          <w:p w:rsidR="004616EA" w:rsidRPr="00475E67" w:rsidRDefault="004616EA" w:rsidP="006E01A0">
            <w:pPr>
              <w:pStyle w:val="27"/>
              <w:tabs>
                <w:tab w:val="left" w:pos="492"/>
              </w:tabs>
              <w:suppressAutoHyphens/>
              <w:spacing w:after="0" w:line="240" w:lineRule="auto"/>
              <w:ind w:left="0"/>
              <w:jc w:val="both"/>
              <w:rPr>
                <w:rFonts w:ascii="Times New Roman" w:hAnsi="Times New Roman"/>
                <w:sz w:val="20"/>
                <w:szCs w:val="20"/>
              </w:rPr>
            </w:pPr>
            <w:r w:rsidRPr="00475E67">
              <w:rPr>
                <w:rFonts w:ascii="Times New Roman" w:hAnsi="Times New Roman"/>
                <w:sz w:val="20"/>
                <w:szCs w:val="20"/>
              </w:rPr>
              <w:t>предоставления субсидий для приобретения или строительства жилых помещений</w:t>
            </w:r>
          </w:p>
          <w:p w:rsidR="004616EA" w:rsidRPr="00475E67" w:rsidRDefault="004616EA" w:rsidP="006E01A0">
            <w:pPr>
              <w:pStyle w:val="27"/>
              <w:tabs>
                <w:tab w:val="left" w:pos="492"/>
              </w:tabs>
              <w:spacing w:after="0" w:line="240" w:lineRule="auto"/>
              <w:ind w:left="0"/>
              <w:jc w:val="both"/>
              <w:rPr>
                <w:rFonts w:ascii="Times New Roman" w:hAnsi="Times New Roman"/>
                <w:i/>
                <w:sz w:val="20"/>
                <w:szCs w:val="20"/>
                <w:u w:val="single"/>
              </w:rPr>
            </w:pPr>
            <w:r w:rsidRPr="00475E67">
              <w:rPr>
                <w:rFonts w:ascii="Times New Roman" w:hAnsi="Times New Roman"/>
                <w:i/>
                <w:sz w:val="20"/>
                <w:szCs w:val="20"/>
                <w:u w:val="single"/>
              </w:rPr>
              <w:t>Задачи:</w:t>
            </w:r>
          </w:p>
          <w:p w:rsidR="004616EA" w:rsidRPr="00475E67" w:rsidRDefault="004616EA" w:rsidP="006E01A0">
            <w:pPr>
              <w:pStyle w:val="27"/>
              <w:tabs>
                <w:tab w:val="left" w:pos="454"/>
              </w:tabs>
              <w:suppressAutoHyphens/>
              <w:spacing w:after="0" w:line="240" w:lineRule="auto"/>
              <w:ind w:left="0"/>
              <w:jc w:val="both"/>
              <w:rPr>
                <w:rFonts w:ascii="Times New Roman" w:hAnsi="Times New Roman"/>
                <w:sz w:val="20"/>
                <w:szCs w:val="20"/>
              </w:rPr>
            </w:pPr>
            <w:r w:rsidRPr="00475E67">
              <w:rPr>
                <w:rFonts w:ascii="Times New Roman" w:hAnsi="Times New Roman"/>
                <w:sz w:val="20"/>
                <w:szCs w:val="20"/>
                <w:lang w:eastAsia="ru-RU"/>
              </w:rPr>
              <w:t>Формирование на территории города Когалыма градостроительной документации и внедрение автоматизированных информационных систем обеспечения градостроительной деятельности;</w:t>
            </w:r>
          </w:p>
          <w:p w:rsidR="004616EA" w:rsidRPr="00475E67" w:rsidRDefault="004616EA" w:rsidP="006E01A0">
            <w:pPr>
              <w:pStyle w:val="27"/>
              <w:tabs>
                <w:tab w:val="left" w:pos="454"/>
              </w:tabs>
              <w:suppressAutoHyphens/>
              <w:spacing w:after="0" w:line="240" w:lineRule="auto"/>
              <w:ind w:left="0"/>
              <w:jc w:val="both"/>
              <w:rPr>
                <w:rFonts w:ascii="Times New Roman" w:hAnsi="Times New Roman"/>
                <w:sz w:val="20"/>
                <w:szCs w:val="20"/>
              </w:rPr>
            </w:pPr>
            <w:r w:rsidRPr="00475E67">
              <w:rPr>
                <w:rFonts w:ascii="Times New Roman" w:hAnsi="Times New Roman"/>
                <w:sz w:val="20"/>
                <w:szCs w:val="20"/>
                <w:lang w:eastAsia="ru-RU"/>
              </w:rPr>
              <w:t>Строительство жилья и систем инженерной инфраструктуры с целью обеспечения инженерной подготовки земельных участков, предназначенных для жилищного строительства</w:t>
            </w:r>
            <w:r w:rsidRPr="00475E67">
              <w:rPr>
                <w:rFonts w:ascii="Times New Roman" w:hAnsi="Times New Roman"/>
                <w:sz w:val="20"/>
                <w:szCs w:val="20"/>
              </w:rPr>
              <w:t>;</w:t>
            </w:r>
          </w:p>
          <w:p w:rsidR="004616EA" w:rsidRPr="00475E67" w:rsidRDefault="004616EA" w:rsidP="006E01A0">
            <w:pPr>
              <w:pStyle w:val="27"/>
              <w:tabs>
                <w:tab w:val="left" w:pos="492"/>
              </w:tabs>
              <w:spacing w:after="0" w:line="240" w:lineRule="auto"/>
              <w:ind w:left="0"/>
              <w:jc w:val="both"/>
              <w:rPr>
                <w:rFonts w:ascii="Times New Roman" w:hAnsi="Times New Roman"/>
                <w:i/>
                <w:sz w:val="20"/>
                <w:szCs w:val="20"/>
                <w:u w:val="single"/>
              </w:rPr>
            </w:pPr>
            <w:r w:rsidRPr="00475E67">
              <w:rPr>
                <w:rFonts w:ascii="Times New Roman" w:hAnsi="Times New Roman"/>
                <w:sz w:val="20"/>
                <w:szCs w:val="20"/>
                <w:lang w:eastAsia="ru-RU"/>
              </w:rPr>
              <w:t>Предоставление социальной выплаты, в виде субсидии, на приобретение жилья отдельным категориям граждан</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rPr>
            </w:pP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p>
        </w:tc>
        <w:tc>
          <w:tcPr>
            <w:tcW w:w="1655" w:type="pct"/>
          </w:tcPr>
          <w:p w:rsidR="004616EA" w:rsidRPr="00FF6DF6" w:rsidRDefault="004616EA" w:rsidP="006E01A0">
            <w:pPr>
              <w:pStyle w:val="a7"/>
              <w:tabs>
                <w:tab w:val="left" w:pos="709"/>
              </w:tabs>
              <w:spacing w:after="0" w:line="240" w:lineRule="auto"/>
              <w:ind w:left="0"/>
              <w:jc w:val="both"/>
              <w:rPr>
                <w:rFonts w:ascii="Times New Roman" w:hAnsi="Times New Roman"/>
                <w:lang w:eastAsia="en-US"/>
              </w:rPr>
            </w:pPr>
            <w:r w:rsidRPr="00FF6DF6">
              <w:rPr>
                <w:rFonts w:ascii="Times New Roman" w:hAnsi="Times New Roman"/>
                <w:lang w:eastAsia="en-US"/>
              </w:rPr>
              <w:t>фактически занятых жилых помещениях соответствует среднему количеству лиц, проживающих в таких помещениях</w:t>
            </w:r>
          </w:p>
        </w:tc>
      </w:tr>
      <w:tr w:rsidR="004616EA" w:rsidRPr="00475E67" w:rsidTr="006E01A0">
        <w:trPr>
          <w:trHeight w:val="1754"/>
        </w:trPr>
        <w:tc>
          <w:tcPr>
            <w:tcW w:w="820" w:type="pct"/>
            <w:vAlign w:val="center"/>
          </w:tcPr>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lang w:eastAsia="ru-RU"/>
              </w:rPr>
              <w:t xml:space="preserve">5. </w:t>
            </w:r>
            <w:r w:rsidRPr="00475E67">
              <w:rPr>
                <w:rFonts w:ascii="Times New Roman" w:hAnsi="Times New Roman"/>
                <w:sz w:val="20"/>
                <w:szCs w:val="20"/>
              </w:rPr>
              <w:t>«Обеспечение прав и законных интересов населения</w:t>
            </w:r>
          </w:p>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rPr>
              <w:t>города Когалыма в отдельных сферах</w:t>
            </w:r>
          </w:p>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rPr>
              <w:t>жизнедеятельности в 2014-2016 годах»</w:t>
            </w:r>
          </w:p>
          <w:p w:rsidR="004616EA" w:rsidRPr="00475E67" w:rsidRDefault="004616EA" w:rsidP="00FA0564">
            <w:pPr>
              <w:spacing w:before="240" w:after="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15.10.2013 №2928</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03.04.2014 №722)</w:t>
            </w:r>
          </w:p>
        </w:tc>
        <w:tc>
          <w:tcPr>
            <w:tcW w:w="1391" w:type="pct"/>
          </w:tcPr>
          <w:p w:rsidR="004616EA" w:rsidRPr="00FF6DF6" w:rsidRDefault="004616EA" w:rsidP="002D3BE6">
            <w:pPr>
              <w:pStyle w:val="a7"/>
              <w:spacing w:after="0" w:line="240" w:lineRule="auto"/>
              <w:ind w:left="0"/>
              <w:jc w:val="both"/>
              <w:rPr>
                <w:rFonts w:ascii="Times New Roman" w:hAnsi="Times New Roman"/>
                <w:lang w:eastAsia="en-US"/>
              </w:rPr>
            </w:pPr>
            <w:r w:rsidRPr="00FF6DF6">
              <w:rPr>
                <w:rFonts w:ascii="Times New Roman" w:hAnsi="Times New Roman"/>
                <w:lang w:eastAsia="en-US"/>
              </w:rPr>
              <w:t>Цели:</w:t>
            </w:r>
          </w:p>
          <w:p w:rsidR="004616EA" w:rsidRPr="00FF6DF6" w:rsidRDefault="004616EA" w:rsidP="002D3BE6">
            <w:pPr>
              <w:pStyle w:val="a7"/>
              <w:spacing w:after="0" w:line="240" w:lineRule="auto"/>
              <w:ind w:left="0"/>
              <w:jc w:val="both"/>
              <w:rPr>
                <w:rFonts w:ascii="Times New Roman" w:hAnsi="Times New Roman"/>
                <w:lang w:eastAsia="en-US"/>
              </w:rPr>
            </w:pPr>
            <w:r w:rsidRPr="00FF6DF6">
              <w:rPr>
                <w:rFonts w:ascii="Times New Roman" w:hAnsi="Times New Roman"/>
                <w:lang w:eastAsia="en-US"/>
              </w:rPr>
              <w:t>Совершенствование системы социальной профилактики правонарушений, правовой грамотности и правосознания граждан;</w:t>
            </w:r>
          </w:p>
          <w:p w:rsidR="004616EA" w:rsidRPr="00FF6DF6" w:rsidRDefault="004616EA" w:rsidP="002D3BE6">
            <w:pPr>
              <w:pStyle w:val="a7"/>
              <w:spacing w:after="0" w:line="240" w:lineRule="auto"/>
              <w:ind w:left="0"/>
              <w:jc w:val="both"/>
              <w:rPr>
                <w:rFonts w:ascii="Times New Roman" w:hAnsi="Times New Roman"/>
                <w:lang w:eastAsia="en-US"/>
              </w:rPr>
            </w:pPr>
            <w:r w:rsidRPr="00FF6DF6">
              <w:rPr>
                <w:rFonts w:ascii="Times New Roman" w:hAnsi="Times New Roman"/>
                <w:lang w:eastAsia="en-US"/>
              </w:rPr>
              <w:t>Совершенствование организационного, нормативно-правового и ресурсного обеспечения субъектов антинаркотической деятельности</w:t>
            </w:r>
          </w:p>
          <w:p w:rsidR="004616EA" w:rsidRPr="00475E67" w:rsidRDefault="004616EA" w:rsidP="00FA0564">
            <w:pPr>
              <w:pStyle w:val="paragraphjustifyindent"/>
              <w:tabs>
                <w:tab w:val="left" w:pos="362"/>
                <w:tab w:val="left" w:pos="9856"/>
              </w:tabs>
              <w:spacing w:before="0" w:after="0"/>
              <w:ind w:left="0" w:right="0" w:firstLine="0"/>
              <w:rPr>
                <w:rStyle w:val="textdefault"/>
                <w:rFonts w:cs="Arial"/>
                <w:color w:val="auto"/>
                <w:sz w:val="20"/>
                <w:szCs w:val="20"/>
              </w:rPr>
            </w:pPr>
            <w:r w:rsidRPr="00475E67">
              <w:rPr>
                <w:i/>
                <w:spacing w:val="-6"/>
                <w:sz w:val="20"/>
                <w:szCs w:val="20"/>
                <w:u w:val="single"/>
              </w:rPr>
              <w:t>Задачи:</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Профилактика правонарушений в общественных местах, в том числе с участием граждан;</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Развитие правовой поддержки и правовой грамотности граждан;</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Совершенствование информационного и методического обеспечения профилактики правонарушений, повышения правосознания граждан;</w:t>
            </w:r>
          </w:p>
          <w:p w:rsidR="004616EA" w:rsidRPr="00FF6DF6" w:rsidRDefault="004616EA" w:rsidP="00FA0564">
            <w:pPr>
              <w:pStyle w:val="a7"/>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Профилактика правонарушений в сфере безопасности дорожного движения;</w:t>
            </w:r>
          </w:p>
          <w:p w:rsidR="004616EA" w:rsidRPr="00FF6DF6" w:rsidRDefault="004616EA" w:rsidP="00FA0564">
            <w:pPr>
              <w:pStyle w:val="a7"/>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Координация и создание условий для деятельности субъектов профилактики наркомании;</w:t>
            </w:r>
          </w:p>
          <w:p w:rsidR="004616EA" w:rsidRPr="00475E67" w:rsidRDefault="004616EA" w:rsidP="00FA0564">
            <w:pPr>
              <w:pStyle w:val="27"/>
              <w:tabs>
                <w:tab w:val="left" w:pos="454"/>
              </w:tabs>
              <w:suppressAutoHyphens/>
              <w:spacing w:after="0" w:line="240" w:lineRule="auto"/>
              <w:ind w:left="0"/>
              <w:jc w:val="both"/>
              <w:rPr>
                <w:rFonts w:ascii="Times New Roman" w:hAnsi="Times New Roman"/>
                <w:sz w:val="20"/>
                <w:szCs w:val="20"/>
              </w:rPr>
            </w:pPr>
            <w:r w:rsidRPr="006E01A0">
              <w:rPr>
                <w:rFonts w:ascii="Times New Roman" w:hAnsi="Times New Roman"/>
                <w:spacing w:val="-6"/>
              </w:rPr>
              <w:t>Развитие профилактической антинаркотической деятельности</w:t>
            </w:r>
            <w:r w:rsidRPr="00733BD3">
              <w:rPr>
                <w:rFonts w:ascii="Times New Roman" w:hAnsi="Times New Roman"/>
              </w:rPr>
              <w:t xml:space="preserve"> </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50669,46</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Федеральный бюджет, окружной бюджет, местный бюджет</w:t>
            </w:r>
          </w:p>
        </w:tc>
        <w:tc>
          <w:tcPr>
            <w:tcW w:w="1655" w:type="pct"/>
            <w:vAlign w:val="center"/>
          </w:tcPr>
          <w:p w:rsidR="004616EA" w:rsidRPr="00FF6DF6" w:rsidRDefault="004616EA" w:rsidP="006E01A0">
            <w:pPr>
              <w:pStyle w:val="a7"/>
              <w:spacing w:after="0" w:line="240" w:lineRule="auto"/>
              <w:ind w:left="0"/>
              <w:jc w:val="both"/>
              <w:rPr>
                <w:rFonts w:ascii="Times New Roman" w:hAnsi="Times New Roman"/>
                <w:lang w:eastAsia="en-US"/>
              </w:rPr>
            </w:pPr>
            <w:r w:rsidRPr="00FF6DF6">
              <w:rPr>
                <w:rFonts w:ascii="Times New Roman" w:hAnsi="Times New Roman"/>
                <w:lang w:eastAsia="en-US"/>
              </w:rPr>
              <w:t>Уменьшение доли уличных преступлений в числе зарегистрированных общеуголовных преступлений с 15,6% до 12,0%;</w:t>
            </w:r>
          </w:p>
          <w:p w:rsidR="004616EA" w:rsidRPr="00FF6DF6" w:rsidRDefault="004616EA" w:rsidP="006E01A0">
            <w:pPr>
              <w:pStyle w:val="a7"/>
              <w:spacing w:after="0" w:line="240" w:lineRule="auto"/>
              <w:ind w:left="0"/>
              <w:jc w:val="both"/>
              <w:rPr>
                <w:rFonts w:ascii="Times New Roman" w:hAnsi="Times New Roman"/>
                <w:lang w:eastAsia="en-US"/>
              </w:rPr>
            </w:pPr>
            <w:r w:rsidRPr="00FF6DF6">
              <w:rPr>
                <w:rFonts w:ascii="Times New Roman" w:hAnsi="Times New Roman"/>
                <w:lang w:eastAsia="en-US"/>
              </w:rPr>
              <w:t xml:space="preserve">Уменьшение уровня общеуголовной преступности (на 10 тыс. населения) </w:t>
            </w:r>
            <w:r w:rsidRPr="00E85BC3">
              <w:rPr>
                <w:rFonts w:ascii="Times New Roman" w:hAnsi="Times New Roman"/>
                <w:lang w:val="en-US" w:eastAsia="en-US"/>
              </w:rPr>
              <w:t>c</w:t>
            </w:r>
            <w:r w:rsidRPr="00FF6DF6">
              <w:rPr>
                <w:rFonts w:ascii="Times New Roman" w:hAnsi="Times New Roman"/>
                <w:lang w:eastAsia="en-US"/>
              </w:rPr>
              <w:t xml:space="preserve"> 60 ед. до 56,4 ед;</w:t>
            </w:r>
          </w:p>
          <w:p w:rsidR="004616EA" w:rsidRPr="00FF6DF6" w:rsidRDefault="004616EA" w:rsidP="006E01A0">
            <w:pPr>
              <w:pStyle w:val="a7"/>
              <w:spacing w:after="0" w:line="240" w:lineRule="auto"/>
              <w:ind w:left="0"/>
              <w:jc w:val="both"/>
              <w:rPr>
                <w:rFonts w:ascii="Times New Roman" w:hAnsi="Times New Roman"/>
                <w:lang w:eastAsia="en-US"/>
              </w:rPr>
            </w:pPr>
            <w:r w:rsidRPr="00FF6DF6">
              <w:rPr>
                <w:rFonts w:ascii="Times New Roman" w:hAnsi="Times New Roman"/>
                <w:lang w:eastAsia="en-US"/>
              </w:rPr>
              <w:t>Уменьшение доли лиц, ранее осуждавшихся за совершение преступлений, в общем количестве лиц, осуждённых обвинительными приговорами, вступившими в законную силу с 45,4% до 43,6%</w:t>
            </w:r>
          </w:p>
        </w:tc>
      </w:tr>
    </w:tbl>
    <w:p w:rsidR="004616EA" w:rsidRDefault="004616EA">
      <w:pPr>
        <w:sectPr w:rsidR="004616EA" w:rsidSect="00461CB8">
          <w:type w:val="continuous"/>
          <w:pgSz w:w="16838" w:h="11906" w:orient="landscape"/>
          <w:pgMar w:top="567" w:right="567" w:bottom="2552"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12"/>
        <w:gridCol w:w="4430"/>
        <w:gridCol w:w="1774"/>
        <w:gridCol w:w="1834"/>
        <w:gridCol w:w="5270"/>
      </w:tblGrid>
      <w:tr w:rsidR="004616EA" w:rsidRPr="00475E67" w:rsidTr="00F30319">
        <w:trPr>
          <w:trHeight w:val="1754"/>
        </w:trPr>
        <w:tc>
          <w:tcPr>
            <w:tcW w:w="820" w:type="pct"/>
            <w:vAlign w:val="center"/>
          </w:tcPr>
          <w:p w:rsidR="004616EA" w:rsidRPr="00475E67" w:rsidRDefault="004616EA" w:rsidP="00FA0564">
            <w:pPr>
              <w:autoSpaceDE w:val="0"/>
              <w:spacing w:after="0" w:line="240" w:lineRule="auto"/>
              <w:jc w:val="center"/>
              <w:rPr>
                <w:rFonts w:ascii="Times New Roman" w:hAnsi="Times New Roman"/>
                <w:sz w:val="20"/>
                <w:szCs w:val="20"/>
              </w:rPr>
            </w:pPr>
            <w:r w:rsidRPr="00475E67">
              <w:rPr>
                <w:rFonts w:ascii="Times New Roman" w:hAnsi="Times New Roman"/>
                <w:sz w:val="20"/>
                <w:szCs w:val="20"/>
                <w:lang w:eastAsia="ru-RU"/>
              </w:rPr>
              <w:t xml:space="preserve">6. </w:t>
            </w:r>
            <w:r w:rsidRPr="00475E67">
              <w:rPr>
                <w:rFonts w:ascii="Times New Roman" w:hAnsi="Times New Roman"/>
                <w:sz w:val="20"/>
                <w:szCs w:val="20"/>
              </w:rPr>
              <w:t>«Профилактика экстремизма в городе</w:t>
            </w:r>
          </w:p>
          <w:p w:rsidR="004616EA" w:rsidRPr="00475E67" w:rsidRDefault="004616EA" w:rsidP="00FA0564">
            <w:pPr>
              <w:autoSpaceDE w:val="0"/>
              <w:spacing w:after="0" w:line="240" w:lineRule="auto"/>
              <w:jc w:val="center"/>
              <w:rPr>
                <w:rFonts w:ascii="Times New Roman" w:hAnsi="Times New Roman"/>
                <w:sz w:val="20"/>
                <w:szCs w:val="20"/>
              </w:rPr>
            </w:pPr>
            <w:r w:rsidRPr="00475E67">
              <w:rPr>
                <w:rFonts w:ascii="Times New Roman" w:hAnsi="Times New Roman"/>
                <w:sz w:val="20"/>
                <w:szCs w:val="20"/>
              </w:rPr>
              <w:t>Когалыме на 2014 – 2016 годы»</w:t>
            </w:r>
          </w:p>
          <w:p w:rsidR="004616EA" w:rsidRPr="00475E67" w:rsidRDefault="004616EA" w:rsidP="00FA0564">
            <w:pPr>
              <w:spacing w:before="240" w:after="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15.10.2013 №2927</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31.12.2013 №3854)</w:t>
            </w:r>
          </w:p>
        </w:tc>
        <w:tc>
          <w:tcPr>
            <w:tcW w:w="1391" w:type="pct"/>
          </w:tcPr>
          <w:p w:rsidR="004616EA" w:rsidRPr="00475E67" w:rsidRDefault="004616EA" w:rsidP="00FA0564">
            <w:pPr>
              <w:pStyle w:val="ConsPlusNonformat"/>
              <w:widowControl/>
              <w:tabs>
                <w:tab w:val="left" w:pos="7357"/>
              </w:tabs>
              <w:jc w:val="both"/>
              <w:rPr>
                <w:rFonts w:ascii="Times New Roman" w:hAnsi="Times New Roman" w:cs="Times New Roman"/>
                <w:i/>
                <w:u w:val="single"/>
              </w:rPr>
            </w:pPr>
            <w:r w:rsidRPr="00475E67">
              <w:rPr>
                <w:rFonts w:ascii="Times New Roman" w:hAnsi="Times New Roman" w:cs="Times New Roman"/>
                <w:i/>
                <w:u w:val="single"/>
              </w:rPr>
              <w:t>Цель:</w:t>
            </w:r>
          </w:p>
          <w:p w:rsidR="004616EA" w:rsidRPr="00475E67" w:rsidRDefault="004616EA" w:rsidP="00FA0564">
            <w:pPr>
              <w:pStyle w:val="ConsPlusNonformat"/>
              <w:widowControl/>
              <w:tabs>
                <w:tab w:val="left" w:pos="7357"/>
              </w:tabs>
              <w:jc w:val="both"/>
              <w:rPr>
                <w:rFonts w:ascii="Times New Roman" w:hAnsi="Times New Roman" w:cs="Times New Roman"/>
              </w:rPr>
            </w:pPr>
            <w:r w:rsidRPr="00475E67">
              <w:rPr>
                <w:rFonts w:ascii="Times New Roman" w:hAnsi="Times New Roman" w:cs="Times New Roman"/>
              </w:rPr>
              <w:t>Создание в городе Когалыме условий для профилактики экстремизма и укрепления толерантной среды на основе ценностей многонационального российского общества, обеспечения равенства прав и свобод человека, успешной социальной и культурной адаптации и интеграции мигрантов в муниципальном образовании городе Когалыме</w:t>
            </w:r>
          </w:p>
          <w:p w:rsidR="004616EA" w:rsidRPr="00475E67" w:rsidRDefault="004616EA" w:rsidP="00FA0564">
            <w:pPr>
              <w:pStyle w:val="ConsPlusNonformat"/>
              <w:widowControl/>
              <w:tabs>
                <w:tab w:val="left" w:pos="7357"/>
              </w:tabs>
              <w:jc w:val="both"/>
              <w:rPr>
                <w:rFonts w:ascii="Times New Roman" w:hAnsi="Times New Roman" w:cs="Times New Roman"/>
                <w:i/>
                <w:u w:val="single"/>
              </w:rPr>
            </w:pPr>
            <w:r w:rsidRPr="00475E67">
              <w:rPr>
                <w:rFonts w:ascii="Times New Roman" w:hAnsi="Times New Roman" w:cs="Times New Roman"/>
                <w:i/>
                <w:u w:val="single"/>
              </w:rPr>
              <w:t>Задачи:</w:t>
            </w:r>
          </w:p>
          <w:p w:rsidR="004616EA" w:rsidRPr="00475E67" w:rsidRDefault="004616EA" w:rsidP="00FA0564">
            <w:pPr>
              <w:pStyle w:val="ConsPlusNonformat"/>
              <w:widowControl/>
              <w:tabs>
                <w:tab w:val="left" w:pos="7357"/>
              </w:tabs>
              <w:jc w:val="both"/>
              <w:rPr>
                <w:rFonts w:ascii="Times New Roman" w:hAnsi="Times New Roman" w:cs="Times New Roman"/>
              </w:rPr>
            </w:pPr>
            <w:r w:rsidRPr="00475E67">
              <w:rPr>
                <w:rFonts w:ascii="Times New Roman" w:hAnsi="Times New Roman" w:cs="Times New Roman"/>
              </w:rPr>
              <w:t>Воспитание толерантности через систему образования;</w:t>
            </w:r>
          </w:p>
          <w:p w:rsidR="004616EA" w:rsidRPr="00475E67" w:rsidRDefault="004616EA" w:rsidP="00FA0564">
            <w:pPr>
              <w:pStyle w:val="ConsPlusNonformat"/>
              <w:widowControl/>
              <w:jc w:val="both"/>
              <w:rPr>
                <w:rFonts w:ascii="Times New Roman" w:hAnsi="Times New Roman" w:cs="Times New Roman"/>
              </w:rPr>
            </w:pPr>
            <w:r w:rsidRPr="00475E67">
              <w:rPr>
                <w:rFonts w:ascii="Times New Roman" w:hAnsi="Times New Roman" w:cs="Times New Roman"/>
              </w:rPr>
              <w:t>Укрепление толерантности и профилактика экстремизма в молодёжной среде;</w:t>
            </w:r>
          </w:p>
          <w:p w:rsidR="004616EA" w:rsidRPr="00475E67" w:rsidRDefault="004616EA" w:rsidP="00FA0564">
            <w:pPr>
              <w:pStyle w:val="ConsPlusNonformat"/>
              <w:widowControl/>
              <w:jc w:val="both"/>
              <w:rPr>
                <w:rFonts w:ascii="Times New Roman" w:hAnsi="Times New Roman" w:cs="Times New Roman"/>
              </w:rPr>
            </w:pPr>
            <w:r w:rsidRPr="00475E67">
              <w:rPr>
                <w:rFonts w:ascii="Times New Roman" w:hAnsi="Times New Roman" w:cs="Times New Roman"/>
              </w:rPr>
              <w:t>Укрепление толерантности через средства массовой информации;</w:t>
            </w:r>
          </w:p>
          <w:p w:rsidR="004616EA" w:rsidRPr="00475E67" w:rsidRDefault="004616EA" w:rsidP="00FA0564">
            <w:pPr>
              <w:pStyle w:val="ConsPlusNonformat"/>
              <w:widowControl/>
              <w:jc w:val="both"/>
              <w:rPr>
                <w:rFonts w:ascii="Times New Roman" w:hAnsi="Times New Roman" w:cs="Times New Roman"/>
              </w:rPr>
            </w:pPr>
            <w:r w:rsidRPr="00475E67">
              <w:rPr>
                <w:rFonts w:ascii="Times New Roman" w:hAnsi="Times New Roman" w:cs="Times New Roman"/>
              </w:rPr>
              <w:t>Содействие национально-культурному взаимодействию в городе Когалыме;</w:t>
            </w:r>
          </w:p>
          <w:p w:rsidR="004616EA" w:rsidRPr="00475E67" w:rsidRDefault="004616EA" w:rsidP="00FA0564">
            <w:pPr>
              <w:pStyle w:val="ConsPlusNonformat"/>
              <w:spacing w:after="240"/>
              <w:jc w:val="both"/>
              <w:rPr>
                <w:rFonts w:ascii="Times New Roman" w:hAnsi="Times New Roman" w:cs="Times New Roman"/>
              </w:rPr>
            </w:pPr>
            <w:r w:rsidRPr="00475E67">
              <w:rPr>
                <w:rFonts w:ascii="Times New Roman" w:hAnsi="Times New Roman" w:cs="Times New Roman"/>
              </w:rPr>
              <w:t>Содействие адаптации и интеграции мигрантов в культурное и социальное пространство города Когалыма</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1 038,00</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Местный бюджет</w:t>
            </w:r>
          </w:p>
        </w:tc>
        <w:tc>
          <w:tcPr>
            <w:tcW w:w="1655" w:type="pct"/>
          </w:tcPr>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 xml:space="preserve">Увеличение доли обучающихся, охваченных в       </w:t>
            </w:r>
            <w:r w:rsidRPr="00FF6DF6">
              <w:rPr>
                <w:rFonts w:ascii="Times New Roman" w:hAnsi="Times New Roman"/>
                <w:lang w:eastAsia="en-US"/>
              </w:rPr>
              <w:br/>
              <w:t>образовательных организациях программами по воспитанию толерантности от общего количества обучающихся, с 63% до 72%</w:t>
            </w:r>
          </w:p>
        </w:tc>
      </w:tr>
      <w:tr w:rsidR="004616EA" w:rsidRPr="00475E67" w:rsidTr="00F30319">
        <w:trPr>
          <w:trHeight w:val="708"/>
        </w:trPr>
        <w:tc>
          <w:tcPr>
            <w:tcW w:w="820" w:type="pct"/>
            <w:vAlign w:val="center"/>
          </w:tcPr>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lang w:eastAsia="ru-RU"/>
              </w:rPr>
              <w:t xml:space="preserve">7. </w:t>
            </w:r>
            <w:r w:rsidRPr="00475E67">
              <w:rPr>
                <w:rFonts w:ascii="Times New Roman" w:hAnsi="Times New Roman"/>
                <w:sz w:val="20"/>
                <w:szCs w:val="20"/>
              </w:rPr>
              <w:t>«Развитие муниципальной службы и резерва</w:t>
            </w:r>
          </w:p>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rPr>
              <w:t>управленческих кадров в муниципальном</w:t>
            </w:r>
          </w:p>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rPr>
              <w:t>образовании городской округ город Когалым</w:t>
            </w:r>
          </w:p>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rPr>
              <w:t>на 2014-2016 годы»</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 xml:space="preserve">утверждена Постановлением Администрации города Когалыма от 11.10.2013 </w:t>
            </w:r>
          </w:p>
        </w:tc>
        <w:tc>
          <w:tcPr>
            <w:tcW w:w="1391" w:type="pct"/>
          </w:tcPr>
          <w:p w:rsidR="004616EA" w:rsidRPr="00475E67" w:rsidRDefault="004616EA" w:rsidP="00FA0564">
            <w:pPr>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Цели:</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Повышение профессионального уровня кадрового состава органов местного самоуправления в целях реализации законных прав и интересов граждан в сфере муниципального управления;</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Устойчивое и эффективное осуществление своих полномочий Администрации города Когалыма</w:t>
            </w:r>
          </w:p>
          <w:p w:rsidR="004616EA" w:rsidRPr="00475E67" w:rsidRDefault="004616EA" w:rsidP="00FA0564">
            <w:pPr>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Задачи:</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Повышение профессиональной компетенции муниципальных служащих органов местного самоуправления города Когалыма;</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 xml:space="preserve">Развитие механизма предупреждения </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106 120,1</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Местный бюджет</w:t>
            </w:r>
          </w:p>
        </w:tc>
        <w:tc>
          <w:tcPr>
            <w:tcW w:w="1655" w:type="pct"/>
          </w:tcPr>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Повышение доли муниципальных служащих органов местного самоуправления города Когалыма, получивших дополнительное профессиональное образование в соответствии с планами повышения квалификации с учетом компетенции;</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100% замещение вакантных должностей муниципальной службы по итогам конкурсов и из состава кадрового резерва;</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Увеличение количества должностей муниципальной службы, обеспеченных кадровым резервом</w:t>
            </w:r>
          </w:p>
        </w:tc>
      </w:tr>
    </w:tbl>
    <w:p w:rsidR="004616EA" w:rsidRDefault="004616EA">
      <w:pPr>
        <w:sectPr w:rsidR="004616EA" w:rsidSect="002D3BE6">
          <w:type w:val="continuous"/>
          <w:pgSz w:w="16838" w:h="11906" w:orient="landscape"/>
          <w:pgMar w:top="2552" w:right="567" w:bottom="567"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12"/>
        <w:gridCol w:w="4430"/>
        <w:gridCol w:w="1774"/>
        <w:gridCol w:w="1834"/>
        <w:gridCol w:w="5270"/>
      </w:tblGrid>
      <w:tr w:rsidR="004616EA" w:rsidRPr="00475E67" w:rsidTr="006E01A0">
        <w:trPr>
          <w:trHeight w:val="708"/>
        </w:trPr>
        <w:tc>
          <w:tcPr>
            <w:tcW w:w="820" w:type="pct"/>
          </w:tcPr>
          <w:p w:rsidR="004616EA" w:rsidRPr="00475E67" w:rsidRDefault="004616EA" w:rsidP="006E01A0">
            <w:pPr>
              <w:spacing w:after="0" w:line="240" w:lineRule="auto"/>
              <w:jc w:val="center"/>
              <w:rPr>
                <w:rFonts w:ascii="Times New Roman" w:hAnsi="Times New Roman"/>
                <w:sz w:val="20"/>
                <w:szCs w:val="20"/>
              </w:rPr>
            </w:pPr>
            <w:r w:rsidRPr="00475E67">
              <w:rPr>
                <w:rFonts w:ascii="Times New Roman" w:hAnsi="Times New Roman"/>
                <w:sz w:val="20"/>
                <w:szCs w:val="20"/>
              </w:rPr>
              <w:t>№2903</w:t>
            </w:r>
          </w:p>
          <w:p w:rsidR="004616EA" w:rsidRPr="00475E67" w:rsidRDefault="004616EA" w:rsidP="006E01A0">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16.05.2014 №1151)</w:t>
            </w:r>
          </w:p>
        </w:tc>
        <w:tc>
          <w:tcPr>
            <w:tcW w:w="1391" w:type="pct"/>
          </w:tcPr>
          <w:p w:rsidR="004616EA" w:rsidRPr="00475E67" w:rsidRDefault="004616EA" w:rsidP="00FA0564">
            <w:pPr>
              <w:spacing w:after="0" w:line="240" w:lineRule="auto"/>
              <w:jc w:val="both"/>
              <w:rPr>
                <w:rFonts w:ascii="Times New Roman" w:hAnsi="Times New Roman"/>
                <w:i/>
                <w:sz w:val="20"/>
                <w:szCs w:val="20"/>
                <w:u w:val="single"/>
              </w:rPr>
            </w:pPr>
            <w:r w:rsidRPr="00733BD3">
              <w:rPr>
                <w:rFonts w:ascii="Times New Roman" w:hAnsi="Times New Roman"/>
              </w:rPr>
              <w:t>коррупции, выявление и разрешение конфликта интересов на муниципальной службе в органах местного самоуправления города Когалыма</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p>
        </w:tc>
        <w:tc>
          <w:tcPr>
            <w:tcW w:w="1655" w:type="pct"/>
          </w:tcPr>
          <w:p w:rsidR="004616EA" w:rsidRPr="00FF6DF6" w:rsidRDefault="004616EA" w:rsidP="00FA0564">
            <w:pPr>
              <w:pStyle w:val="a7"/>
              <w:spacing w:after="0" w:line="240" w:lineRule="auto"/>
              <w:ind w:left="0"/>
              <w:jc w:val="both"/>
              <w:rPr>
                <w:rFonts w:ascii="Times New Roman" w:hAnsi="Times New Roman"/>
                <w:lang w:eastAsia="en-US"/>
              </w:rPr>
            </w:pPr>
          </w:p>
        </w:tc>
      </w:tr>
      <w:tr w:rsidR="004616EA" w:rsidRPr="00475E67" w:rsidTr="006E01A0">
        <w:trPr>
          <w:trHeight w:val="1754"/>
        </w:trPr>
        <w:tc>
          <w:tcPr>
            <w:tcW w:w="820" w:type="pct"/>
            <w:vAlign w:val="center"/>
          </w:tcPr>
          <w:p w:rsidR="004616EA" w:rsidRPr="00475E67" w:rsidRDefault="004616EA" w:rsidP="00FA0564">
            <w:pPr>
              <w:autoSpaceDE w:val="0"/>
              <w:autoSpaceDN w:val="0"/>
              <w:adjustRightInd w:val="0"/>
              <w:spacing w:after="0" w:line="240" w:lineRule="auto"/>
              <w:jc w:val="center"/>
              <w:rPr>
                <w:rFonts w:ascii="Times New Roman" w:hAnsi="Times New Roman"/>
                <w:sz w:val="20"/>
                <w:szCs w:val="20"/>
              </w:rPr>
            </w:pPr>
            <w:r w:rsidRPr="00475E67">
              <w:rPr>
                <w:rFonts w:ascii="Times New Roman" w:hAnsi="Times New Roman"/>
                <w:sz w:val="20"/>
                <w:szCs w:val="20"/>
                <w:lang w:eastAsia="ru-RU"/>
              </w:rPr>
              <w:t>8.</w:t>
            </w:r>
            <w:r w:rsidRPr="00475E67">
              <w:rPr>
                <w:rFonts w:ascii="Times New Roman" w:hAnsi="Times New Roman"/>
                <w:sz w:val="20"/>
                <w:szCs w:val="20"/>
              </w:rPr>
              <w:t xml:space="preserve"> «Развитие агропромышленного</w:t>
            </w:r>
          </w:p>
          <w:p w:rsidR="004616EA" w:rsidRPr="00475E67" w:rsidRDefault="004616EA" w:rsidP="00FA0564">
            <w:pPr>
              <w:autoSpaceDE w:val="0"/>
              <w:autoSpaceDN w:val="0"/>
              <w:adjustRightInd w:val="0"/>
              <w:spacing w:after="0" w:line="240" w:lineRule="auto"/>
              <w:jc w:val="center"/>
              <w:rPr>
                <w:rFonts w:ascii="Times New Roman" w:hAnsi="Times New Roman"/>
                <w:sz w:val="20"/>
                <w:szCs w:val="20"/>
              </w:rPr>
            </w:pPr>
            <w:r w:rsidRPr="00475E67">
              <w:rPr>
                <w:rFonts w:ascii="Times New Roman" w:hAnsi="Times New Roman"/>
                <w:sz w:val="20"/>
                <w:szCs w:val="20"/>
              </w:rPr>
              <w:t>комплекса и рынков сельскохозяйственной</w:t>
            </w:r>
          </w:p>
          <w:p w:rsidR="004616EA" w:rsidRPr="00475E67" w:rsidRDefault="004616EA" w:rsidP="00FA0564">
            <w:pPr>
              <w:autoSpaceDE w:val="0"/>
              <w:autoSpaceDN w:val="0"/>
              <w:adjustRightInd w:val="0"/>
              <w:spacing w:after="0" w:line="240" w:lineRule="auto"/>
              <w:jc w:val="center"/>
              <w:rPr>
                <w:rFonts w:ascii="Times New Roman" w:hAnsi="Times New Roman"/>
                <w:sz w:val="20"/>
                <w:szCs w:val="20"/>
              </w:rPr>
            </w:pPr>
            <w:r w:rsidRPr="00475E67">
              <w:rPr>
                <w:rFonts w:ascii="Times New Roman" w:hAnsi="Times New Roman"/>
                <w:sz w:val="20"/>
                <w:szCs w:val="20"/>
              </w:rPr>
              <w:t>продукции, сырья и продовольствия</w:t>
            </w:r>
          </w:p>
          <w:p w:rsidR="004616EA" w:rsidRPr="00475E67" w:rsidRDefault="004616EA" w:rsidP="00FA0564">
            <w:pPr>
              <w:autoSpaceDE w:val="0"/>
              <w:autoSpaceDN w:val="0"/>
              <w:adjustRightInd w:val="0"/>
              <w:spacing w:after="0" w:line="240" w:lineRule="auto"/>
              <w:jc w:val="center"/>
              <w:rPr>
                <w:rFonts w:ascii="Times New Roman" w:hAnsi="Times New Roman"/>
                <w:sz w:val="20"/>
                <w:szCs w:val="20"/>
              </w:rPr>
            </w:pPr>
            <w:r w:rsidRPr="00475E67">
              <w:rPr>
                <w:rFonts w:ascii="Times New Roman" w:hAnsi="Times New Roman"/>
                <w:sz w:val="20"/>
                <w:szCs w:val="20"/>
              </w:rPr>
              <w:t>в городе Когалыме в 2014 - 2016 годах»</w:t>
            </w:r>
          </w:p>
          <w:p w:rsidR="004616EA" w:rsidRPr="00475E67" w:rsidRDefault="004616EA" w:rsidP="00FA0564">
            <w:pPr>
              <w:autoSpaceDE w:val="0"/>
              <w:autoSpaceDN w:val="0"/>
              <w:adjustRightInd w:val="0"/>
              <w:spacing w:after="0" w:line="240" w:lineRule="auto"/>
              <w:jc w:val="center"/>
              <w:rPr>
                <w:rFonts w:ascii="Times New Roman" w:hAnsi="Times New Roman"/>
                <w:sz w:val="20"/>
                <w:szCs w:val="20"/>
              </w:rPr>
            </w:pPr>
          </w:p>
          <w:p w:rsidR="004616EA" w:rsidRPr="00475E67" w:rsidRDefault="004616EA" w:rsidP="00FA0564">
            <w:pPr>
              <w:autoSpaceDE w:val="0"/>
              <w:autoSpaceDN w:val="0"/>
              <w:adjustRightInd w:val="0"/>
              <w:spacing w:after="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11.10.2013 №2900</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08.05.2014 №1063)</w:t>
            </w:r>
          </w:p>
        </w:tc>
        <w:tc>
          <w:tcPr>
            <w:tcW w:w="1391" w:type="pct"/>
          </w:tcPr>
          <w:p w:rsidR="004616EA" w:rsidRPr="00475E67" w:rsidRDefault="004616EA" w:rsidP="00FA0564">
            <w:pPr>
              <w:autoSpaceDE w:val="0"/>
              <w:autoSpaceDN w:val="0"/>
              <w:adjustRightInd w:val="0"/>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Цель:</w:t>
            </w:r>
          </w:p>
          <w:p w:rsidR="004616EA" w:rsidRPr="00475E67" w:rsidRDefault="004616EA" w:rsidP="00FA0564">
            <w:pPr>
              <w:autoSpaceDE w:val="0"/>
              <w:autoSpaceDN w:val="0"/>
              <w:adjustRightInd w:val="0"/>
              <w:spacing w:after="0" w:line="240" w:lineRule="auto"/>
              <w:jc w:val="both"/>
              <w:rPr>
                <w:rFonts w:ascii="Times New Roman" w:hAnsi="Times New Roman"/>
                <w:sz w:val="20"/>
                <w:szCs w:val="20"/>
              </w:rPr>
            </w:pPr>
            <w:r w:rsidRPr="00475E67">
              <w:rPr>
                <w:rFonts w:ascii="Times New Roman" w:hAnsi="Times New Roman"/>
                <w:sz w:val="20"/>
                <w:szCs w:val="20"/>
              </w:rPr>
              <w:t>Создание условий для устойчивого развития агропромышленного комплекса, повышение конкурентоспособности сельскохозяйственной продукции, произведенной в городе Когалыме</w:t>
            </w:r>
          </w:p>
          <w:p w:rsidR="004616EA" w:rsidRPr="00475E67" w:rsidRDefault="004616EA" w:rsidP="00FA0564">
            <w:pPr>
              <w:autoSpaceDE w:val="0"/>
              <w:autoSpaceDN w:val="0"/>
              <w:adjustRightInd w:val="0"/>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Задачи:</w:t>
            </w:r>
          </w:p>
          <w:p w:rsidR="004616EA" w:rsidRPr="00FF6DF6" w:rsidRDefault="004616EA" w:rsidP="00FA0564">
            <w:pPr>
              <w:pStyle w:val="a7"/>
              <w:widowControl w:val="0"/>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Увеличение объемов производства и переработки основных видов продукции растениеводства;</w:t>
            </w:r>
          </w:p>
          <w:p w:rsidR="004616EA" w:rsidRPr="00FF6DF6" w:rsidRDefault="004616EA" w:rsidP="00FA0564">
            <w:pPr>
              <w:pStyle w:val="a7"/>
              <w:widowControl w:val="0"/>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Развитие социально значимых отраслей животноводства;</w:t>
            </w:r>
          </w:p>
          <w:p w:rsidR="004616EA" w:rsidRPr="00475E67" w:rsidRDefault="004616EA" w:rsidP="00FA0564">
            <w:pPr>
              <w:pStyle w:val="ConsPlusTitle"/>
              <w:jc w:val="both"/>
              <w:rPr>
                <w:b w:val="0"/>
                <w:bCs w:val="0"/>
                <w:sz w:val="20"/>
                <w:szCs w:val="20"/>
              </w:rPr>
            </w:pPr>
            <w:r w:rsidRPr="00475E67">
              <w:rPr>
                <w:b w:val="0"/>
                <w:bCs w:val="0"/>
                <w:sz w:val="20"/>
                <w:szCs w:val="20"/>
              </w:rPr>
              <w:t>Создание условий для увеличения количества субъектов малого предпринимательства, занимающихся сельскохозяйственным производством;</w:t>
            </w:r>
          </w:p>
          <w:p w:rsidR="004616EA" w:rsidRPr="00475E67" w:rsidRDefault="004616EA" w:rsidP="00FA0564">
            <w:pPr>
              <w:pStyle w:val="ConsPlusTitle"/>
              <w:jc w:val="both"/>
              <w:rPr>
                <w:b w:val="0"/>
                <w:bCs w:val="0"/>
                <w:sz w:val="20"/>
                <w:szCs w:val="20"/>
              </w:rPr>
            </w:pPr>
            <w:r w:rsidRPr="00475E67">
              <w:rPr>
                <w:b w:val="0"/>
                <w:bCs w:val="0"/>
                <w:sz w:val="20"/>
                <w:szCs w:val="20"/>
              </w:rPr>
              <w:t>Создание благоприятных условий для развития заготовки и переработки дикоросов;</w:t>
            </w:r>
          </w:p>
          <w:p w:rsidR="004616EA" w:rsidRPr="00475E67" w:rsidRDefault="004616EA" w:rsidP="00FA0564">
            <w:pPr>
              <w:pStyle w:val="ConsPlusTitle"/>
              <w:jc w:val="both"/>
              <w:rPr>
                <w:b w:val="0"/>
                <w:bCs w:val="0"/>
                <w:sz w:val="20"/>
                <w:szCs w:val="20"/>
              </w:rPr>
            </w:pPr>
            <w:r w:rsidRPr="00475E67">
              <w:rPr>
                <w:b w:val="0"/>
                <w:bCs w:val="0"/>
                <w:sz w:val="20"/>
                <w:szCs w:val="20"/>
              </w:rPr>
              <w:t>Обеспечение стабильной благополучной эпизоотической обстановки в городе Когалыме, и защита населения от болезней общих для человека и животных;</w:t>
            </w:r>
          </w:p>
          <w:p w:rsidR="004616EA" w:rsidRPr="00FF6DF6" w:rsidRDefault="004616EA" w:rsidP="00FA0564">
            <w:pPr>
              <w:pStyle w:val="a7"/>
              <w:autoSpaceDE w:val="0"/>
              <w:autoSpaceDN w:val="0"/>
              <w:adjustRightInd w:val="0"/>
              <w:spacing w:line="240" w:lineRule="auto"/>
              <w:ind w:left="0"/>
              <w:jc w:val="both"/>
              <w:rPr>
                <w:rFonts w:ascii="Times New Roman" w:hAnsi="Times New Roman"/>
                <w:lang w:eastAsia="en-US"/>
              </w:rPr>
            </w:pPr>
            <w:r w:rsidRPr="00FF6DF6">
              <w:rPr>
                <w:rFonts w:ascii="Times New Roman" w:hAnsi="Times New Roman"/>
                <w:lang w:eastAsia="en-US"/>
              </w:rPr>
              <w:t>Создание условий для расширения рынка сельскохозяйственной продукции</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18 179,80</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Окружной бюджет, местный бюджет</w:t>
            </w:r>
          </w:p>
        </w:tc>
        <w:tc>
          <w:tcPr>
            <w:tcW w:w="1655" w:type="pct"/>
            <w:vAlign w:val="center"/>
          </w:tcPr>
          <w:p w:rsidR="004616EA" w:rsidRPr="00FF6DF6" w:rsidRDefault="004616EA" w:rsidP="006E01A0">
            <w:pPr>
              <w:pStyle w:val="a7"/>
              <w:spacing w:after="0"/>
              <w:ind w:left="0"/>
              <w:jc w:val="both"/>
              <w:rPr>
                <w:rFonts w:ascii="Times New Roman" w:hAnsi="Times New Roman"/>
                <w:lang w:eastAsia="en-US"/>
              </w:rPr>
            </w:pPr>
            <w:r w:rsidRPr="00FF6DF6">
              <w:rPr>
                <w:rFonts w:ascii="Times New Roman" w:hAnsi="Times New Roman"/>
                <w:lang w:eastAsia="en-US"/>
              </w:rPr>
              <w:t>Увеличение поголовья скота и птицы в крестьянских (фермерских) хозяйствах и у индивидуальных предпринимателей, в том числе:</w:t>
            </w:r>
          </w:p>
          <w:p w:rsidR="004616EA" w:rsidRPr="00FF6DF6" w:rsidRDefault="004616EA" w:rsidP="006E01A0">
            <w:pPr>
              <w:pStyle w:val="a7"/>
              <w:tabs>
                <w:tab w:val="left" w:pos="1168"/>
              </w:tabs>
              <w:spacing w:before="240"/>
              <w:ind w:left="0"/>
              <w:jc w:val="both"/>
              <w:rPr>
                <w:rFonts w:ascii="Times New Roman" w:hAnsi="Times New Roman"/>
                <w:lang w:eastAsia="en-US"/>
              </w:rPr>
            </w:pPr>
            <w:r w:rsidRPr="00FF6DF6">
              <w:rPr>
                <w:rFonts w:ascii="Times New Roman" w:hAnsi="Times New Roman"/>
                <w:lang w:eastAsia="en-US"/>
              </w:rPr>
              <w:t>поголовья крупного рогатого скота на 10 голов;</w:t>
            </w:r>
          </w:p>
          <w:p w:rsidR="004616EA" w:rsidRPr="00FF6DF6" w:rsidRDefault="004616EA" w:rsidP="006E01A0">
            <w:pPr>
              <w:pStyle w:val="a7"/>
              <w:tabs>
                <w:tab w:val="left" w:pos="1168"/>
              </w:tabs>
              <w:spacing w:before="240"/>
              <w:ind w:left="0"/>
              <w:jc w:val="both"/>
              <w:rPr>
                <w:rFonts w:ascii="Times New Roman" w:hAnsi="Times New Roman"/>
                <w:lang w:eastAsia="en-US"/>
              </w:rPr>
            </w:pPr>
            <w:r w:rsidRPr="00FF6DF6">
              <w:rPr>
                <w:rFonts w:ascii="Times New Roman" w:hAnsi="Times New Roman"/>
                <w:lang w:eastAsia="en-US"/>
              </w:rPr>
              <w:t>поголовья коров на 15 голов;</w:t>
            </w:r>
          </w:p>
          <w:p w:rsidR="004616EA" w:rsidRPr="00FF6DF6" w:rsidRDefault="004616EA" w:rsidP="006E01A0">
            <w:pPr>
              <w:pStyle w:val="a7"/>
              <w:tabs>
                <w:tab w:val="left" w:pos="1168"/>
              </w:tabs>
              <w:spacing w:before="240"/>
              <w:ind w:left="0"/>
              <w:jc w:val="both"/>
              <w:rPr>
                <w:rFonts w:ascii="Times New Roman" w:hAnsi="Times New Roman"/>
                <w:lang w:eastAsia="en-US"/>
              </w:rPr>
            </w:pPr>
            <w:r w:rsidRPr="00FF6DF6">
              <w:rPr>
                <w:rFonts w:ascii="Times New Roman" w:hAnsi="Times New Roman"/>
                <w:lang w:eastAsia="en-US"/>
              </w:rPr>
              <w:t>поголовья свиней на 150 голов;</w:t>
            </w:r>
          </w:p>
          <w:p w:rsidR="004616EA" w:rsidRPr="00475E67" w:rsidRDefault="004616EA" w:rsidP="006E01A0">
            <w:pPr>
              <w:jc w:val="both"/>
              <w:rPr>
                <w:rFonts w:ascii="Times New Roman" w:hAnsi="Times New Roman"/>
                <w:sz w:val="20"/>
                <w:szCs w:val="20"/>
              </w:rPr>
            </w:pPr>
            <w:r w:rsidRPr="00733BD3">
              <w:rPr>
                <w:rFonts w:ascii="Times New Roman" w:hAnsi="Times New Roman"/>
              </w:rPr>
              <w:t>поголовья птицы на 1318 голов</w:t>
            </w:r>
          </w:p>
        </w:tc>
      </w:tr>
    </w:tbl>
    <w:p w:rsidR="004616EA" w:rsidRDefault="004616EA">
      <w:pPr>
        <w:sectPr w:rsidR="004616EA" w:rsidSect="002D3BE6">
          <w:type w:val="continuous"/>
          <w:pgSz w:w="16838" w:h="11906" w:orient="landscape"/>
          <w:pgMar w:top="567" w:right="567" w:bottom="2552" w:left="567" w:header="709" w:footer="709" w:gutter="0"/>
          <w:cols w:space="708"/>
          <w:docGrid w:linePitch="360"/>
        </w:sectPr>
      </w:pPr>
    </w:p>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12"/>
        <w:gridCol w:w="4430"/>
        <w:gridCol w:w="1774"/>
        <w:gridCol w:w="1834"/>
        <w:gridCol w:w="5270"/>
      </w:tblGrid>
      <w:tr w:rsidR="004616EA" w:rsidRPr="00475E67" w:rsidTr="00F30319">
        <w:trPr>
          <w:trHeight w:val="3826"/>
        </w:trPr>
        <w:tc>
          <w:tcPr>
            <w:tcW w:w="820" w:type="pct"/>
            <w:vAlign w:val="center"/>
          </w:tcPr>
          <w:p w:rsidR="004616EA" w:rsidRPr="00475E67" w:rsidRDefault="004616EA" w:rsidP="00FA0564">
            <w:pPr>
              <w:autoSpaceDE w:val="0"/>
              <w:autoSpaceDN w:val="0"/>
              <w:adjustRightInd w:val="0"/>
              <w:spacing w:after="0" w:line="240" w:lineRule="auto"/>
              <w:jc w:val="center"/>
              <w:rPr>
                <w:rFonts w:ascii="Times New Roman" w:hAnsi="Times New Roman"/>
                <w:sz w:val="20"/>
                <w:szCs w:val="20"/>
              </w:rPr>
            </w:pPr>
            <w:r w:rsidRPr="00475E67">
              <w:rPr>
                <w:rFonts w:ascii="Times New Roman" w:hAnsi="Times New Roman"/>
                <w:sz w:val="20"/>
                <w:szCs w:val="20"/>
                <w:lang w:eastAsia="ru-RU"/>
              </w:rPr>
              <w:t>9.</w:t>
            </w:r>
            <w:r w:rsidRPr="00475E67">
              <w:rPr>
                <w:rFonts w:ascii="Times New Roman" w:hAnsi="Times New Roman"/>
                <w:sz w:val="20"/>
                <w:szCs w:val="20"/>
              </w:rPr>
              <w:t xml:space="preserve"> «Развитие жилищно-коммунального комплекса</w:t>
            </w:r>
          </w:p>
          <w:p w:rsidR="004616EA" w:rsidRPr="00475E67" w:rsidRDefault="004616EA" w:rsidP="00FA0564">
            <w:pPr>
              <w:autoSpaceDE w:val="0"/>
              <w:autoSpaceDN w:val="0"/>
              <w:adjustRightInd w:val="0"/>
              <w:spacing w:after="0" w:line="240" w:lineRule="auto"/>
              <w:jc w:val="center"/>
              <w:rPr>
                <w:rFonts w:ascii="Times New Roman" w:hAnsi="Times New Roman"/>
                <w:sz w:val="20"/>
                <w:szCs w:val="20"/>
              </w:rPr>
            </w:pPr>
            <w:r w:rsidRPr="00475E67">
              <w:rPr>
                <w:rFonts w:ascii="Times New Roman" w:hAnsi="Times New Roman"/>
                <w:sz w:val="20"/>
                <w:szCs w:val="20"/>
              </w:rPr>
              <w:t>и повышение энергетической эффективности</w:t>
            </w:r>
          </w:p>
          <w:p w:rsidR="004616EA" w:rsidRPr="00475E67" w:rsidRDefault="004616EA" w:rsidP="00FA0564">
            <w:pPr>
              <w:autoSpaceDE w:val="0"/>
              <w:autoSpaceDN w:val="0"/>
              <w:adjustRightInd w:val="0"/>
              <w:spacing w:after="0" w:line="240" w:lineRule="auto"/>
              <w:jc w:val="center"/>
              <w:rPr>
                <w:rFonts w:ascii="Times New Roman" w:hAnsi="Times New Roman"/>
                <w:sz w:val="20"/>
                <w:szCs w:val="20"/>
              </w:rPr>
            </w:pPr>
            <w:r w:rsidRPr="00475E67">
              <w:rPr>
                <w:rFonts w:ascii="Times New Roman" w:hAnsi="Times New Roman"/>
                <w:sz w:val="20"/>
                <w:szCs w:val="20"/>
              </w:rPr>
              <w:t>в городе Когалыме на 2014 – 2016 годы»</w:t>
            </w:r>
          </w:p>
          <w:p w:rsidR="004616EA" w:rsidRPr="00475E67" w:rsidRDefault="004616EA" w:rsidP="00FA0564">
            <w:pPr>
              <w:spacing w:before="240" w:after="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11.10.2013 №2908</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09.06.2014 №1377)</w:t>
            </w:r>
          </w:p>
        </w:tc>
        <w:tc>
          <w:tcPr>
            <w:tcW w:w="1391" w:type="pct"/>
          </w:tcPr>
          <w:p w:rsidR="004616EA" w:rsidRPr="00475E67" w:rsidRDefault="004616EA" w:rsidP="00FA0564">
            <w:pPr>
              <w:widowControl w:val="0"/>
              <w:autoSpaceDE w:val="0"/>
              <w:autoSpaceDN w:val="0"/>
              <w:adjustRightInd w:val="0"/>
              <w:spacing w:after="0" w:line="240" w:lineRule="auto"/>
              <w:rPr>
                <w:rFonts w:ascii="Times New Roman" w:hAnsi="Times New Roman"/>
                <w:i/>
                <w:sz w:val="20"/>
                <w:szCs w:val="20"/>
                <w:u w:val="single"/>
                <w:lang w:eastAsia="ar-SA"/>
              </w:rPr>
            </w:pPr>
            <w:r w:rsidRPr="00475E67">
              <w:rPr>
                <w:rFonts w:ascii="Times New Roman" w:hAnsi="Times New Roman"/>
                <w:i/>
                <w:sz w:val="20"/>
                <w:szCs w:val="20"/>
                <w:u w:val="single"/>
                <w:lang w:eastAsia="ar-SA"/>
              </w:rPr>
              <w:t>Цель:</w:t>
            </w:r>
          </w:p>
          <w:p w:rsidR="004616EA" w:rsidRPr="00475E67" w:rsidRDefault="004616EA" w:rsidP="00FA0564">
            <w:pPr>
              <w:spacing w:after="0" w:line="240" w:lineRule="auto"/>
              <w:jc w:val="both"/>
              <w:rPr>
                <w:rFonts w:ascii="Times New Roman" w:hAnsi="Times New Roman"/>
                <w:sz w:val="20"/>
                <w:szCs w:val="20"/>
                <w:lang w:eastAsia="ar-SA"/>
              </w:rPr>
            </w:pPr>
            <w:r w:rsidRPr="00475E67">
              <w:rPr>
                <w:rFonts w:ascii="Times New Roman" w:hAnsi="Times New Roman"/>
                <w:sz w:val="20"/>
                <w:szCs w:val="20"/>
              </w:rPr>
              <w:t>Повышение надежности и качества предоставления жилищно-коммунальных услуг населению города Когалыма</w:t>
            </w:r>
          </w:p>
          <w:p w:rsidR="004616EA" w:rsidRPr="00475E67" w:rsidRDefault="004616EA" w:rsidP="00FA0564">
            <w:pPr>
              <w:widowControl w:val="0"/>
              <w:tabs>
                <w:tab w:val="left" w:pos="67"/>
              </w:tabs>
              <w:autoSpaceDE w:val="0"/>
              <w:autoSpaceDN w:val="0"/>
              <w:adjustRightInd w:val="0"/>
              <w:spacing w:after="0" w:line="240" w:lineRule="auto"/>
              <w:rPr>
                <w:rFonts w:ascii="Times New Roman" w:hAnsi="Times New Roman"/>
                <w:i/>
                <w:sz w:val="20"/>
                <w:szCs w:val="20"/>
                <w:u w:val="single"/>
                <w:lang w:eastAsia="ru-RU"/>
              </w:rPr>
            </w:pPr>
            <w:r w:rsidRPr="00475E67">
              <w:rPr>
                <w:rFonts w:ascii="Times New Roman" w:hAnsi="Times New Roman"/>
                <w:i/>
                <w:sz w:val="20"/>
                <w:szCs w:val="20"/>
                <w:u w:val="single"/>
                <w:lang w:eastAsia="ru-RU"/>
              </w:rPr>
              <w:t>Задачи:</w:t>
            </w:r>
          </w:p>
          <w:p w:rsidR="004616EA" w:rsidRPr="00FF6DF6" w:rsidRDefault="004616EA" w:rsidP="00FA0564">
            <w:pPr>
              <w:pStyle w:val="a7"/>
              <w:tabs>
                <w:tab w:val="left" w:pos="601"/>
              </w:tabs>
              <w:spacing w:after="0" w:line="240" w:lineRule="auto"/>
              <w:ind w:left="0"/>
              <w:jc w:val="both"/>
              <w:rPr>
                <w:rFonts w:ascii="Times New Roman" w:hAnsi="Times New Roman"/>
                <w:lang w:eastAsia="en-US"/>
              </w:rPr>
            </w:pPr>
            <w:r w:rsidRPr="00FF6DF6">
              <w:rPr>
                <w:rFonts w:ascii="Times New Roman" w:hAnsi="Times New Roman"/>
              </w:rPr>
              <w:t>Создание условий для обеспечения потребителей качественными коммунальными услугами;</w:t>
            </w:r>
          </w:p>
          <w:p w:rsidR="004616EA" w:rsidRPr="00FF6DF6" w:rsidRDefault="004616EA" w:rsidP="00FA0564">
            <w:pPr>
              <w:pStyle w:val="a7"/>
              <w:tabs>
                <w:tab w:val="left" w:pos="601"/>
              </w:tabs>
              <w:spacing w:after="0" w:line="240" w:lineRule="auto"/>
              <w:ind w:left="0"/>
              <w:jc w:val="both"/>
              <w:rPr>
                <w:rFonts w:ascii="Times New Roman" w:hAnsi="Times New Roman"/>
                <w:lang w:eastAsia="en-US"/>
              </w:rPr>
            </w:pPr>
            <w:r w:rsidRPr="00FF6DF6">
              <w:rPr>
                <w:rFonts w:ascii="Times New Roman" w:hAnsi="Times New Roman"/>
                <w:lang w:eastAsia="en-US"/>
              </w:rPr>
              <w:t xml:space="preserve">Проведение капитального ремонта </w:t>
            </w:r>
            <w:r w:rsidRPr="00FF6DF6">
              <w:rPr>
                <w:rFonts w:ascii="Times New Roman" w:hAnsi="Times New Roman"/>
              </w:rPr>
              <w:t>многоквартирных домов</w:t>
            </w:r>
            <w:r w:rsidRPr="00FF6DF6">
              <w:rPr>
                <w:rFonts w:ascii="Times New Roman" w:hAnsi="Times New Roman"/>
                <w:lang w:eastAsia="en-US"/>
              </w:rPr>
              <w:t>;</w:t>
            </w:r>
          </w:p>
          <w:p w:rsidR="004616EA" w:rsidRPr="00FF6DF6" w:rsidRDefault="004616EA" w:rsidP="00FA0564">
            <w:pPr>
              <w:pStyle w:val="a7"/>
              <w:tabs>
                <w:tab w:val="left" w:pos="601"/>
              </w:tabs>
              <w:spacing w:after="0" w:line="240" w:lineRule="auto"/>
              <w:ind w:left="0"/>
              <w:jc w:val="both"/>
              <w:rPr>
                <w:rFonts w:ascii="Times New Roman" w:hAnsi="Times New Roman"/>
                <w:lang w:eastAsia="en-US"/>
              </w:rPr>
            </w:pPr>
            <w:r w:rsidRPr="00FF6DF6">
              <w:rPr>
                <w:rFonts w:ascii="Times New Roman" w:hAnsi="Times New Roman"/>
                <w:lang w:eastAsia="en-US"/>
              </w:rPr>
              <w:t>П</w:t>
            </w:r>
            <w:r w:rsidRPr="00FF6DF6">
              <w:rPr>
                <w:rFonts w:ascii="Times New Roman" w:hAnsi="Times New Roman"/>
              </w:rPr>
              <w:t>ривлечение долгосрочных частных инвестиций</w:t>
            </w:r>
            <w:r w:rsidRPr="00FF6DF6">
              <w:rPr>
                <w:rFonts w:ascii="Times New Roman" w:hAnsi="Times New Roman"/>
                <w:lang w:eastAsia="en-US"/>
              </w:rPr>
              <w:t>;</w:t>
            </w:r>
          </w:p>
          <w:p w:rsidR="004616EA" w:rsidRPr="00FF6DF6" w:rsidRDefault="004616EA" w:rsidP="00FA0564">
            <w:pPr>
              <w:pStyle w:val="a7"/>
              <w:tabs>
                <w:tab w:val="left" w:pos="601"/>
              </w:tabs>
              <w:spacing w:after="0" w:line="240" w:lineRule="auto"/>
              <w:ind w:left="0"/>
              <w:jc w:val="both"/>
              <w:rPr>
                <w:rFonts w:ascii="Times New Roman" w:hAnsi="Times New Roman"/>
              </w:rPr>
            </w:pPr>
            <w:r w:rsidRPr="00FF6DF6">
              <w:rPr>
                <w:rFonts w:ascii="Times New Roman" w:hAnsi="Times New Roman"/>
                <w:lang w:eastAsia="en-US"/>
              </w:rPr>
              <w:t>О</w:t>
            </w:r>
            <w:r w:rsidRPr="00FF6DF6">
              <w:rPr>
                <w:rFonts w:ascii="Times New Roman" w:hAnsi="Times New Roman"/>
              </w:rPr>
              <w:t>беспечение реализации Программы</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97 056,41</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Окружной бюджет, местный бюджет, внебюджетные источники</w:t>
            </w:r>
          </w:p>
        </w:tc>
        <w:tc>
          <w:tcPr>
            <w:tcW w:w="1655" w:type="pct"/>
            <w:vAlign w:val="center"/>
          </w:tcPr>
          <w:p w:rsidR="004616EA" w:rsidRPr="00FF6DF6" w:rsidRDefault="004616EA" w:rsidP="00FA0564">
            <w:pPr>
              <w:pStyle w:val="a7"/>
              <w:tabs>
                <w:tab w:val="left" w:pos="346"/>
              </w:tabs>
              <w:autoSpaceDE w:val="0"/>
              <w:autoSpaceDN w:val="0"/>
              <w:adjustRightInd w:val="0"/>
              <w:spacing w:after="0" w:line="240" w:lineRule="auto"/>
              <w:ind w:left="0"/>
              <w:jc w:val="both"/>
              <w:rPr>
                <w:rFonts w:ascii="Times New Roman" w:hAnsi="Times New Roman"/>
              </w:rPr>
            </w:pPr>
            <w:r w:rsidRPr="00FF6DF6">
              <w:rPr>
                <w:rFonts w:ascii="Times New Roman" w:hAnsi="Times New Roman"/>
              </w:rPr>
              <w:t>Протяженность ветхих инженерных сетей теплоснабжения, нуждающихся в замене – 6,6 км;</w:t>
            </w:r>
          </w:p>
          <w:p w:rsidR="004616EA" w:rsidRPr="00FF6DF6" w:rsidRDefault="004616EA" w:rsidP="00FA0564">
            <w:pPr>
              <w:pStyle w:val="a7"/>
              <w:tabs>
                <w:tab w:val="left" w:pos="346"/>
              </w:tabs>
              <w:autoSpaceDE w:val="0"/>
              <w:autoSpaceDN w:val="0"/>
              <w:adjustRightInd w:val="0"/>
              <w:spacing w:after="0" w:line="240" w:lineRule="auto"/>
              <w:ind w:left="0"/>
              <w:jc w:val="both"/>
              <w:rPr>
                <w:rFonts w:ascii="Times New Roman" w:hAnsi="Times New Roman"/>
              </w:rPr>
            </w:pPr>
            <w:r w:rsidRPr="00FF6DF6">
              <w:rPr>
                <w:rFonts w:ascii="Times New Roman" w:hAnsi="Times New Roman"/>
              </w:rPr>
              <w:t>Протяженность ветхих инженерных сетей водоснабжения, нуждающихся в замене – отсутствие ветхих сетей;</w:t>
            </w:r>
          </w:p>
          <w:p w:rsidR="004616EA" w:rsidRPr="00FF6DF6" w:rsidRDefault="004616EA" w:rsidP="00FA0564">
            <w:pPr>
              <w:pStyle w:val="a7"/>
              <w:tabs>
                <w:tab w:val="left" w:pos="346"/>
              </w:tabs>
              <w:autoSpaceDE w:val="0"/>
              <w:autoSpaceDN w:val="0"/>
              <w:adjustRightInd w:val="0"/>
              <w:spacing w:after="0" w:line="240" w:lineRule="auto"/>
              <w:ind w:left="0"/>
              <w:jc w:val="both"/>
              <w:rPr>
                <w:rFonts w:ascii="Times New Roman" w:hAnsi="Times New Roman"/>
              </w:rPr>
            </w:pPr>
            <w:r w:rsidRPr="00FF6DF6">
              <w:rPr>
                <w:rFonts w:ascii="Times New Roman" w:hAnsi="Times New Roman"/>
              </w:rPr>
              <w:t>Обеспечение хранения материально-технических ресурсов и строительных материалов для оперативного устранения неисправностей и аварий на объектах жилищно-коммунального хозяйства города Когалыма – 100%;</w:t>
            </w:r>
          </w:p>
          <w:p w:rsidR="004616EA" w:rsidRPr="00FF6DF6" w:rsidRDefault="004616EA" w:rsidP="00FA0564">
            <w:pPr>
              <w:pStyle w:val="a7"/>
              <w:tabs>
                <w:tab w:val="left" w:pos="346"/>
              </w:tabs>
              <w:autoSpaceDE w:val="0"/>
              <w:autoSpaceDN w:val="0"/>
              <w:adjustRightInd w:val="0"/>
              <w:spacing w:after="0" w:line="240" w:lineRule="auto"/>
              <w:ind w:left="0"/>
              <w:jc w:val="both"/>
              <w:rPr>
                <w:rFonts w:ascii="Times New Roman" w:hAnsi="Times New Roman"/>
              </w:rPr>
            </w:pPr>
            <w:r w:rsidRPr="00FF6DF6">
              <w:rPr>
                <w:rFonts w:ascii="Times New Roman" w:hAnsi="Times New Roman"/>
              </w:rPr>
              <w:t>Увеличение мощности КОС – 1 очередь (ПИР) – 22500 куб. м. в сутки;</w:t>
            </w:r>
          </w:p>
          <w:p w:rsidR="004616EA" w:rsidRPr="00FF6DF6" w:rsidRDefault="004616EA" w:rsidP="00FA0564">
            <w:pPr>
              <w:pStyle w:val="a7"/>
              <w:tabs>
                <w:tab w:val="left" w:pos="346"/>
              </w:tabs>
              <w:autoSpaceDE w:val="0"/>
              <w:autoSpaceDN w:val="0"/>
              <w:adjustRightInd w:val="0"/>
              <w:spacing w:after="0" w:line="240" w:lineRule="auto"/>
              <w:ind w:left="0"/>
              <w:jc w:val="both"/>
              <w:rPr>
                <w:rFonts w:ascii="Times New Roman" w:hAnsi="Times New Roman"/>
              </w:rPr>
            </w:pPr>
            <w:r w:rsidRPr="00FF6DF6">
              <w:rPr>
                <w:rFonts w:ascii="Times New Roman" w:hAnsi="Times New Roman"/>
              </w:rPr>
              <w:t xml:space="preserve">Уменьшение площади </w:t>
            </w:r>
            <w:r w:rsidRPr="00FF6DF6">
              <w:rPr>
                <w:rFonts w:ascii="Times New Roman" w:hAnsi="Times New Roman"/>
                <w:lang w:eastAsia="en-US"/>
              </w:rPr>
              <w:t>внутриквартальных территорий (придомовых территорий) и проездов, подлежащей благоустройству до 161,7 тыс. кв. м;</w:t>
            </w:r>
          </w:p>
          <w:p w:rsidR="004616EA" w:rsidRPr="00FF6DF6" w:rsidRDefault="004616EA" w:rsidP="00FA0564">
            <w:pPr>
              <w:pStyle w:val="a7"/>
              <w:tabs>
                <w:tab w:val="left" w:pos="346"/>
              </w:tabs>
              <w:autoSpaceDE w:val="0"/>
              <w:autoSpaceDN w:val="0"/>
              <w:adjustRightInd w:val="0"/>
              <w:spacing w:after="0" w:line="240" w:lineRule="auto"/>
              <w:ind w:left="0"/>
              <w:jc w:val="both"/>
              <w:rPr>
                <w:rFonts w:ascii="Times New Roman" w:hAnsi="Times New Roman"/>
              </w:rPr>
            </w:pPr>
            <w:r w:rsidRPr="00FF6DF6">
              <w:rPr>
                <w:rFonts w:ascii="Times New Roman" w:hAnsi="Times New Roman"/>
                <w:lang w:eastAsia="en-US"/>
              </w:rPr>
              <w:t>Окраска фасадов многоквартирных домов в городе Когалыме – 25 домов;</w:t>
            </w:r>
          </w:p>
          <w:p w:rsidR="004616EA" w:rsidRPr="00FF6DF6" w:rsidRDefault="004616EA" w:rsidP="00FA0564">
            <w:pPr>
              <w:pStyle w:val="a7"/>
              <w:tabs>
                <w:tab w:val="left" w:pos="346"/>
              </w:tabs>
              <w:autoSpaceDE w:val="0"/>
              <w:autoSpaceDN w:val="0"/>
              <w:adjustRightInd w:val="0"/>
              <w:spacing w:after="0" w:line="240" w:lineRule="auto"/>
              <w:ind w:left="0"/>
              <w:jc w:val="both"/>
              <w:rPr>
                <w:rFonts w:ascii="Times New Roman" w:hAnsi="Times New Roman"/>
              </w:rPr>
            </w:pPr>
            <w:r w:rsidRPr="00FF6DF6">
              <w:rPr>
                <w:rFonts w:ascii="Times New Roman" w:hAnsi="Times New Roman"/>
                <w:lang w:eastAsia="en-US"/>
              </w:rPr>
              <w:t>Утверждение схемы водоснабжения, водоотведения в соответствии с требованиями, установленными Правительством РФ, 1единица</w:t>
            </w:r>
          </w:p>
          <w:p w:rsidR="004616EA" w:rsidRPr="00475E67" w:rsidRDefault="004616EA" w:rsidP="00FA0564">
            <w:pPr>
              <w:spacing w:after="0" w:line="240" w:lineRule="auto"/>
              <w:rPr>
                <w:rFonts w:ascii="Times New Roman" w:hAnsi="Times New Roman"/>
                <w:sz w:val="20"/>
                <w:szCs w:val="20"/>
                <w:lang w:eastAsia="ru-RU"/>
              </w:rPr>
            </w:pPr>
          </w:p>
        </w:tc>
      </w:tr>
      <w:tr w:rsidR="004616EA" w:rsidRPr="00475E67" w:rsidTr="00F30319">
        <w:trPr>
          <w:trHeight w:val="410"/>
        </w:trPr>
        <w:tc>
          <w:tcPr>
            <w:tcW w:w="820" w:type="pct"/>
            <w:vAlign w:val="center"/>
          </w:tcPr>
          <w:p w:rsidR="004616EA" w:rsidRPr="00392B97" w:rsidRDefault="004616EA" w:rsidP="00FA0564">
            <w:pPr>
              <w:pStyle w:val="ConsPlusTitle"/>
              <w:widowControl/>
              <w:jc w:val="center"/>
              <w:outlineLvl w:val="0"/>
              <w:rPr>
                <w:b w:val="0"/>
                <w:bCs w:val="0"/>
                <w:sz w:val="20"/>
                <w:szCs w:val="20"/>
                <w:lang w:eastAsia="en-US"/>
              </w:rPr>
            </w:pPr>
            <w:bookmarkStart w:id="282" w:name="_Toc396945877"/>
            <w:bookmarkStart w:id="283" w:name="_Toc397081556"/>
            <w:bookmarkStart w:id="284" w:name="_Toc400983682"/>
            <w:bookmarkStart w:id="285" w:name="_Toc401048588"/>
            <w:bookmarkStart w:id="286" w:name="_Toc403463500"/>
            <w:bookmarkStart w:id="287" w:name="_Toc405566065"/>
            <w:bookmarkStart w:id="288" w:name="_Toc405805548"/>
            <w:r w:rsidRPr="00392B97">
              <w:rPr>
                <w:b w:val="0"/>
                <w:bCs w:val="0"/>
                <w:sz w:val="20"/>
                <w:szCs w:val="20"/>
                <w:lang w:eastAsia="en-US"/>
              </w:rPr>
              <w:t>10. «Поддержка развития институтов гражданского</w:t>
            </w:r>
            <w:bookmarkEnd w:id="282"/>
            <w:bookmarkEnd w:id="283"/>
            <w:bookmarkEnd w:id="284"/>
            <w:bookmarkEnd w:id="285"/>
            <w:bookmarkEnd w:id="286"/>
            <w:bookmarkEnd w:id="287"/>
            <w:bookmarkEnd w:id="288"/>
          </w:p>
          <w:p w:rsidR="004616EA" w:rsidRPr="00392B97" w:rsidRDefault="004616EA" w:rsidP="00FA0564">
            <w:pPr>
              <w:pStyle w:val="ConsPlusTitle"/>
              <w:widowControl/>
              <w:jc w:val="center"/>
              <w:outlineLvl w:val="0"/>
              <w:rPr>
                <w:b w:val="0"/>
                <w:bCs w:val="0"/>
                <w:sz w:val="20"/>
                <w:szCs w:val="20"/>
                <w:lang w:eastAsia="en-US"/>
              </w:rPr>
            </w:pPr>
            <w:bookmarkStart w:id="289" w:name="_Toc396945878"/>
            <w:bookmarkStart w:id="290" w:name="_Toc397081557"/>
            <w:bookmarkStart w:id="291" w:name="_Toc400983683"/>
            <w:bookmarkStart w:id="292" w:name="_Toc401048589"/>
            <w:bookmarkStart w:id="293" w:name="_Toc403463501"/>
            <w:bookmarkStart w:id="294" w:name="_Toc405566066"/>
            <w:bookmarkStart w:id="295" w:name="_Toc405805549"/>
            <w:r w:rsidRPr="00392B97">
              <w:rPr>
                <w:b w:val="0"/>
                <w:bCs w:val="0"/>
                <w:sz w:val="20"/>
                <w:szCs w:val="20"/>
                <w:lang w:eastAsia="en-US"/>
              </w:rPr>
              <w:t>общества города Когалыма на 2014 - 2016 годы»</w:t>
            </w:r>
            <w:bookmarkEnd w:id="289"/>
            <w:bookmarkEnd w:id="290"/>
            <w:bookmarkEnd w:id="291"/>
            <w:bookmarkEnd w:id="292"/>
            <w:bookmarkEnd w:id="293"/>
            <w:bookmarkEnd w:id="294"/>
            <w:bookmarkEnd w:id="295"/>
          </w:p>
          <w:p w:rsidR="004616EA" w:rsidRPr="00475E67" w:rsidRDefault="004616EA" w:rsidP="00FA0564">
            <w:pPr>
              <w:spacing w:before="24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02.10.2013 №2811</w:t>
            </w:r>
          </w:p>
          <w:p w:rsidR="004616EA" w:rsidRPr="00392B97" w:rsidRDefault="004616EA" w:rsidP="008E5F38">
            <w:pPr>
              <w:spacing w:after="0" w:line="240" w:lineRule="auto"/>
              <w:jc w:val="center"/>
              <w:rPr>
                <w:rFonts w:ascii="Times New Roman" w:hAnsi="Times New Roman"/>
                <w:sz w:val="20"/>
                <w:szCs w:val="20"/>
              </w:rPr>
            </w:pPr>
            <w:r w:rsidRPr="00392B97">
              <w:rPr>
                <w:rFonts w:ascii="Times New Roman" w:hAnsi="Times New Roman"/>
                <w:sz w:val="20"/>
                <w:szCs w:val="20"/>
              </w:rPr>
              <w:t>(в ред. от</w:t>
            </w:r>
          </w:p>
          <w:p w:rsidR="004616EA" w:rsidRPr="00392B97" w:rsidRDefault="004616EA" w:rsidP="00FA0564">
            <w:pPr>
              <w:spacing w:after="0" w:line="240" w:lineRule="auto"/>
              <w:jc w:val="center"/>
              <w:rPr>
                <w:rFonts w:ascii="Times New Roman" w:hAnsi="Times New Roman"/>
                <w:sz w:val="20"/>
                <w:szCs w:val="20"/>
              </w:rPr>
            </w:pPr>
            <w:r w:rsidRPr="006E01A0">
              <w:rPr>
                <w:rFonts w:ascii="Times New Roman" w:hAnsi="Times New Roman"/>
                <w:sz w:val="20"/>
                <w:szCs w:val="20"/>
              </w:rPr>
              <w:t>09.09. 2014 г.  №2279)</w:t>
            </w:r>
          </w:p>
        </w:tc>
        <w:tc>
          <w:tcPr>
            <w:tcW w:w="1391" w:type="pct"/>
            <w:vAlign w:val="center"/>
          </w:tcPr>
          <w:p w:rsidR="004616EA" w:rsidRPr="00475E67" w:rsidRDefault="004616EA" w:rsidP="00FA0564">
            <w:pPr>
              <w:pStyle w:val="ConsPlusCell"/>
              <w:tabs>
                <w:tab w:val="left" w:pos="317"/>
              </w:tabs>
              <w:rPr>
                <w:i/>
                <w:sz w:val="20"/>
                <w:szCs w:val="20"/>
                <w:u w:val="single"/>
              </w:rPr>
            </w:pPr>
            <w:r w:rsidRPr="00475E67">
              <w:rPr>
                <w:i/>
                <w:sz w:val="20"/>
                <w:szCs w:val="20"/>
                <w:u w:val="single"/>
              </w:rPr>
              <w:t>Цели:</w:t>
            </w:r>
          </w:p>
          <w:p w:rsidR="004616EA" w:rsidRPr="00475E67" w:rsidRDefault="004616EA" w:rsidP="00FA0564">
            <w:pPr>
              <w:pStyle w:val="ConsPlusCell"/>
              <w:tabs>
                <w:tab w:val="left" w:pos="459"/>
              </w:tabs>
              <w:jc w:val="both"/>
              <w:rPr>
                <w:sz w:val="20"/>
                <w:szCs w:val="20"/>
              </w:rPr>
            </w:pPr>
            <w:r w:rsidRPr="00475E67">
              <w:rPr>
                <w:sz w:val="20"/>
                <w:szCs w:val="20"/>
              </w:rPr>
              <w:t>Обеспечение эффективности и финансовой устойчивости социально ориентированных некоммерческих организаций;</w:t>
            </w:r>
          </w:p>
          <w:p w:rsidR="004616EA" w:rsidRPr="00475E67" w:rsidRDefault="004616EA" w:rsidP="00FA0564">
            <w:pPr>
              <w:pStyle w:val="ConsPlusCell"/>
              <w:tabs>
                <w:tab w:val="left" w:pos="459"/>
              </w:tabs>
              <w:jc w:val="both"/>
              <w:rPr>
                <w:sz w:val="20"/>
                <w:szCs w:val="20"/>
              </w:rPr>
            </w:pPr>
            <w:r w:rsidRPr="00475E67">
              <w:rPr>
                <w:sz w:val="20"/>
                <w:szCs w:val="20"/>
              </w:rPr>
              <w:t xml:space="preserve">Обеспечение реализации конституционных прав граждан на получение своевременной, достоверной, полной и разносторонней информации о деятельности структурных подразделений Администрации города Когалыма </w:t>
            </w:r>
          </w:p>
          <w:p w:rsidR="004616EA" w:rsidRPr="00475E67" w:rsidRDefault="004616EA" w:rsidP="00FA0564">
            <w:pPr>
              <w:pStyle w:val="ConsPlusCell"/>
              <w:tabs>
                <w:tab w:val="left" w:pos="317"/>
              </w:tabs>
              <w:rPr>
                <w:i/>
                <w:sz w:val="20"/>
                <w:szCs w:val="20"/>
                <w:u w:val="single"/>
              </w:rPr>
            </w:pPr>
            <w:r w:rsidRPr="00475E67">
              <w:rPr>
                <w:i/>
                <w:sz w:val="20"/>
                <w:szCs w:val="20"/>
                <w:u w:val="single"/>
              </w:rPr>
              <w:t>Задачи:</w:t>
            </w:r>
          </w:p>
          <w:p w:rsidR="004616EA" w:rsidRPr="00475E67" w:rsidRDefault="004616EA" w:rsidP="00FA0564">
            <w:pPr>
              <w:pStyle w:val="ConsPlusCell"/>
              <w:tabs>
                <w:tab w:val="left" w:pos="459"/>
              </w:tabs>
              <w:jc w:val="both"/>
              <w:rPr>
                <w:sz w:val="20"/>
                <w:szCs w:val="20"/>
              </w:rPr>
            </w:pPr>
            <w:r w:rsidRPr="00475E67">
              <w:rPr>
                <w:sz w:val="20"/>
                <w:szCs w:val="20"/>
              </w:rPr>
              <w:t>Обеспечение прозрачной и конкурентной системы муниципальной поддержки социально ориентированных некоммерческих организаций;</w:t>
            </w:r>
          </w:p>
          <w:p w:rsidR="004616EA" w:rsidRPr="00475E67" w:rsidRDefault="004616EA" w:rsidP="00FA0564">
            <w:pPr>
              <w:pStyle w:val="ConsPlusCell"/>
              <w:tabs>
                <w:tab w:val="left" w:pos="459"/>
              </w:tabs>
              <w:jc w:val="both"/>
              <w:rPr>
                <w:sz w:val="20"/>
                <w:szCs w:val="20"/>
              </w:rPr>
            </w:pPr>
            <w:r w:rsidRPr="00475E67">
              <w:rPr>
                <w:sz w:val="20"/>
                <w:szCs w:val="20"/>
              </w:rPr>
              <w:t>Распространение лучших практик социально ориентированных некоммерческих организаций;</w:t>
            </w:r>
          </w:p>
          <w:p w:rsidR="004616EA" w:rsidRPr="00475E67" w:rsidRDefault="004616EA" w:rsidP="00FA0564">
            <w:pPr>
              <w:spacing w:after="0" w:line="240" w:lineRule="auto"/>
              <w:rPr>
                <w:rFonts w:ascii="Times New Roman" w:hAnsi="Times New Roman"/>
                <w:sz w:val="20"/>
                <w:szCs w:val="20"/>
                <w:lang w:eastAsia="ru-RU"/>
              </w:rPr>
            </w:pPr>
            <w:r w:rsidRPr="006E01A0">
              <w:rPr>
                <w:rFonts w:ascii="Times New Roman" w:hAnsi="Times New Roman"/>
                <w:sz w:val="20"/>
                <w:szCs w:val="20"/>
                <w:lang w:eastAsia="ru-RU"/>
              </w:rPr>
              <w:t>Информационно-аналитическое обеспечение</w:t>
            </w:r>
            <w:r w:rsidRPr="00475E67">
              <w:rPr>
                <w:sz w:val="20"/>
                <w:szCs w:val="20"/>
              </w:rPr>
              <w:t xml:space="preserve"> </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392B97">
              <w:rPr>
                <w:rFonts w:ascii="Times New Roman" w:hAnsi="Times New Roman"/>
                <w:sz w:val="20"/>
                <w:szCs w:val="20"/>
              </w:rPr>
              <w:t>74 747, 40 тыс. рублей</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Местный бюджет</w:t>
            </w:r>
          </w:p>
        </w:tc>
        <w:tc>
          <w:tcPr>
            <w:tcW w:w="1655" w:type="pct"/>
            <w:vAlign w:val="center"/>
          </w:tcPr>
          <w:p w:rsidR="004616EA" w:rsidRPr="00475E67" w:rsidRDefault="004616EA" w:rsidP="00FA0564">
            <w:pPr>
              <w:pStyle w:val="ConsPlusCell"/>
              <w:jc w:val="both"/>
              <w:rPr>
                <w:sz w:val="20"/>
                <w:szCs w:val="20"/>
              </w:rPr>
            </w:pPr>
            <w:r w:rsidRPr="00475E67">
              <w:rPr>
                <w:sz w:val="20"/>
                <w:szCs w:val="20"/>
              </w:rPr>
              <w:t>Повышение уровня гражданской активности населения города Когалыма;</w:t>
            </w:r>
          </w:p>
          <w:p w:rsidR="004616EA" w:rsidRPr="00475E67" w:rsidRDefault="004616EA" w:rsidP="00FA0564">
            <w:pPr>
              <w:pStyle w:val="ConsPlusCell"/>
              <w:jc w:val="both"/>
              <w:rPr>
                <w:sz w:val="20"/>
                <w:szCs w:val="20"/>
              </w:rPr>
            </w:pPr>
            <w:r w:rsidRPr="00475E67">
              <w:rPr>
                <w:sz w:val="20"/>
                <w:szCs w:val="20"/>
              </w:rPr>
              <w:t>Повышение уровня информированности населения о деятельности общественных объединений города Когалыма;</w:t>
            </w:r>
          </w:p>
          <w:p w:rsidR="004616EA" w:rsidRPr="00475E67" w:rsidRDefault="004616EA" w:rsidP="00FA0564">
            <w:pPr>
              <w:pStyle w:val="ConsPlusCell"/>
              <w:jc w:val="both"/>
              <w:rPr>
                <w:sz w:val="20"/>
                <w:szCs w:val="20"/>
              </w:rPr>
            </w:pPr>
            <w:r w:rsidRPr="00475E67">
              <w:rPr>
                <w:sz w:val="20"/>
                <w:szCs w:val="20"/>
              </w:rPr>
              <w:t>Повышение уровня информированности населения о деятельности Администрации города Когалыма;</w:t>
            </w:r>
          </w:p>
          <w:p w:rsidR="004616EA" w:rsidRPr="00475E67" w:rsidRDefault="004616EA" w:rsidP="00FA0564">
            <w:pPr>
              <w:pStyle w:val="ConsPlusCell"/>
              <w:jc w:val="both"/>
              <w:rPr>
                <w:sz w:val="20"/>
                <w:szCs w:val="20"/>
              </w:rPr>
            </w:pPr>
            <w:r w:rsidRPr="00475E67">
              <w:rPr>
                <w:sz w:val="20"/>
                <w:szCs w:val="20"/>
              </w:rPr>
              <w:t>Увеличение процента населения, удовлетворённого информационной открытостью Администрации города Когалыма;</w:t>
            </w:r>
          </w:p>
          <w:p w:rsidR="004616EA" w:rsidRPr="00475E67" w:rsidRDefault="004616EA" w:rsidP="00FA0564">
            <w:pPr>
              <w:spacing w:after="0" w:line="240" w:lineRule="auto"/>
              <w:jc w:val="both"/>
              <w:rPr>
                <w:rFonts w:ascii="Times New Roman" w:hAnsi="Times New Roman"/>
                <w:sz w:val="20"/>
                <w:szCs w:val="20"/>
                <w:lang w:eastAsia="ru-RU"/>
              </w:rPr>
            </w:pPr>
          </w:p>
        </w:tc>
      </w:tr>
    </w:tbl>
    <w:p w:rsidR="004616EA" w:rsidRDefault="004616EA">
      <w:pPr>
        <w:sectPr w:rsidR="004616EA" w:rsidSect="002D3BE6">
          <w:type w:val="continuous"/>
          <w:pgSz w:w="16838" w:h="11906" w:orient="landscape"/>
          <w:pgMar w:top="2552" w:right="567" w:bottom="567"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12"/>
        <w:gridCol w:w="4430"/>
        <w:gridCol w:w="1774"/>
        <w:gridCol w:w="1834"/>
        <w:gridCol w:w="5270"/>
      </w:tblGrid>
      <w:tr w:rsidR="004616EA" w:rsidRPr="00475E67" w:rsidTr="00F30319">
        <w:trPr>
          <w:trHeight w:val="410"/>
        </w:trPr>
        <w:tc>
          <w:tcPr>
            <w:tcW w:w="820" w:type="pct"/>
            <w:vAlign w:val="center"/>
          </w:tcPr>
          <w:p w:rsidR="004616EA" w:rsidRPr="00392B97" w:rsidRDefault="004616EA" w:rsidP="00FA0564">
            <w:pPr>
              <w:pStyle w:val="ConsPlusTitle"/>
              <w:widowControl/>
              <w:jc w:val="center"/>
              <w:outlineLvl w:val="0"/>
              <w:rPr>
                <w:b w:val="0"/>
                <w:bCs w:val="0"/>
                <w:sz w:val="20"/>
                <w:szCs w:val="20"/>
                <w:lang w:eastAsia="en-US"/>
              </w:rPr>
            </w:pPr>
          </w:p>
        </w:tc>
        <w:tc>
          <w:tcPr>
            <w:tcW w:w="1391" w:type="pct"/>
            <w:vAlign w:val="center"/>
          </w:tcPr>
          <w:p w:rsidR="004616EA" w:rsidRPr="00475E67" w:rsidRDefault="004616EA" w:rsidP="00FA0564">
            <w:pPr>
              <w:pStyle w:val="ConsPlusCell"/>
              <w:tabs>
                <w:tab w:val="left" w:pos="317"/>
              </w:tabs>
              <w:rPr>
                <w:i/>
                <w:sz w:val="20"/>
                <w:szCs w:val="20"/>
                <w:u w:val="single"/>
              </w:rPr>
            </w:pPr>
            <w:r w:rsidRPr="00475E67">
              <w:rPr>
                <w:sz w:val="20"/>
                <w:szCs w:val="20"/>
              </w:rPr>
              <w:t>деятельности структурных подразделений Администрации города Когалыма</w:t>
            </w:r>
          </w:p>
        </w:tc>
        <w:tc>
          <w:tcPr>
            <w:tcW w:w="557" w:type="pct"/>
            <w:vAlign w:val="center"/>
          </w:tcPr>
          <w:p w:rsidR="004616EA" w:rsidRPr="00392B97" w:rsidRDefault="004616EA" w:rsidP="00FA0564">
            <w:pPr>
              <w:spacing w:after="0" w:line="240" w:lineRule="auto"/>
              <w:jc w:val="center"/>
              <w:rPr>
                <w:rFonts w:ascii="Times New Roman" w:hAnsi="Times New Roman"/>
                <w:sz w:val="20"/>
                <w:szCs w:val="20"/>
              </w:rPr>
            </w:pP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p>
        </w:tc>
        <w:tc>
          <w:tcPr>
            <w:tcW w:w="1655" w:type="pct"/>
            <w:vAlign w:val="center"/>
          </w:tcPr>
          <w:p w:rsidR="004616EA" w:rsidRPr="00475E67" w:rsidRDefault="004616EA" w:rsidP="00FA0564">
            <w:pPr>
              <w:pStyle w:val="ConsPlusCell"/>
              <w:jc w:val="both"/>
              <w:rPr>
                <w:sz w:val="20"/>
                <w:szCs w:val="20"/>
              </w:rPr>
            </w:pPr>
          </w:p>
        </w:tc>
      </w:tr>
      <w:tr w:rsidR="004616EA" w:rsidRPr="00475E67" w:rsidTr="00F30319">
        <w:trPr>
          <w:trHeight w:val="3103"/>
        </w:trPr>
        <w:tc>
          <w:tcPr>
            <w:tcW w:w="820" w:type="pct"/>
            <w:vAlign w:val="center"/>
          </w:tcPr>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lang w:eastAsia="ru-RU"/>
              </w:rPr>
              <w:t xml:space="preserve">11. </w:t>
            </w:r>
            <w:r w:rsidRPr="00475E67">
              <w:rPr>
                <w:rFonts w:ascii="Times New Roman" w:hAnsi="Times New Roman"/>
                <w:sz w:val="20"/>
                <w:szCs w:val="20"/>
              </w:rPr>
              <w:t>«Развитие культуры в городе Когалыме</w:t>
            </w:r>
          </w:p>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rPr>
              <w:t>на 2014-2016 годы»</w:t>
            </w:r>
          </w:p>
          <w:p w:rsidR="004616EA" w:rsidRPr="00475E67" w:rsidRDefault="004616EA" w:rsidP="00FA0564">
            <w:pPr>
              <w:spacing w:before="240" w:after="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15.10.2013 №2932</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18.04.2014 №853)</w:t>
            </w:r>
          </w:p>
        </w:tc>
        <w:tc>
          <w:tcPr>
            <w:tcW w:w="1391" w:type="pct"/>
            <w:vAlign w:val="center"/>
          </w:tcPr>
          <w:p w:rsidR="004616EA" w:rsidRPr="00475E67" w:rsidRDefault="004616EA" w:rsidP="00FA0564">
            <w:pPr>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Цели:</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Сохранение и популяризация культурного наследия города Когалыма, повышение качества услуг, предоставляемых в области библиотечного, музейного и архивного дела;</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Обеспечение прав граждан на участие в культурной жизни, реализация творческого потенциала жителей города Когалыма;</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Повышение эффективности муниципального управления в культуре и архивном деле города Когалыма</w:t>
            </w:r>
          </w:p>
          <w:p w:rsidR="004616EA" w:rsidRPr="00475E67" w:rsidRDefault="004616EA" w:rsidP="00FA0564">
            <w:pPr>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 xml:space="preserve"> Задачи:</w:t>
            </w:r>
          </w:p>
          <w:p w:rsidR="004616EA" w:rsidRPr="00FF6DF6" w:rsidRDefault="004616EA" w:rsidP="00FA0564">
            <w:pPr>
              <w:pStyle w:val="a7"/>
              <w:tabs>
                <w:tab w:val="left" w:pos="0"/>
                <w:tab w:val="left" w:pos="3542"/>
              </w:tabs>
              <w:spacing w:after="0" w:line="240" w:lineRule="auto"/>
              <w:ind w:left="0"/>
              <w:jc w:val="both"/>
              <w:rPr>
                <w:rFonts w:ascii="Times New Roman" w:hAnsi="Times New Roman"/>
                <w:lang w:eastAsia="en-US"/>
              </w:rPr>
            </w:pPr>
            <w:r w:rsidRPr="00FF6DF6">
              <w:rPr>
                <w:rFonts w:ascii="Times New Roman" w:hAnsi="Times New Roman"/>
                <w:lang w:eastAsia="en-US"/>
              </w:rPr>
              <w:t>Создание условий для модернизационного развития общедоступных библиотек и архива города Когалыма;</w:t>
            </w:r>
          </w:p>
          <w:p w:rsidR="004616EA" w:rsidRPr="00FF6DF6" w:rsidRDefault="004616EA" w:rsidP="00FA0564">
            <w:pPr>
              <w:pStyle w:val="a7"/>
              <w:tabs>
                <w:tab w:val="left" w:pos="0"/>
                <w:tab w:val="left" w:pos="3542"/>
              </w:tabs>
              <w:spacing w:after="0" w:line="240" w:lineRule="auto"/>
              <w:ind w:left="0"/>
              <w:jc w:val="both"/>
              <w:rPr>
                <w:rFonts w:ascii="Times New Roman" w:hAnsi="Times New Roman"/>
                <w:lang w:eastAsia="en-US"/>
              </w:rPr>
            </w:pPr>
            <w:r w:rsidRPr="00FF6DF6">
              <w:rPr>
                <w:rFonts w:ascii="Times New Roman" w:hAnsi="Times New Roman"/>
                <w:lang w:eastAsia="en-US"/>
              </w:rPr>
              <w:t>Развитие музейного дела и удовлетворение потребности населения в предоставлении доступа к культурным ценностям;</w:t>
            </w:r>
          </w:p>
          <w:p w:rsidR="004616EA" w:rsidRPr="00FF6DF6" w:rsidRDefault="004616EA" w:rsidP="00FA0564">
            <w:pPr>
              <w:pStyle w:val="a7"/>
              <w:tabs>
                <w:tab w:val="left" w:pos="0"/>
                <w:tab w:val="left" w:pos="3542"/>
              </w:tabs>
              <w:spacing w:after="0" w:line="240" w:lineRule="auto"/>
              <w:ind w:left="0"/>
              <w:jc w:val="both"/>
              <w:rPr>
                <w:rFonts w:ascii="Times New Roman" w:hAnsi="Times New Roman"/>
                <w:lang w:eastAsia="en-US"/>
              </w:rPr>
            </w:pPr>
            <w:r w:rsidRPr="00FF6DF6">
              <w:rPr>
                <w:rFonts w:ascii="Times New Roman" w:hAnsi="Times New Roman"/>
                <w:lang w:eastAsia="en-US"/>
              </w:rPr>
              <w:t>Укрепление материально-технической базы учреждений культуры города Когалыма;</w:t>
            </w:r>
          </w:p>
          <w:p w:rsidR="004616EA" w:rsidRPr="00FF6DF6" w:rsidRDefault="004616EA" w:rsidP="00FA0564">
            <w:pPr>
              <w:pStyle w:val="a7"/>
              <w:tabs>
                <w:tab w:val="left" w:pos="0"/>
                <w:tab w:val="left" w:pos="3542"/>
              </w:tabs>
              <w:spacing w:after="0" w:line="240" w:lineRule="auto"/>
              <w:ind w:left="0"/>
              <w:jc w:val="both"/>
              <w:rPr>
                <w:rFonts w:ascii="Times New Roman" w:hAnsi="Times New Roman"/>
                <w:lang w:eastAsia="en-US"/>
              </w:rPr>
            </w:pPr>
            <w:r w:rsidRPr="00FF6DF6">
              <w:rPr>
                <w:rFonts w:ascii="Times New Roman" w:hAnsi="Times New Roman"/>
                <w:lang w:eastAsia="en-US"/>
              </w:rPr>
              <w:t>Создание благоприятных условий для организации культурного досуга населения, развития художественно-творческой деятельности в городе Когалыме;</w:t>
            </w:r>
          </w:p>
          <w:p w:rsidR="004616EA" w:rsidRPr="00FF6DF6" w:rsidRDefault="004616EA" w:rsidP="00FA0564">
            <w:pPr>
              <w:pStyle w:val="a7"/>
              <w:tabs>
                <w:tab w:val="left" w:pos="0"/>
                <w:tab w:val="left" w:pos="3542"/>
              </w:tabs>
              <w:spacing w:after="0" w:line="240" w:lineRule="auto"/>
              <w:ind w:left="0"/>
              <w:jc w:val="both"/>
              <w:rPr>
                <w:rFonts w:ascii="Times New Roman" w:hAnsi="Times New Roman"/>
                <w:lang w:eastAsia="en-US"/>
              </w:rPr>
            </w:pPr>
            <w:r w:rsidRPr="00FF6DF6">
              <w:rPr>
                <w:rFonts w:ascii="Times New Roman" w:hAnsi="Times New Roman"/>
                <w:lang w:eastAsia="en-US"/>
              </w:rPr>
              <w:t>Осуществление функций по реализации единой государственной политики в культуре города Когалыма;</w:t>
            </w:r>
          </w:p>
          <w:p w:rsidR="004616EA" w:rsidRPr="00FF6DF6" w:rsidRDefault="004616EA" w:rsidP="00FA0564">
            <w:pPr>
              <w:pStyle w:val="a7"/>
              <w:spacing w:after="0" w:line="240" w:lineRule="auto"/>
              <w:ind w:left="0"/>
              <w:jc w:val="both"/>
              <w:rPr>
                <w:rFonts w:ascii="Times New Roman" w:hAnsi="Times New Roman"/>
              </w:rPr>
            </w:pPr>
            <w:r w:rsidRPr="00FF6DF6">
              <w:rPr>
                <w:rFonts w:ascii="Times New Roman" w:hAnsi="Times New Roman"/>
                <w:lang w:eastAsia="en-US"/>
              </w:rPr>
              <w:t>Осуществление функций по реализации единой государственной политики в архивном деле города Когалыма</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654 110,30</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Окружной бюджет, местный бюджет, внебюджетные источники</w:t>
            </w:r>
          </w:p>
        </w:tc>
        <w:tc>
          <w:tcPr>
            <w:tcW w:w="1655" w:type="pct"/>
            <w:vAlign w:val="center"/>
          </w:tcPr>
          <w:p w:rsidR="004616EA" w:rsidRPr="00FF6DF6" w:rsidRDefault="004616EA" w:rsidP="00FA0564">
            <w:pPr>
              <w:pStyle w:val="a7"/>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Фонд библиотеки города Когалыма – 147 000 единиц экземпляров;</w:t>
            </w:r>
          </w:p>
          <w:p w:rsidR="004616EA" w:rsidRPr="00FF6DF6" w:rsidRDefault="004616EA" w:rsidP="00FA0564">
            <w:pPr>
              <w:pStyle w:val="a7"/>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Доля библиотечных фондов общедоступных библиотек города Когалыма, отражённых в электронных каталогах – 100%;</w:t>
            </w:r>
          </w:p>
          <w:p w:rsidR="004616EA" w:rsidRPr="00FF6DF6" w:rsidRDefault="004616EA" w:rsidP="00FA0564">
            <w:pPr>
              <w:pStyle w:val="a7"/>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Доля общедоступных библиотек города Когалыма, подключенных к сети Интернет – 100%;</w:t>
            </w:r>
          </w:p>
          <w:p w:rsidR="004616EA" w:rsidRPr="00FF6DF6" w:rsidRDefault="004616EA" w:rsidP="00FA0564">
            <w:pPr>
              <w:pStyle w:val="a7"/>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Музейный фонд города Когалыма – 9 295 единиц хранения;</w:t>
            </w:r>
          </w:p>
          <w:p w:rsidR="004616EA" w:rsidRPr="00FF6DF6" w:rsidRDefault="004616EA" w:rsidP="00FA0564">
            <w:pPr>
              <w:pStyle w:val="a7"/>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Количество виртуальных музеев в городе Когалыме – 1;</w:t>
            </w:r>
          </w:p>
          <w:p w:rsidR="004616EA" w:rsidRPr="00FF6DF6" w:rsidRDefault="004616EA" w:rsidP="00FA0564">
            <w:pPr>
              <w:pStyle w:val="a7"/>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Доля музейных предметов и музейных коллекций, отражённых в электронных каталогах в общем объёме музейного фонда – 85%;</w:t>
            </w:r>
          </w:p>
          <w:p w:rsidR="004616EA" w:rsidRPr="00FF6DF6" w:rsidRDefault="004616EA" w:rsidP="00FA0564">
            <w:pPr>
              <w:pStyle w:val="a7"/>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Доля оцифрованных музейных предметов и музейных коллекций города Когалыма, представленных в сети Интернет – до 18%;</w:t>
            </w:r>
          </w:p>
          <w:p w:rsidR="004616EA" w:rsidRPr="00FF6DF6" w:rsidRDefault="004616EA" w:rsidP="00FA0564">
            <w:pPr>
              <w:pStyle w:val="a7"/>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Увеличение доли представленных зрителю музейных предметов в общем количестве предметов музейного фонда города Когалыма – до 18%;</w:t>
            </w:r>
          </w:p>
          <w:p w:rsidR="004616EA" w:rsidRPr="00FF6DF6" w:rsidRDefault="004616EA" w:rsidP="00FA0564">
            <w:pPr>
              <w:pStyle w:val="a7"/>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Увеличение количества передвижных выставок – до 8 выставок в год;</w:t>
            </w:r>
          </w:p>
          <w:p w:rsidR="004616EA" w:rsidRPr="00FF6DF6" w:rsidRDefault="004616EA" w:rsidP="00FA0564">
            <w:pPr>
              <w:pStyle w:val="a7"/>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Увеличение количества выставочных проектов на базе музея города Когалыма – до 12 выставок в год;</w:t>
            </w:r>
          </w:p>
          <w:p w:rsidR="004616EA" w:rsidRPr="00FF6DF6" w:rsidRDefault="004616EA" w:rsidP="00FA0564">
            <w:pPr>
              <w:pStyle w:val="a7"/>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Увеличение количества посещений театрально-концертных мероприятий, проводимых в учреждениях культуры города Когалыма – на 3,8%;</w:t>
            </w:r>
          </w:p>
          <w:p w:rsidR="004616EA" w:rsidRPr="00FF6DF6" w:rsidRDefault="004616EA" w:rsidP="00FA0564">
            <w:pPr>
              <w:pStyle w:val="a7"/>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Увеличение численности участников культурно-досуговых мероприятий, организуемых учреждениями культуры города Когалыма - на 7%;</w:t>
            </w:r>
          </w:p>
          <w:p w:rsidR="004616EA" w:rsidRPr="00FF6DF6" w:rsidRDefault="004616EA" w:rsidP="00FA0564">
            <w:pPr>
              <w:pStyle w:val="a7"/>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Увеличение доли детей, привлекаемых к участию в творческих мероприятиях, проводимых учреждениями культуры города Когалыма – до 6%;</w:t>
            </w:r>
          </w:p>
          <w:p w:rsidR="004616EA" w:rsidRPr="00FF6DF6" w:rsidRDefault="004616EA" w:rsidP="00FA0564">
            <w:pPr>
              <w:pStyle w:val="a7"/>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Увеличение количества клубных формирований в учреждениях культуры города Когалыма до 32;</w:t>
            </w:r>
          </w:p>
          <w:p w:rsidR="004616EA" w:rsidRPr="00FF6DF6" w:rsidRDefault="004616EA" w:rsidP="00FA0564">
            <w:pPr>
              <w:pStyle w:val="a7"/>
              <w:tabs>
                <w:tab w:val="left" w:pos="0"/>
                <w:tab w:val="left" w:pos="3542"/>
              </w:tabs>
              <w:spacing w:line="240" w:lineRule="auto"/>
              <w:ind w:left="0"/>
              <w:jc w:val="both"/>
              <w:rPr>
                <w:rFonts w:ascii="Times New Roman" w:hAnsi="Times New Roman"/>
              </w:rPr>
            </w:pPr>
            <w:r w:rsidRPr="00FF6DF6">
              <w:rPr>
                <w:rFonts w:ascii="Times New Roman" w:hAnsi="Times New Roman"/>
                <w:spacing w:val="-6"/>
                <w:lang w:eastAsia="en-US"/>
              </w:rPr>
              <w:t>Увеличение количества участников клубных формирований, занимающихся в учреждениях культуры города Когалыма на 1% ежегодно</w:t>
            </w:r>
          </w:p>
        </w:tc>
      </w:tr>
    </w:tbl>
    <w:p w:rsidR="004616EA" w:rsidRDefault="004616EA">
      <w:pPr>
        <w:sectPr w:rsidR="004616EA" w:rsidSect="002D3BE6">
          <w:type w:val="continuous"/>
          <w:pgSz w:w="16838" w:h="11906" w:orient="landscape"/>
          <w:pgMar w:top="567" w:right="567" w:bottom="2552"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12"/>
        <w:gridCol w:w="4430"/>
        <w:gridCol w:w="1774"/>
        <w:gridCol w:w="1834"/>
        <w:gridCol w:w="5270"/>
      </w:tblGrid>
      <w:tr w:rsidR="004616EA" w:rsidRPr="00475E67" w:rsidTr="00F30319">
        <w:trPr>
          <w:trHeight w:val="1261"/>
        </w:trPr>
        <w:tc>
          <w:tcPr>
            <w:tcW w:w="820" w:type="pct"/>
            <w:vAlign w:val="center"/>
          </w:tcPr>
          <w:p w:rsidR="004616EA" w:rsidRPr="00475E67" w:rsidRDefault="004616EA" w:rsidP="00FA0564">
            <w:pPr>
              <w:pStyle w:val="western"/>
              <w:spacing w:before="0" w:beforeAutospacing="0" w:after="0" w:afterAutospacing="0"/>
              <w:jc w:val="center"/>
              <w:rPr>
                <w:sz w:val="20"/>
                <w:szCs w:val="20"/>
              </w:rPr>
            </w:pPr>
            <w:r w:rsidRPr="00475E67">
              <w:rPr>
                <w:sz w:val="20"/>
                <w:szCs w:val="20"/>
              </w:rPr>
              <w:t>12. «Развитие образования в городе Когалыме</w:t>
            </w:r>
          </w:p>
          <w:p w:rsidR="004616EA" w:rsidRPr="00475E67" w:rsidRDefault="004616EA" w:rsidP="00FA0564">
            <w:pPr>
              <w:pStyle w:val="western"/>
              <w:spacing w:before="0" w:beforeAutospacing="0" w:after="0" w:afterAutospacing="0"/>
              <w:jc w:val="center"/>
              <w:rPr>
                <w:sz w:val="20"/>
                <w:szCs w:val="20"/>
              </w:rPr>
            </w:pPr>
            <w:r w:rsidRPr="00475E67">
              <w:rPr>
                <w:sz w:val="20"/>
                <w:szCs w:val="20"/>
              </w:rPr>
              <w:t>на 2014-2016 годы»</w:t>
            </w:r>
          </w:p>
          <w:p w:rsidR="004616EA" w:rsidRPr="00475E67" w:rsidRDefault="004616EA" w:rsidP="00FA0564">
            <w:pPr>
              <w:pStyle w:val="western"/>
              <w:spacing w:before="0" w:beforeAutospacing="0" w:after="0" w:afterAutospacing="0"/>
              <w:jc w:val="center"/>
              <w:rPr>
                <w:sz w:val="20"/>
                <w:szCs w:val="20"/>
              </w:rPr>
            </w:pPr>
          </w:p>
          <w:p w:rsidR="004616EA" w:rsidRPr="00475E67" w:rsidRDefault="004616EA" w:rsidP="00FA0564">
            <w:pPr>
              <w:spacing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11.10.2013 №2899</w:t>
            </w:r>
          </w:p>
          <w:p w:rsidR="004616EA" w:rsidRPr="00475E67" w:rsidRDefault="004616EA" w:rsidP="00FA0564">
            <w:pPr>
              <w:spacing w:before="240"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25.06.2014 №1508)</w:t>
            </w:r>
          </w:p>
        </w:tc>
        <w:tc>
          <w:tcPr>
            <w:tcW w:w="1391" w:type="pct"/>
            <w:vAlign w:val="center"/>
          </w:tcPr>
          <w:p w:rsidR="004616EA" w:rsidRPr="00475E67" w:rsidRDefault="004616EA" w:rsidP="00FA0564">
            <w:pPr>
              <w:widowControl w:val="0"/>
              <w:autoSpaceDE w:val="0"/>
              <w:autoSpaceDN w:val="0"/>
              <w:adjustRightInd w:val="0"/>
              <w:spacing w:after="0" w:line="240" w:lineRule="auto"/>
              <w:contextualSpacing/>
              <w:jc w:val="both"/>
              <w:rPr>
                <w:rFonts w:ascii="Times New Roman" w:hAnsi="Times New Roman"/>
                <w:sz w:val="20"/>
                <w:szCs w:val="20"/>
              </w:rPr>
            </w:pPr>
            <w:r w:rsidRPr="00475E67">
              <w:rPr>
                <w:rFonts w:ascii="Times New Roman" w:hAnsi="Times New Roman"/>
                <w:i/>
                <w:sz w:val="20"/>
                <w:szCs w:val="20"/>
                <w:u w:val="single"/>
              </w:rPr>
              <w:t>Цели:</w:t>
            </w:r>
            <w:r w:rsidRPr="00475E67">
              <w:rPr>
                <w:rFonts w:ascii="Times New Roman" w:hAnsi="Times New Roman"/>
                <w:sz w:val="20"/>
                <w:szCs w:val="20"/>
              </w:rPr>
              <w:t xml:space="preserve"> </w:t>
            </w:r>
          </w:p>
          <w:p w:rsidR="004616EA" w:rsidRPr="00FF6DF6" w:rsidRDefault="004616EA" w:rsidP="00FA0564">
            <w:pPr>
              <w:pStyle w:val="a7"/>
              <w:widowControl w:val="0"/>
              <w:autoSpaceDE w:val="0"/>
              <w:autoSpaceDN w:val="0"/>
              <w:adjustRightInd w:val="0"/>
              <w:spacing w:line="240" w:lineRule="auto"/>
              <w:ind w:left="0"/>
              <w:jc w:val="both"/>
              <w:rPr>
                <w:rFonts w:ascii="Times New Roman" w:hAnsi="Times New Roman"/>
                <w:lang w:eastAsia="en-US"/>
              </w:rPr>
            </w:pPr>
            <w:r w:rsidRPr="00FF6DF6">
              <w:rPr>
                <w:rFonts w:ascii="Times New Roman" w:hAnsi="Times New Roman"/>
                <w:lang w:eastAsia="en-US"/>
              </w:rPr>
              <w:t>Обеспечение доступности качественного образования, соответствующего требованиям инновационного развития, современным потребностям общества и каждого жителя города Когалыма</w:t>
            </w:r>
          </w:p>
          <w:p w:rsidR="004616EA" w:rsidRPr="00FF6DF6" w:rsidRDefault="004616EA" w:rsidP="00FA0564">
            <w:pPr>
              <w:pStyle w:val="a7"/>
              <w:autoSpaceDE w:val="0"/>
              <w:autoSpaceDN w:val="0"/>
              <w:adjustRightInd w:val="0"/>
              <w:spacing w:after="0" w:line="240" w:lineRule="auto"/>
              <w:ind w:left="0"/>
              <w:jc w:val="both"/>
              <w:rPr>
                <w:rFonts w:ascii="Times New Roman" w:hAnsi="Times New Roman"/>
                <w:i/>
                <w:u w:val="single"/>
                <w:lang w:eastAsia="en-US"/>
              </w:rPr>
            </w:pPr>
            <w:r w:rsidRPr="00FF6DF6">
              <w:rPr>
                <w:rFonts w:ascii="Times New Roman" w:hAnsi="Times New Roman"/>
                <w:lang w:eastAsia="en-US"/>
              </w:rPr>
              <w:t>Создание условий для духовного, культурного развития и самореализации молодёжи, роста её созидательной активности в интересах общества</w:t>
            </w:r>
          </w:p>
          <w:p w:rsidR="004616EA" w:rsidRPr="00475E67" w:rsidRDefault="004616EA" w:rsidP="00FA0564">
            <w:pPr>
              <w:autoSpaceDE w:val="0"/>
              <w:autoSpaceDN w:val="0"/>
              <w:adjustRightInd w:val="0"/>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Задачи:</w:t>
            </w:r>
          </w:p>
          <w:p w:rsidR="004616EA" w:rsidRPr="00FF6DF6" w:rsidRDefault="004616EA" w:rsidP="00FA0564">
            <w:pPr>
              <w:pStyle w:val="a7"/>
              <w:widowControl w:val="0"/>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Развитие общего образования и дополнительного образования;</w:t>
            </w:r>
          </w:p>
          <w:p w:rsidR="004616EA" w:rsidRPr="00FF6DF6" w:rsidRDefault="004616EA" w:rsidP="00FA0564">
            <w:pPr>
              <w:pStyle w:val="a7"/>
              <w:widowControl w:val="0"/>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Реализация комплекса мер адресной поддержки педагогических работников и одаренных детей;</w:t>
            </w:r>
          </w:p>
          <w:p w:rsidR="004616EA" w:rsidRPr="00FF6DF6" w:rsidRDefault="004616EA" w:rsidP="00FA0564">
            <w:pPr>
              <w:pStyle w:val="a7"/>
              <w:widowControl w:val="0"/>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 xml:space="preserve">Обеспечение комплексной безопасности и комфортных условий образовательного процесса; </w:t>
            </w:r>
          </w:p>
          <w:p w:rsidR="004616EA" w:rsidRPr="00FF6DF6" w:rsidRDefault="004616EA" w:rsidP="00FA0564">
            <w:pPr>
              <w:pStyle w:val="a7"/>
              <w:widowControl w:val="0"/>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Укрепление материально-технической базы и развитие инфраструктуры сферы образования;</w:t>
            </w:r>
          </w:p>
          <w:p w:rsidR="004616EA" w:rsidRPr="00FF6DF6" w:rsidRDefault="004616EA" w:rsidP="00FA0564">
            <w:pPr>
              <w:pStyle w:val="a7"/>
              <w:widowControl w:val="0"/>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Совершенствование системы повышения квалификации педагогов и руководителей образовательных организаций;</w:t>
            </w:r>
          </w:p>
          <w:p w:rsidR="004616EA" w:rsidRPr="00FF6DF6" w:rsidRDefault="004616EA" w:rsidP="00FA0564">
            <w:pPr>
              <w:pStyle w:val="a7"/>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Обеспечение деятельности и управление в области образования на территории города Когалыма;</w:t>
            </w:r>
          </w:p>
          <w:p w:rsidR="004616EA" w:rsidRPr="00FF6DF6" w:rsidRDefault="004616EA" w:rsidP="00FA0564">
            <w:pPr>
              <w:pStyle w:val="a7"/>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Создание условий для духовно-нравственного развития и формирования гражданско-патриотических качеств молодёжи, роста её созидательной активности, выявления и продвижения талантливой молодёжи;</w:t>
            </w:r>
          </w:p>
          <w:p w:rsidR="004616EA" w:rsidRPr="00FF6DF6" w:rsidRDefault="004616EA" w:rsidP="00FA0564">
            <w:pPr>
              <w:pStyle w:val="a7"/>
              <w:widowControl w:val="0"/>
              <w:tabs>
                <w:tab w:val="left" w:pos="1734"/>
              </w:tabs>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Обеспечение деятельности и укрепление материально-технической базы учреждения сферы работы с молодёжью;</w:t>
            </w:r>
          </w:p>
          <w:p w:rsidR="004616EA" w:rsidRPr="00FF6DF6" w:rsidRDefault="004616EA" w:rsidP="00FA0564">
            <w:pPr>
              <w:pStyle w:val="a7"/>
              <w:spacing w:after="0" w:line="240" w:lineRule="auto"/>
              <w:ind w:left="0"/>
              <w:jc w:val="both"/>
              <w:rPr>
                <w:rFonts w:ascii="Times New Roman" w:hAnsi="Times New Roman"/>
              </w:rPr>
            </w:pPr>
            <w:r w:rsidRPr="00FF6DF6">
              <w:rPr>
                <w:rFonts w:ascii="Times New Roman" w:hAnsi="Times New Roman"/>
                <w:lang w:eastAsia="en-US"/>
              </w:rPr>
              <w:t xml:space="preserve">Содействие формированию эффективного поведения и успешной социализации молодежи </w:t>
            </w:r>
          </w:p>
        </w:tc>
        <w:tc>
          <w:tcPr>
            <w:tcW w:w="557" w:type="pct"/>
            <w:vAlign w:val="center"/>
          </w:tcPr>
          <w:p w:rsidR="004616EA" w:rsidRPr="00475E67" w:rsidRDefault="004616EA" w:rsidP="00FA0564">
            <w:pPr>
              <w:spacing w:before="240" w:after="0" w:line="240" w:lineRule="auto"/>
              <w:jc w:val="center"/>
              <w:rPr>
                <w:rFonts w:ascii="Times New Roman" w:hAnsi="Times New Roman"/>
                <w:sz w:val="20"/>
                <w:szCs w:val="20"/>
                <w:lang w:eastAsia="ru-RU"/>
              </w:rPr>
            </w:pPr>
            <w:r w:rsidRPr="00475E67">
              <w:rPr>
                <w:rFonts w:ascii="Times New Roman" w:hAnsi="Times New Roman"/>
                <w:sz w:val="20"/>
                <w:szCs w:val="20"/>
              </w:rPr>
              <w:t>6 146 043,80</w:t>
            </w:r>
          </w:p>
        </w:tc>
        <w:tc>
          <w:tcPr>
            <w:tcW w:w="576" w:type="pct"/>
            <w:vAlign w:val="center"/>
          </w:tcPr>
          <w:p w:rsidR="004616EA" w:rsidRPr="00475E67" w:rsidRDefault="004616EA" w:rsidP="00FA0564">
            <w:pPr>
              <w:spacing w:before="240"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Окружной бюджет, местный бюджет, внебюджетные источники</w:t>
            </w:r>
          </w:p>
        </w:tc>
        <w:tc>
          <w:tcPr>
            <w:tcW w:w="1655" w:type="pct"/>
            <w:vAlign w:val="center"/>
          </w:tcPr>
          <w:p w:rsidR="004616EA" w:rsidRPr="00FF6DF6" w:rsidRDefault="004616EA" w:rsidP="00FA0564">
            <w:pPr>
              <w:pStyle w:val="a7"/>
              <w:widowControl w:val="0"/>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Увеличение доли детей в возрасте от 3-х до 7-и лет, получающих дошкольную образовательную услугу и (или) услугу по их содержанию – с 86,9% до 100%;</w:t>
            </w:r>
          </w:p>
          <w:p w:rsidR="004616EA" w:rsidRPr="00FF6DF6" w:rsidRDefault="004616EA" w:rsidP="00FA0564">
            <w:pPr>
              <w:pStyle w:val="a7"/>
              <w:widowControl w:val="0"/>
              <w:autoSpaceDE w:val="0"/>
              <w:autoSpaceDN w:val="0"/>
              <w:adjustRightInd w:val="0"/>
              <w:spacing w:before="240" w:line="240" w:lineRule="auto"/>
              <w:ind w:left="0"/>
              <w:jc w:val="both"/>
              <w:rPr>
                <w:rFonts w:ascii="Times New Roman" w:hAnsi="Times New Roman"/>
                <w:lang w:eastAsia="en-US"/>
              </w:rPr>
            </w:pPr>
            <w:r w:rsidRPr="00FF6DF6">
              <w:rPr>
                <w:rFonts w:ascii="Times New Roman" w:hAnsi="Times New Roman"/>
                <w:lang w:eastAsia="en-US"/>
              </w:rPr>
              <w:t>Увеличение доли выпускников муниципальных общеобразовательных организаций, сдавших ЕГЭ по русскому языку и математике в общей численности выпускников муниципальных общеобразовательных организаций, сдававших ЕГЭ по данным предметам с 99,5% до 99,7%;</w:t>
            </w:r>
          </w:p>
          <w:p w:rsidR="004616EA" w:rsidRPr="00FF6DF6" w:rsidRDefault="004616EA" w:rsidP="00FA0564">
            <w:pPr>
              <w:pStyle w:val="a7"/>
              <w:widowControl w:val="0"/>
              <w:autoSpaceDE w:val="0"/>
              <w:autoSpaceDN w:val="0"/>
              <w:adjustRightInd w:val="0"/>
              <w:spacing w:before="240" w:line="240" w:lineRule="auto"/>
              <w:ind w:left="0"/>
              <w:jc w:val="both"/>
              <w:rPr>
                <w:rFonts w:ascii="Times New Roman" w:hAnsi="Times New Roman"/>
                <w:lang w:eastAsia="en-US"/>
              </w:rPr>
            </w:pPr>
            <w:r w:rsidRPr="00FF6DF6">
              <w:rPr>
                <w:rFonts w:ascii="Times New Roman" w:hAnsi="Times New Roman"/>
                <w:lang w:eastAsia="en-US"/>
              </w:rPr>
              <w:t xml:space="preserve">Увеличение доли педагогов общеобразовательных организаций и организаций дополнительного образования с высшей квалификационной категорией (в общем количестве педагогов) не менее 5,5%; </w:t>
            </w:r>
          </w:p>
          <w:p w:rsidR="004616EA" w:rsidRPr="00FF6DF6" w:rsidRDefault="004616EA" w:rsidP="00FA0564">
            <w:pPr>
              <w:pStyle w:val="a7"/>
              <w:widowControl w:val="0"/>
              <w:autoSpaceDE w:val="0"/>
              <w:autoSpaceDN w:val="0"/>
              <w:adjustRightInd w:val="0"/>
              <w:spacing w:before="240" w:line="240" w:lineRule="auto"/>
              <w:ind w:left="0"/>
              <w:jc w:val="both"/>
              <w:rPr>
                <w:rFonts w:ascii="Times New Roman" w:hAnsi="Times New Roman"/>
                <w:lang w:eastAsia="en-US"/>
              </w:rPr>
            </w:pPr>
            <w:r w:rsidRPr="00FF6DF6">
              <w:rPr>
                <w:rFonts w:ascii="Times New Roman" w:hAnsi="Times New Roman"/>
                <w:lang w:eastAsia="en-US"/>
              </w:rPr>
              <w:t xml:space="preserve">Увеличение доли педагогов общеобразовательных организаций и организаций дополнительного образования с первой квалификационной категорией (в общем количестве педагогов) с 25% до 27%; </w:t>
            </w:r>
          </w:p>
          <w:p w:rsidR="004616EA" w:rsidRPr="00FF6DF6" w:rsidRDefault="004616EA" w:rsidP="00FA0564">
            <w:pPr>
              <w:pStyle w:val="a7"/>
              <w:widowControl w:val="0"/>
              <w:autoSpaceDE w:val="0"/>
              <w:autoSpaceDN w:val="0"/>
              <w:adjustRightInd w:val="0"/>
              <w:spacing w:before="240" w:line="240" w:lineRule="auto"/>
              <w:ind w:left="0"/>
              <w:jc w:val="both"/>
              <w:rPr>
                <w:rFonts w:ascii="Times New Roman" w:hAnsi="Times New Roman"/>
                <w:lang w:eastAsia="en-US"/>
              </w:rPr>
            </w:pPr>
            <w:r w:rsidRPr="00FF6DF6">
              <w:rPr>
                <w:rFonts w:ascii="Times New Roman" w:hAnsi="Times New Roman"/>
                <w:lang w:eastAsia="en-US"/>
              </w:rPr>
              <w:t>Увеличение количества победителей и призёров конкурсных мероприятий среди обучающихся образовательных организаций с 22% до 23%;</w:t>
            </w:r>
          </w:p>
          <w:p w:rsidR="004616EA" w:rsidRPr="00FF6DF6" w:rsidRDefault="004616EA" w:rsidP="00FA0564">
            <w:pPr>
              <w:pStyle w:val="a7"/>
              <w:widowControl w:val="0"/>
              <w:autoSpaceDE w:val="0"/>
              <w:autoSpaceDN w:val="0"/>
              <w:adjustRightInd w:val="0"/>
              <w:spacing w:before="240" w:line="240" w:lineRule="auto"/>
              <w:ind w:left="0"/>
              <w:jc w:val="both"/>
              <w:rPr>
                <w:rFonts w:ascii="Times New Roman" w:hAnsi="Times New Roman"/>
                <w:lang w:eastAsia="en-US"/>
              </w:rPr>
            </w:pPr>
            <w:r w:rsidRPr="00FF6DF6">
              <w:rPr>
                <w:rFonts w:ascii="Times New Roman" w:hAnsi="Times New Roman"/>
                <w:lang w:eastAsia="en-US"/>
              </w:rPr>
              <w:t>Увеличение доли педагогических работников, участвующих в профессиональных конкурсах с 35 % до   36 %;</w:t>
            </w:r>
          </w:p>
          <w:p w:rsidR="004616EA" w:rsidRPr="00FF6DF6" w:rsidRDefault="004616EA" w:rsidP="00FA0564">
            <w:pPr>
              <w:pStyle w:val="a7"/>
              <w:widowControl w:val="0"/>
              <w:autoSpaceDE w:val="0"/>
              <w:autoSpaceDN w:val="0"/>
              <w:adjustRightInd w:val="0"/>
              <w:spacing w:before="240" w:line="240" w:lineRule="auto"/>
              <w:ind w:left="0"/>
              <w:jc w:val="both"/>
              <w:rPr>
                <w:rFonts w:ascii="Times New Roman" w:hAnsi="Times New Roman"/>
                <w:lang w:eastAsia="en-US"/>
              </w:rPr>
            </w:pPr>
            <w:r w:rsidRPr="00FF6DF6">
              <w:rPr>
                <w:rFonts w:ascii="Times New Roman" w:hAnsi="Times New Roman"/>
                <w:lang w:eastAsia="en-US"/>
              </w:rPr>
              <w:t>Увеличение доли муниципальных образовательных организаций и учреждений, оборудованных всеми средствами противопожарной, антитеррористической безопасности с 91,3% до 100%;</w:t>
            </w:r>
          </w:p>
          <w:p w:rsidR="004616EA" w:rsidRPr="00FF6DF6" w:rsidRDefault="004616EA" w:rsidP="00FA0564">
            <w:pPr>
              <w:pStyle w:val="a7"/>
              <w:widowControl w:val="0"/>
              <w:autoSpaceDE w:val="0"/>
              <w:autoSpaceDN w:val="0"/>
              <w:adjustRightInd w:val="0"/>
              <w:spacing w:before="240" w:line="240" w:lineRule="auto"/>
              <w:ind w:left="0"/>
              <w:jc w:val="both"/>
              <w:rPr>
                <w:rFonts w:ascii="Times New Roman" w:hAnsi="Times New Roman"/>
                <w:lang w:eastAsia="en-US"/>
              </w:rPr>
            </w:pPr>
            <w:r w:rsidRPr="00FF6DF6">
              <w:rPr>
                <w:rFonts w:ascii="Times New Roman" w:hAnsi="Times New Roman"/>
                <w:lang w:eastAsia="en-US"/>
              </w:rPr>
              <w:t xml:space="preserve">Увеличение доли образовательных организаций, </w:t>
            </w:r>
          </w:p>
        </w:tc>
      </w:tr>
    </w:tbl>
    <w:p w:rsidR="004616EA" w:rsidRDefault="004616EA">
      <w:pPr>
        <w:sectPr w:rsidR="004616EA" w:rsidSect="002D3BE6">
          <w:type w:val="continuous"/>
          <w:pgSz w:w="16838" w:h="11906" w:orient="landscape"/>
          <w:pgMar w:top="2552" w:right="567" w:bottom="567"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12"/>
        <w:gridCol w:w="4430"/>
        <w:gridCol w:w="1774"/>
        <w:gridCol w:w="1834"/>
        <w:gridCol w:w="5270"/>
      </w:tblGrid>
      <w:tr w:rsidR="004616EA" w:rsidRPr="00475E67" w:rsidTr="006E01A0">
        <w:trPr>
          <w:trHeight w:val="701"/>
        </w:trPr>
        <w:tc>
          <w:tcPr>
            <w:tcW w:w="820" w:type="pct"/>
            <w:vAlign w:val="center"/>
          </w:tcPr>
          <w:p w:rsidR="004616EA" w:rsidRPr="00475E67" w:rsidRDefault="004616EA" w:rsidP="00FA0564">
            <w:pPr>
              <w:pStyle w:val="western"/>
              <w:spacing w:before="0" w:beforeAutospacing="0" w:after="0" w:afterAutospacing="0"/>
              <w:jc w:val="center"/>
              <w:rPr>
                <w:sz w:val="20"/>
                <w:szCs w:val="20"/>
              </w:rPr>
            </w:pPr>
          </w:p>
        </w:tc>
        <w:tc>
          <w:tcPr>
            <w:tcW w:w="1391" w:type="pct"/>
          </w:tcPr>
          <w:p w:rsidR="004616EA" w:rsidRPr="00FF6DF6" w:rsidRDefault="004616EA" w:rsidP="006E01A0">
            <w:pPr>
              <w:pStyle w:val="a7"/>
              <w:widowControl w:val="0"/>
              <w:tabs>
                <w:tab w:val="left" w:pos="1734"/>
              </w:tabs>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на рынке труда;</w:t>
            </w:r>
          </w:p>
          <w:p w:rsidR="004616EA" w:rsidRPr="00475E67" w:rsidRDefault="004616EA" w:rsidP="006E01A0">
            <w:pPr>
              <w:widowControl w:val="0"/>
              <w:autoSpaceDE w:val="0"/>
              <w:autoSpaceDN w:val="0"/>
              <w:adjustRightInd w:val="0"/>
              <w:spacing w:after="0" w:line="240" w:lineRule="auto"/>
              <w:contextualSpacing/>
              <w:jc w:val="both"/>
              <w:rPr>
                <w:rFonts w:ascii="Times New Roman" w:hAnsi="Times New Roman"/>
                <w:i/>
                <w:sz w:val="20"/>
                <w:szCs w:val="20"/>
                <w:u w:val="single"/>
              </w:rPr>
            </w:pPr>
            <w:r w:rsidRPr="00733BD3">
              <w:rPr>
                <w:rFonts w:ascii="Times New Roman" w:hAnsi="Times New Roman"/>
              </w:rPr>
              <w:t>Создание условий для подготовки граждан к военной службе;</w:t>
            </w:r>
          </w:p>
        </w:tc>
        <w:tc>
          <w:tcPr>
            <w:tcW w:w="557" w:type="pct"/>
            <w:vAlign w:val="center"/>
          </w:tcPr>
          <w:p w:rsidR="004616EA" w:rsidRPr="00475E67" w:rsidRDefault="004616EA" w:rsidP="00FA0564">
            <w:pPr>
              <w:spacing w:before="240" w:after="0" w:line="240" w:lineRule="auto"/>
              <w:jc w:val="center"/>
              <w:rPr>
                <w:rFonts w:ascii="Times New Roman" w:hAnsi="Times New Roman"/>
                <w:sz w:val="20"/>
                <w:szCs w:val="20"/>
              </w:rPr>
            </w:pPr>
          </w:p>
        </w:tc>
        <w:tc>
          <w:tcPr>
            <w:tcW w:w="576" w:type="pct"/>
            <w:vAlign w:val="center"/>
          </w:tcPr>
          <w:p w:rsidR="004616EA" w:rsidRPr="00475E67" w:rsidRDefault="004616EA" w:rsidP="00FA0564">
            <w:pPr>
              <w:spacing w:before="240" w:after="0" w:line="240" w:lineRule="auto"/>
              <w:jc w:val="center"/>
              <w:rPr>
                <w:rFonts w:ascii="Times New Roman" w:hAnsi="Times New Roman"/>
                <w:sz w:val="20"/>
                <w:szCs w:val="20"/>
                <w:lang w:eastAsia="ru-RU"/>
              </w:rPr>
            </w:pPr>
          </w:p>
        </w:tc>
        <w:tc>
          <w:tcPr>
            <w:tcW w:w="1655" w:type="pct"/>
          </w:tcPr>
          <w:p w:rsidR="004616EA" w:rsidRPr="00FF6DF6" w:rsidRDefault="004616EA" w:rsidP="006E01A0">
            <w:pPr>
              <w:pStyle w:val="a7"/>
              <w:widowControl w:val="0"/>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соответствующих современным требованиям                        по оснащению образовательной деятельности - с 75% до 100%</w:t>
            </w:r>
          </w:p>
        </w:tc>
      </w:tr>
      <w:tr w:rsidR="004616EA" w:rsidRPr="00475E67" w:rsidTr="00F30319">
        <w:trPr>
          <w:trHeight w:val="1754"/>
        </w:trPr>
        <w:tc>
          <w:tcPr>
            <w:tcW w:w="820" w:type="pct"/>
            <w:vAlign w:val="center"/>
          </w:tcPr>
          <w:p w:rsidR="004616EA" w:rsidRPr="00475E67" w:rsidRDefault="004616EA" w:rsidP="00FA0564">
            <w:pPr>
              <w:widowControl w:val="0"/>
              <w:autoSpaceDE w:val="0"/>
              <w:autoSpaceDN w:val="0"/>
              <w:adjustRightInd w:val="0"/>
              <w:spacing w:after="0" w:line="240" w:lineRule="auto"/>
              <w:jc w:val="center"/>
              <w:rPr>
                <w:rFonts w:ascii="Times New Roman" w:hAnsi="Times New Roman"/>
                <w:spacing w:val="-1"/>
                <w:sz w:val="20"/>
                <w:szCs w:val="20"/>
                <w:lang w:eastAsia="ru-RU"/>
              </w:rPr>
            </w:pPr>
            <w:r w:rsidRPr="00475E67">
              <w:rPr>
                <w:rFonts w:ascii="Times New Roman" w:hAnsi="Times New Roman"/>
                <w:sz w:val="20"/>
                <w:szCs w:val="20"/>
                <w:lang w:eastAsia="ru-RU"/>
              </w:rPr>
              <w:t xml:space="preserve">13. </w:t>
            </w:r>
            <w:r w:rsidRPr="00475E67">
              <w:rPr>
                <w:rFonts w:ascii="Times New Roman" w:hAnsi="Times New Roman"/>
                <w:spacing w:val="-1"/>
                <w:sz w:val="20"/>
                <w:szCs w:val="20"/>
                <w:lang w:eastAsia="ru-RU"/>
              </w:rPr>
              <w:t>«Развитие транспортной системы</w:t>
            </w:r>
          </w:p>
          <w:p w:rsidR="004616EA" w:rsidRPr="00475E67" w:rsidRDefault="004616EA" w:rsidP="00FA0564">
            <w:pPr>
              <w:widowControl w:val="0"/>
              <w:autoSpaceDE w:val="0"/>
              <w:autoSpaceDN w:val="0"/>
              <w:adjustRightInd w:val="0"/>
              <w:spacing w:after="0" w:line="240" w:lineRule="auto"/>
              <w:jc w:val="center"/>
              <w:rPr>
                <w:rFonts w:ascii="Times New Roman" w:hAnsi="Times New Roman"/>
                <w:spacing w:val="-1"/>
                <w:sz w:val="20"/>
                <w:szCs w:val="20"/>
                <w:lang w:eastAsia="ru-RU"/>
              </w:rPr>
            </w:pPr>
            <w:r w:rsidRPr="00475E67">
              <w:rPr>
                <w:rFonts w:ascii="Times New Roman" w:hAnsi="Times New Roman"/>
                <w:spacing w:val="-1"/>
                <w:sz w:val="20"/>
                <w:szCs w:val="20"/>
                <w:lang w:eastAsia="ru-RU"/>
              </w:rPr>
              <w:t>города Когалыма на 2014 – 2016 годы»</w:t>
            </w:r>
          </w:p>
          <w:p w:rsidR="004616EA" w:rsidRPr="00475E67" w:rsidRDefault="004616EA" w:rsidP="00FA0564">
            <w:pPr>
              <w:spacing w:before="24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11.10.2013 №2906</w:t>
            </w:r>
          </w:p>
          <w:p w:rsidR="004616EA" w:rsidRPr="00475E67" w:rsidRDefault="004616EA" w:rsidP="00FA0564">
            <w:pPr>
              <w:spacing w:before="240" w:line="240" w:lineRule="auto"/>
              <w:jc w:val="center"/>
              <w:rPr>
                <w:rFonts w:ascii="Times New Roman" w:hAnsi="Times New Roman"/>
                <w:sz w:val="20"/>
                <w:szCs w:val="20"/>
              </w:rPr>
            </w:pPr>
            <w:r w:rsidRPr="00475E67">
              <w:rPr>
                <w:rFonts w:ascii="Times New Roman" w:hAnsi="Times New Roman"/>
                <w:sz w:val="20"/>
                <w:szCs w:val="20"/>
              </w:rPr>
              <w:t>(в ред. от 13.05.2014 №1077)</w:t>
            </w:r>
          </w:p>
          <w:p w:rsidR="004616EA" w:rsidRPr="00475E67" w:rsidRDefault="004616EA" w:rsidP="00FA0564">
            <w:pPr>
              <w:spacing w:after="0" w:line="240" w:lineRule="auto"/>
              <w:jc w:val="center"/>
              <w:rPr>
                <w:rFonts w:ascii="Times New Roman" w:hAnsi="Times New Roman"/>
                <w:sz w:val="20"/>
                <w:szCs w:val="20"/>
                <w:lang w:eastAsia="ru-RU"/>
              </w:rPr>
            </w:pPr>
          </w:p>
        </w:tc>
        <w:tc>
          <w:tcPr>
            <w:tcW w:w="1391" w:type="pct"/>
          </w:tcPr>
          <w:p w:rsidR="004616EA" w:rsidRPr="00857607" w:rsidRDefault="004616EA" w:rsidP="00FA0564">
            <w:pPr>
              <w:pStyle w:val="1"/>
              <w:spacing w:before="0" w:after="0"/>
              <w:jc w:val="both"/>
              <w:rPr>
                <w:b w:val="0"/>
                <w:i/>
                <w:sz w:val="20"/>
                <w:szCs w:val="20"/>
                <w:u w:val="single"/>
              </w:rPr>
            </w:pPr>
            <w:bookmarkStart w:id="296" w:name="_Toc396945879"/>
            <w:bookmarkStart w:id="297" w:name="_Toc397081558"/>
            <w:bookmarkStart w:id="298" w:name="_Toc400983684"/>
            <w:bookmarkStart w:id="299" w:name="_Toc401048590"/>
            <w:bookmarkStart w:id="300" w:name="_Toc403463502"/>
            <w:bookmarkStart w:id="301" w:name="_Toc405566067"/>
            <w:bookmarkStart w:id="302" w:name="_Toc405805550"/>
            <w:r w:rsidRPr="00857607">
              <w:rPr>
                <w:b w:val="0"/>
                <w:i/>
                <w:caps w:val="0"/>
                <w:sz w:val="20"/>
                <w:szCs w:val="20"/>
                <w:u w:val="single"/>
              </w:rPr>
              <w:t>Цель</w:t>
            </w:r>
            <w:r w:rsidRPr="00857607">
              <w:rPr>
                <w:b w:val="0"/>
                <w:i/>
                <w:sz w:val="20"/>
                <w:szCs w:val="20"/>
                <w:u w:val="single"/>
              </w:rPr>
              <w:t>:</w:t>
            </w:r>
            <w:bookmarkEnd w:id="296"/>
            <w:bookmarkEnd w:id="297"/>
            <w:bookmarkEnd w:id="298"/>
            <w:bookmarkEnd w:id="299"/>
            <w:bookmarkEnd w:id="300"/>
            <w:bookmarkEnd w:id="301"/>
            <w:bookmarkEnd w:id="302"/>
          </w:p>
          <w:p w:rsidR="004616EA" w:rsidRPr="00475E67" w:rsidRDefault="004616EA" w:rsidP="00FA0564">
            <w:pPr>
              <w:widowControl w:val="0"/>
              <w:autoSpaceDE w:val="0"/>
              <w:autoSpaceDN w:val="0"/>
              <w:adjustRightInd w:val="0"/>
              <w:spacing w:after="0" w:line="240" w:lineRule="auto"/>
              <w:jc w:val="both"/>
              <w:rPr>
                <w:rFonts w:ascii="Times New Roman" w:hAnsi="Times New Roman"/>
                <w:sz w:val="20"/>
                <w:szCs w:val="20"/>
                <w:lang w:eastAsia="ru-RU"/>
              </w:rPr>
            </w:pPr>
            <w:r w:rsidRPr="00475E67">
              <w:rPr>
                <w:rFonts w:ascii="Times New Roman" w:hAnsi="Times New Roman"/>
                <w:sz w:val="20"/>
                <w:szCs w:val="20"/>
              </w:rPr>
              <w:t>Развитие современной транспортной инфраструктуры, обеспечивающей повышение доступности и безопасности услуг транспортного комплекса для населения города Когалыма</w:t>
            </w:r>
          </w:p>
          <w:p w:rsidR="004616EA" w:rsidRPr="00857607" w:rsidRDefault="004616EA" w:rsidP="00FA0564">
            <w:pPr>
              <w:pStyle w:val="1"/>
              <w:spacing w:before="0" w:after="0"/>
              <w:jc w:val="both"/>
              <w:rPr>
                <w:b w:val="0"/>
                <w:i/>
                <w:sz w:val="20"/>
                <w:szCs w:val="20"/>
                <w:u w:val="single"/>
              </w:rPr>
            </w:pPr>
            <w:bookmarkStart w:id="303" w:name="_Toc396945880"/>
            <w:bookmarkStart w:id="304" w:name="_Toc397081559"/>
            <w:bookmarkStart w:id="305" w:name="_Toc400983685"/>
            <w:bookmarkStart w:id="306" w:name="_Toc401048591"/>
            <w:bookmarkStart w:id="307" w:name="_Toc403463503"/>
            <w:bookmarkStart w:id="308" w:name="_Toc405566068"/>
            <w:bookmarkStart w:id="309" w:name="_Toc405805551"/>
            <w:r w:rsidRPr="00857607">
              <w:rPr>
                <w:b w:val="0"/>
                <w:i/>
                <w:caps w:val="0"/>
                <w:sz w:val="20"/>
                <w:szCs w:val="20"/>
                <w:u w:val="single"/>
              </w:rPr>
              <w:t>Задачи</w:t>
            </w:r>
            <w:r w:rsidRPr="00857607">
              <w:rPr>
                <w:b w:val="0"/>
                <w:i/>
                <w:sz w:val="20"/>
                <w:szCs w:val="20"/>
                <w:u w:val="single"/>
              </w:rPr>
              <w:t>:</w:t>
            </w:r>
            <w:bookmarkEnd w:id="303"/>
            <w:bookmarkEnd w:id="304"/>
            <w:bookmarkEnd w:id="305"/>
            <w:bookmarkEnd w:id="306"/>
            <w:bookmarkEnd w:id="307"/>
            <w:bookmarkEnd w:id="308"/>
            <w:bookmarkEnd w:id="309"/>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Организация предоставления транспортных услуг населению и организация транспортного обслуживания населения в городе Когалыме;</w:t>
            </w:r>
          </w:p>
          <w:p w:rsidR="004616EA" w:rsidRPr="00FF6DF6" w:rsidRDefault="004616EA" w:rsidP="00FA0564">
            <w:pPr>
              <w:pStyle w:val="a7"/>
              <w:spacing w:after="0" w:line="240" w:lineRule="auto"/>
              <w:ind w:left="0"/>
              <w:jc w:val="both"/>
              <w:rPr>
                <w:rFonts w:ascii="Times New Roman" w:hAnsi="Times New Roman"/>
              </w:rPr>
            </w:pPr>
            <w:r w:rsidRPr="00FF6DF6">
              <w:rPr>
                <w:rFonts w:ascii="Times New Roman" w:hAnsi="Times New Roman"/>
              </w:rPr>
              <w:t>Организация работ по строительству (реконструкции), капитальному ремонту и ремонту автомобильных дорог общего пользования местного значения в границах города Когалыма;</w:t>
            </w:r>
          </w:p>
          <w:p w:rsidR="004616EA" w:rsidRPr="00857607" w:rsidRDefault="004616EA" w:rsidP="00FA0564">
            <w:pPr>
              <w:pStyle w:val="1"/>
              <w:spacing w:before="0"/>
              <w:jc w:val="both"/>
              <w:rPr>
                <w:b w:val="0"/>
                <w:sz w:val="20"/>
                <w:szCs w:val="20"/>
              </w:rPr>
            </w:pPr>
            <w:bookmarkStart w:id="310" w:name="_Toc396945881"/>
            <w:bookmarkStart w:id="311" w:name="_Toc397081560"/>
            <w:bookmarkStart w:id="312" w:name="_Toc400983686"/>
            <w:bookmarkStart w:id="313" w:name="_Toc401048592"/>
            <w:bookmarkStart w:id="314" w:name="_Toc403463504"/>
            <w:bookmarkStart w:id="315" w:name="_Toc405566069"/>
            <w:bookmarkStart w:id="316" w:name="_Toc405805552"/>
            <w:r w:rsidRPr="00857607">
              <w:rPr>
                <w:b w:val="0"/>
                <w:caps w:val="0"/>
                <w:sz w:val="20"/>
                <w:szCs w:val="20"/>
              </w:rPr>
              <w:t>Организация дорожной деятельности в отношении автомобильных дорог местного значения в границах города Когалыма</w:t>
            </w:r>
            <w:bookmarkEnd w:id="310"/>
            <w:bookmarkEnd w:id="311"/>
            <w:bookmarkEnd w:id="312"/>
            <w:bookmarkEnd w:id="313"/>
            <w:bookmarkEnd w:id="314"/>
            <w:bookmarkEnd w:id="315"/>
            <w:bookmarkEnd w:id="316"/>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743 997,90</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Окружной бюджет, местный бюджет, внебюджетные источники</w:t>
            </w:r>
          </w:p>
        </w:tc>
        <w:tc>
          <w:tcPr>
            <w:tcW w:w="1655" w:type="pct"/>
            <w:vAlign w:val="center"/>
          </w:tcPr>
          <w:p w:rsidR="004616EA" w:rsidRPr="00FF6DF6" w:rsidRDefault="004616EA" w:rsidP="00FA0564">
            <w:pPr>
              <w:pStyle w:val="a7"/>
              <w:spacing w:after="0" w:line="240" w:lineRule="auto"/>
              <w:ind w:left="0"/>
              <w:jc w:val="both"/>
              <w:rPr>
                <w:rFonts w:ascii="Times New Roman" w:hAnsi="Times New Roman"/>
              </w:rPr>
            </w:pPr>
            <w:r w:rsidRPr="00FF6DF6">
              <w:rPr>
                <w:rFonts w:ascii="Times New Roman" w:hAnsi="Times New Roman"/>
              </w:rPr>
              <w:t>Обеспечение перевозок пассажиров по городским маршрутам – количество выполняемых рейсов - 116100;</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Увеличение протяженности отремонтированных капитальным ремонтом автомобильных дорог общего пользования муниципального значения - до 479,787 тыс. кв. м;</w:t>
            </w:r>
          </w:p>
          <w:p w:rsidR="004616EA" w:rsidRPr="00FF6DF6" w:rsidRDefault="004616EA" w:rsidP="00FA0564">
            <w:pPr>
              <w:pStyle w:val="a7"/>
              <w:widowControl w:val="0"/>
              <w:autoSpaceDE w:val="0"/>
              <w:autoSpaceDN w:val="0"/>
              <w:adjustRightInd w:val="0"/>
              <w:spacing w:after="0" w:line="240" w:lineRule="auto"/>
              <w:ind w:left="0"/>
              <w:jc w:val="both"/>
              <w:outlineLvl w:val="1"/>
              <w:rPr>
                <w:rFonts w:ascii="Times New Roman" w:hAnsi="Times New Roman"/>
                <w:lang w:eastAsia="en-US"/>
              </w:rPr>
            </w:pPr>
            <w:bookmarkStart w:id="317" w:name="_Toc396945882"/>
            <w:bookmarkStart w:id="318" w:name="_Toc397081561"/>
            <w:bookmarkStart w:id="319" w:name="_Toc400983687"/>
            <w:bookmarkStart w:id="320" w:name="_Toc401048593"/>
            <w:bookmarkStart w:id="321" w:name="_Toc403463505"/>
            <w:bookmarkStart w:id="322" w:name="_Toc405566070"/>
            <w:bookmarkStart w:id="323" w:name="_Toc405805553"/>
            <w:r w:rsidRPr="00FF6DF6">
              <w:rPr>
                <w:rFonts w:ascii="Times New Roman" w:hAnsi="Times New Roman"/>
                <w:lang w:eastAsia="en-US"/>
              </w:rPr>
              <w:t>Разработано проектно-сметных документаций на строительство кольцевых развязок на пересечении улицы Дружбы Народов и улицы Береговой, на пересечении улицы Дружбы Народов и проспекта Нефтяников (в том числе изыскательные работы) - 2 комплекта;</w:t>
            </w:r>
            <w:bookmarkEnd w:id="317"/>
            <w:bookmarkEnd w:id="318"/>
            <w:bookmarkEnd w:id="319"/>
            <w:bookmarkEnd w:id="320"/>
            <w:bookmarkEnd w:id="321"/>
            <w:bookmarkEnd w:id="322"/>
            <w:bookmarkEnd w:id="323"/>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Выполнено строительство кольцевых развязок – 2 шт;</w:t>
            </w:r>
          </w:p>
          <w:p w:rsidR="004616EA" w:rsidRPr="00FF6DF6" w:rsidRDefault="004616EA" w:rsidP="00FA0564">
            <w:pPr>
              <w:pStyle w:val="a7"/>
              <w:spacing w:after="0" w:line="240" w:lineRule="auto"/>
              <w:ind w:left="0"/>
              <w:jc w:val="both"/>
              <w:rPr>
                <w:rFonts w:ascii="Times New Roman" w:hAnsi="Times New Roman"/>
              </w:rPr>
            </w:pPr>
            <w:r w:rsidRPr="00FF6DF6">
              <w:rPr>
                <w:rFonts w:ascii="Times New Roman" w:hAnsi="Times New Roman"/>
              </w:rPr>
              <w:t>Обеспечение электроэнергией светофорных объектов 45300 кВт*час;</w:t>
            </w:r>
          </w:p>
          <w:p w:rsidR="004616EA" w:rsidRPr="00FF6DF6" w:rsidRDefault="004616EA" w:rsidP="00FA0564">
            <w:pPr>
              <w:pStyle w:val="a7"/>
              <w:spacing w:after="0" w:line="240" w:lineRule="auto"/>
              <w:ind w:left="0"/>
              <w:jc w:val="both"/>
              <w:rPr>
                <w:rFonts w:ascii="Times New Roman" w:hAnsi="Times New Roman"/>
              </w:rPr>
            </w:pPr>
            <w:r w:rsidRPr="00FF6DF6">
              <w:rPr>
                <w:rFonts w:ascii="Times New Roman" w:hAnsi="Times New Roman"/>
              </w:rPr>
              <w:t xml:space="preserve">Уменьшение количества предписаний надзорных органов на качество обслуживания автомобильных дорог города Когалыма до 3-х в год;                                        </w:t>
            </w:r>
            <w:r w:rsidRPr="00FF6DF6">
              <w:rPr>
                <w:rFonts w:ascii="Times New Roman" w:hAnsi="Times New Roman"/>
              </w:rPr>
              <w:br/>
              <w:t>Обеспечение стабильности работы светофорных объектов в течение года до 99,8%</w:t>
            </w:r>
          </w:p>
          <w:p w:rsidR="004616EA" w:rsidRPr="00475E67" w:rsidRDefault="004616EA" w:rsidP="00FA0564">
            <w:pPr>
              <w:spacing w:after="0" w:line="240" w:lineRule="auto"/>
              <w:rPr>
                <w:rFonts w:ascii="Times New Roman" w:hAnsi="Times New Roman"/>
                <w:sz w:val="20"/>
                <w:szCs w:val="20"/>
                <w:lang w:eastAsia="ru-RU"/>
              </w:rPr>
            </w:pPr>
          </w:p>
        </w:tc>
      </w:tr>
      <w:tr w:rsidR="004616EA" w:rsidRPr="00475E67" w:rsidTr="00F30319">
        <w:trPr>
          <w:trHeight w:val="1754"/>
        </w:trPr>
        <w:tc>
          <w:tcPr>
            <w:tcW w:w="820" w:type="pct"/>
            <w:vAlign w:val="center"/>
          </w:tcPr>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lang w:eastAsia="ru-RU"/>
              </w:rPr>
              <w:t xml:space="preserve">14. </w:t>
            </w:r>
            <w:r w:rsidRPr="00475E67">
              <w:rPr>
                <w:rFonts w:ascii="Times New Roman" w:hAnsi="Times New Roman"/>
                <w:sz w:val="20"/>
                <w:szCs w:val="20"/>
              </w:rPr>
              <w:t>«Развитие физической культуры и спорта в городе Когалыме на 2014 – 2016 годы»</w:t>
            </w:r>
          </w:p>
          <w:p w:rsidR="004616EA" w:rsidRPr="00475E67" w:rsidRDefault="004616EA" w:rsidP="00FA0564">
            <w:pPr>
              <w:spacing w:before="240" w:after="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11.10.2013 №2920</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25.04.2014 №897)</w:t>
            </w:r>
          </w:p>
        </w:tc>
        <w:tc>
          <w:tcPr>
            <w:tcW w:w="1391" w:type="pct"/>
            <w:vAlign w:val="center"/>
          </w:tcPr>
          <w:p w:rsidR="004616EA" w:rsidRPr="00733BD3" w:rsidRDefault="004616EA" w:rsidP="00FA0564">
            <w:pPr>
              <w:pStyle w:val="af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Calibri"/>
                <w:i/>
                <w:sz w:val="20"/>
                <w:szCs w:val="20"/>
                <w:u w:val="single"/>
                <w:lang w:eastAsia="en-US"/>
              </w:rPr>
            </w:pPr>
            <w:r w:rsidRPr="00733BD3">
              <w:rPr>
                <w:rFonts w:ascii="Times New Roman" w:hAnsi="Times New Roman" w:cs="Calibri"/>
                <w:i/>
                <w:sz w:val="20"/>
                <w:szCs w:val="20"/>
                <w:u w:val="single"/>
                <w:lang w:eastAsia="en-US"/>
              </w:rPr>
              <w:t>Цели:</w:t>
            </w:r>
          </w:p>
          <w:p w:rsidR="004616EA" w:rsidRPr="00733BD3" w:rsidRDefault="004616EA" w:rsidP="00FA0564">
            <w:pPr>
              <w:pStyle w:val="af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Calibri"/>
                <w:sz w:val="20"/>
                <w:szCs w:val="20"/>
                <w:lang w:eastAsia="en-US"/>
              </w:rPr>
            </w:pPr>
            <w:r w:rsidRPr="00733BD3">
              <w:rPr>
                <w:rFonts w:ascii="Times New Roman" w:hAnsi="Times New Roman" w:cs="Calibri"/>
                <w:sz w:val="20"/>
                <w:szCs w:val="20"/>
                <w:lang w:eastAsia="en-US"/>
              </w:rPr>
              <w:t>Создание условий, ориентирующих граждан на здоровый образ жизни, в том числе на занятия физической культурой и спортом, увеличение количества граждан, систематически занимающихся физической культурой и спортом;</w:t>
            </w:r>
          </w:p>
          <w:p w:rsidR="004616EA" w:rsidRPr="00475E67" w:rsidRDefault="004616EA" w:rsidP="00FA0564">
            <w:pPr>
              <w:pStyle w:val="ConsPlusNonformat"/>
              <w:widowControl/>
              <w:jc w:val="both"/>
              <w:rPr>
                <w:rFonts w:ascii="Times New Roman" w:hAnsi="Times New Roman" w:cs="Times New Roman"/>
              </w:rPr>
            </w:pPr>
            <w:r w:rsidRPr="00475E67">
              <w:rPr>
                <w:rFonts w:ascii="Times New Roman" w:hAnsi="Times New Roman" w:cs="Times New Roman"/>
              </w:rPr>
              <w:t>Достижение спортсменами города Когалыма высших спортивных результатов на окружных, всероссийских и международных спортивных соревнованиях;</w:t>
            </w:r>
          </w:p>
          <w:p w:rsidR="004616EA" w:rsidRPr="00475E67" w:rsidRDefault="004616EA" w:rsidP="00FA0564">
            <w:pPr>
              <w:pStyle w:val="ConsPlusNonformat"/>
              <w:widowControl/>
              <w:jc w:val="both"/>
              <w:rPr>
                <w:rFonts w:ascii="Times New Roman" w:hAnsi="Times New Roman" w:cs="Times New Roman"/>
              </w:rPr>
            </w:pPr>
            <w:r w:rsidRPr="00475E67">
              <w:rPr>
                <w:rFonts w:ascii="Times New Roman" w:hAnsi="Times New Roman" w:cs="Times New Roman"/>
              </w:rPr>
              <w:t>Повышение эффективности деятельности отрасли физическая культура и спорт</w:t>
            </w:r>
          </w:p>
          <w:p w:rsidR="004616EA" w:rsidRPr="00FF6DF6" w:rsidRDefault="004616EA" w:rsidP="00FA0564">
            <w:pPr>
              <w:pStyle w:val="a7"/>
              <w:spacing w:after="0" w:line="240" w:lineRule="auto"/>
              <w:ind w:left="0"/>
              <w:jc w:val="both"/>
              <w:rPr>
                <w:rFonts w:ascii="Times New Roman" w:hAnsi="Times New Roman"/>
              </w:rPr>
            </w:pPr>
            <w:r w:rsidRPr="00FF6DF6">
              <w:rPr>
                <w:rFonts w:ascii="Times New Roman" w:hAnsi="Times New Roman"/>
                <w:i/>
                <w:u w:val="single"/>
              </w:rPr>
              <w:t>Задачи:</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615</w:t>
            </w:r>
            <w:r w:rsidRPr="00475E67">
              <w:rPr>
                <w:rFonts w:ascii="Times New Roman" w:hAnsi="Times New Roman"/>
                <w:sz w:val="20"/>
                <w:szCs w:val="20"/>
                <w:lang w:val="en-US"/>
              </w:rPr>
              <w:t> </w:t>
            </w:r>
            <w:r w:rsidRPr="00475E67">
              <w:rPr>
                <w:rFonts w:ascii="Times New Roman" w:hAnsi="Times New Roman"/>
                <w:sz w:val="20"/>
                <w:szCs w:val="20"/>
              </w:rPr>
              <w:t>327,70</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Местный бюджет</w:t>
            </w:r>
          </w:p>
        </w:tc>
        <w:tc>
          <w:tcPr>
            <w:tcW w:w="1655" w:type="pct"/>
            <w:vAlign w:val="center"/>
          </w:tcPr>
          <w:p w:rsidR="004616EA" w:rsidRPr="00733BD3" w:rsidRDefault="004616EA" w:rsidP="00FA0564">
            <w:pPr>
              <w:pStyle w:val="af2"/>
              <w:widowControl w:val="0"/>
              <w:jc w:val="both"/>
              <w:rPr>
                <w:rFonts w:ascii="Times New Roman" w:hAnsi="Times New Roman" w:cs="Calibri"/>
                <w:sz w:val="20"/>
                <w:szCs w:val="20"/>
                <w:lang w:eastAsia="en-US"/>
              </w:rPr>
            </w:pPr>
            <w:r w:rsidRPr="00733BD3">
              <w:rPr>
                <w:rFonts w:ascii="Times New Roman" w:hAnsi="Times New Roman" w:cs="Calibri"/>
                <w:sz w:val="20"/>
                <w:szCs w:val="20"/>
                <w:lang w:eastAsia="en-US"/>
              </w:rPr>
              <w:t>Увеличение удельного веса населения, занимающегося физической культурой и спортом 23% до 25,6 %;</w:t>
            </w:r>
          </w:p>
          <w:p w:rsidR="004616EA" w:rsidRPr="00475E67" w:rsidRDefault="004616EA" w:rsidP="00FA0564">
            <w:pPr>
              <w:pStyle w:val="ConsPlusNonformat"/>
              <w:widowControl/>
              <w:jc w:val="both"/>
              <w:rPr>
                <w:rFonts w:ascii="Times New Roman" w:hAnsi="Times New Roman" w:cs="Times New Roman"/>
              </w:rPr>
            </w:pPr>
            <w:r w:rsidRPr="00475E67">
              <w:rPr>
                <w:rFonts w:ascii="Times New Roman" w:hAnsi="Times New Roman" w:cs="Times New Roman"/>
              </w:rPr>
              <w:t>Увеличение количества спортсменов города Когалыма, входящих в состав сборных команд Ханты-Мансийского автономного округа – Югры и России с 20 до 29 человек в год;</w:t>
            </w:r>
          </w:p>
          <w:p w:rsidR="004616EA" w:rsidRPr="00733BD3" w:rsidRDefault="004616EA" w:rsidP="00FA0564">
            <w:pPr>
              <w:pStyle w:val="af2"/>
              <w:widowControl w:val="0"/>
              <w:jc w:val="both"/>
              <w:rPr>
                <w:rFonts w:ascii="Times New Roman" w:hAnsi="Times New Roman" w:cs="Calibri"/>
                <w:sz w:val="20"/>
                <w:szCs w:val="20"/>
                <w:lang w:eastAsia="en-US"/>
              </w:rPr>
            </w:pPr>
            <w:r w:rsidRPr="00733BD3">
              <w:rPr>
                <w:rFonts w:ascii="Times New Roman" w:hAnsi="Times New Roman" w:cs="Calibri"/>
                <w:sz w:val="20"/>
                <w:szCs w:val="20"/>
                <w:lang w:eastAsia="en-US"/>
              </w:rPr>
              <w:t>Увеличение количества медалей, завоеванных спортсменами города Когалыма в окружных, всероссийских и международных соревнованиях с 250 до 315 медалей в год;</w:t>
            </w:r>
          </w:p>
          <w:p w:rsidR="004616EA" w:rsidRPr="00475E67" w:rsidRDefault="004616EA" w:rsidP="00FA0564">
            <w:pPr>
              <w:pStyle w:val="c1"/>
              <w:spacing w:before="0" w:after="0"/>
              <w:jc w:val="both"/>
              <w:rPr>
                <w:sz w:val="20"/>
                <w:szCs w:val="20"/>
              </w:rPr>
            </w:pPr>
            <w:r w:rsidRPr="00475E67">
              <w:rPr>
                <w:sz w:val="20"/>
                <w:szCs w:val="20"/>
              </w:rPr>
              <w:t>Приобретение детьми навыков коммуникации через активную форму отдыха, формирование положительного опыта социального поведения;</w:t>
            </w:r>
          </w:p>
          <w:p w:rsidR="004616EA" w:rsidRPr="00FF6DF6" w:rsidRDefault="004616EA" w:rsidP="00FA0564">
            <w:pPr>
              <w:pStyle w:val="a7"/>
              <w:spacing w:after="0" w:line="240" w:lineRule="auto"/>
              <w:ind w:left="0"/>
              <w:jc w:val="both"/>
              <w:rPr>
                <w:rFonts w:ascii="Times New Roman" w:hAnsi="Times New Roman"/>
              </w:rPr>
            </w:pPr>
            <w:r w:rsidRPr="00FF6DF6">
              <w:t xml:space="preserve">Предупреждение безнадзорности и правонарушений </w:t>
            </w:r>
          </w:p>
        </w:tc>
      </w:tr>
    </w:tbl>
    <w:p w:rsidR="004616EA" w:rsidRDefault="004616EA">
      <w:pPr>
        <w:sectPr w:rsidR="004616EA" w:rsidSect="002D3BE6">
          <w:type w:val="continuous"/>
          <w:pgSz w:w="16838" w:h="11906" w:orient="landscape"/>
          <w:pgMar w:top="567" w:right="567" w:bottom="2552"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12"/>
        <w:gridCol w:w="4430"/>
        <w:gridCol w:w="1774"/>
        <w:gridCol w:w="1834"/>
        <w:gridCol w:w="5270"/>
      </w:tblGrid>
      <w:tr w:rsidR="004616EA" w:rsidRPr="00475E67" w:rsidTr="00F30319">
        <w:trPr>
          <w:trHeight w:val="1754"/>
        </w:trPr>
        <w:tc>
          <w:tcPr>
            <w:tcW w:w="820" w:type="pct"/>
            <w:vAlign w:val="center"/>
          </w:tcPr>
          <w:p w:rsidR="004616EA" w:rsidRPr="00475E67" w:rsidRDefault="004616EA" w:rsidP="00FA0564">
            <w:pPr>
              <w:spacing w:after="0" w:line="240" w:lineRule="auto"/>
              <w:jc w:val="center"/>
              <w:rPr>
                <w:rFonts w:ascii="Times New Roman" w:hAnsi="Times New Roman"/>
                <w:sz w:val="20"/>
                <w:szCs w:val="20"/>
                <w:lang w:eastAsia="ru-RU"/>
              </w:rPr>
            </w:pPr>
          </w:p>
        </w:tc>
        <w:tc>
          <w:tcPr>
            <w:tcW w:w="1391" w:type="pct"/>
            <w:vAlign w:val="center"/>
          </w:tcPr>
          <w:p w:rsidR="004616EA" w:rsidRPr="00733BD3" w:rsidRDefault="004616EA" w:rsidP="006E01A0">
            <w:pPr>
              <w:pStyle w:val="HTML"/>
              <w:tabs>
                <w:tab w:val="clear" w:pos="916"/>
                <w:tab w:val="left" w:pos="480"/>
              </w:tabs>
              <w:jc w:val="both"/>
              <w:rPr>
                <w:rFonts w:ascii="Times New Roman" w:hAnsi="Times New Roman"/>
              </w:rPr>
            </w:pPr>
            <w:r w:rsidRPr="00733BD3">
              <w:rPr>
                <w:rFonts w:ascii="Times New Roman" w:hAnsi="Times New Roman"/>
              </w:rPr>
              <w:t>Развитие массовой физической культуры и спорта, спортивной инфраструктуры, пропаганда здорового образа жизни;</w:t>
            </w:r>
          </w:p>
          <w:p w:rsidR="004616EA" w:rsidRPr="00475E67" w:rsidRDefault="004616EA" w:rsidP="006E01A0">
            <w:pPr>
              <w:pStyle w:val="ConsPlusNonformat"/>
              <w:widowControl/>
              <w:jc w:val="both"/>
              <w:rPr>
                <w:rFonts w:ascii="Times New Roman" w:hAnsi="Times New Roman" w:cs="Times New Roman"/>
              </w:rPr>
            </w:pPr>
            <w:r w:rsidRPr="00475E67">
              <w:rPr>
                <w:rFonts w:ascii="Times New Roman" w:hAnsi="Times New Roman" w:cs="Times New Roman"/>
              </w:rPr>
              <w:t>Обеспечение успешного выступления спортсменов города Когалыма в окружных, всероссийских и международных спортивных соревнованиях, подготовка спортивного резерва, поддержка развития спорта высших достижений, в том числе спорта инвалидов и лиц с ограниченными возможностями здоровья.</w:t>
            </w:r>
          </w:p>
          <w:p w:rsidR="004616EA" w:rsidRPr="00733BD3" w:rsidRDefault="004616EA" w:rsidP="006E01A0">
            <w:pPr>
              <w:pStyle w:val="af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Calibri"/>
                <w:i/>
                <w:sz w:val="20"/>
                <w:szCs w:val="20"/>
                <w:u w:val="single"/>
                <w:lang w:eastAsia="en-US"/>
              </w:rPr>
            </w:pPr>
            <w:r w:rsidRPr="00733BD3">
              <w:rPr>
                <w:rFonts w:ascii="Times New Roman" w:hAnsi="Times New Roman"/>
                <w:lang w:eastAsia="en-US"/>
              </w:rPr>
              <w:t>Обеспечение оптимизации деятельности Управления культуры, спорта и молодёжной политики, и повышение эффективности бюджетных расходов</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rPr>
            </w:pP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p>
        </w:tc>
        <w:tc>
          <w:tcPr>
            <w:tcW w:w="1655" w:type="pct"/>
            <w:vAlign w:val="center"/>
          </w:tcPr>
          <w:p w:rsidR="004616EA" w:rsidRPr="00475E67" w:rsidRDefault="004616EA" w:rsidP="006E01A0">
            <w:pPr>
              <w:pStyle w:val="c1"/>
              <w:spacing w:before="0" w:after="0"/>
              <w:jc w:val="both"/>
              <w:rPr>
                <w:sz w:val="20"/>
                <w:szCs w:val="20"/>
              </w:rPr>
            </w:pPr>
            <w:r w:rsidRPr="00475E67">
              <w:rPr>
                <w:sz w:val="20"/>
                <w:szCs w:val="20"/>
              </w:rPr>
              <w:t>несовершеннолетних в летний период, позитивное самоутверждение;</w:t>
            </w:r>
          </w:p>
          <w:p w:rsidR="004616EA" w:rsidRPr="00733BD3" w:rsidRDefault="004616EA" w:rsidP="006E01A0">
            <w:pPr>
              <w:pStyle w:val="af2"/>
              <w:widowControl w:val="0"/>
              <w:jc w:val="both"/>
              <w:rPr>
                <w:rFonts w:ascii="Times New Roman" w:hAnsi="Times New Roman" w:cs="Calibri"/>
                <w:sz w:val="20"/>
                <w:szCs w:val="20"/>
                <w:lang w:eastAsia="en-US"/>
              </w:rPr>
            </w:pPr>
            <w:r w:rsidRPr="00733BD3">
              <w:rPr>
                <w:rFonts w:ascii="Times New Roman" w:hAnsi="Times New Roman" w:cs="Calibri"/>
                <w:sz w:val="20"/>
                <w:szCs w:val="20"/>
                <w:lang w:eastAsia="en-US"/>
              </w:rPr>
              <w:t>Максимальное раскрытие в полноценном отдыхе физического потенциала.</w:t>
            </w:r>
          </w:p>
          <w:p w:rsidR="004616EA" w:rsidRPr="00733BD3" w:rsidRDefault="004616EA" w:rsidP="006E01A0">
            <w:pPr>
              <w:pStyle w:val="af2"/>
              <w:widowControl w:val="0"/>
              <w:jc w:val="both"/>
              <w:rPr>
                <w:rFonts w:ascii="Times New Roman" w:hAnsi="Times New Roman" w:cs="Calibri"/>
                <w:sz w:val="20"/>
                <w:szCs w:val="20"/>
                <w:lang w:eastAsia="en-US"/>
              </w:rPr>
            </w:pPr>
            <w:r w:rsidRPr="00733BD3">
              <w:rPr>
                <w:rStyle w:val="c57"/>
                <w:lang w:eastAsia="en-US"/>
              </w:rPr>
              <w:t>Р</w:t>
            </w:r>
            <w:r w:rsidRPr="00733BD3">
              <w:rPr>
                <w:rFonts w:ascii="Times New Roman" w:hAnsi="Times New Roman"/>
                <w:lang w:eastAsia="en-US"/>
              </w:rPr>
              <w:t>ост удовлетворенности населения города Когалыма качеством услуг, предоставляемых подведомственным Управлению культуру, спорта и молодёжной политики Администрации города Когалыма учреждением с 83% до 90%</w:t>
            </w:r>
          </w:p>
        </w:tc>
      </w:tr>
      <w:tr w:rsidR="004616EA" w:rsidRPr="00475E67" w:rsidTr="00F30319">
        <w:trPr>
          <w:trHeight w:val="1754"/>
        </w:trPr>
        <w:tc>
          <w:tcPr>
            <w:tcW w:w="820" w:type="pct"/>
            <w:vAlign w:val="center"/>
          </w:tcPr>
          <w:p w:rsidR="004616EA" w:rsidRPr="00475E67" w:rsidRDefault="004616EA" w:rsidP="00FA0564">
            <w:pPr>
              <w:pStyle w:val="ConsPlusTitle"/>
              <w:widowControl/>
              <w:jc w:val="center"/>
              <w:rPr>
                <w:b w:val="0"/>
                <w:sz w:val="20"/>
                <w:szCs w:val="20"/>
              </w:rPr>
            </w:pPr>
            <w:r w:rsidRPr="00475E67">
              <w:rPr>
                <w:b w:val="0"/>
                <w:sz w:val="20"/>
                <w:szCs w:val="20"/>
              </w:rPr>
              <w:t>15.  «Реконструкция и ремонт, в том числе капитальный,</w:t>
            </w:r>
          </w:p>
          <w:p w:rsidR="004616EA" w:rsidRPr="00475E67" w:rsidRDefault="004616EA" w:rsidP="00FA0564">
            <w:pPr>
              <w:autoSpaceDE w:val="0"/>
              <w:autoSpaceDN w:val="0"/>
              <w:adjustRightInd w:val="0"/>
              <w:spacing w:line="240" w:lineRule="auto"/>
              <w:jc w:val="center"/>
              <w:rPr>
                <w:rFonts w:ascii="Times New Roman" w:hAnsi="Times New Roman"/>
                <w:sz w:val="20"/>
                <w:szCs w:val="20"/>
              </w:rPr>
            </w:pPr>
            <w:r w:rsidRPr="00475E67">
              <w:rPr>
                <w:rFonts w:ascii="Times New Roman" w:hAnsi="Times New Roman"/>
                <w:bCs/>
                <w:sz w:val="20"/>
                <w:szCs w:val="20"/>
                <w:lang w:eastAsia="ru-RU"/>
              </w:rPr>
              <w:t xml:space="preserve">объектов муниципальной собственности </w:t>
            </w:r>
            <w:r w:rsidRPr="00475E67">
              <w:rPr>
                <w:rFonts w:ascii="Times New Roman" w:hAnsi="Times New Roman"/>
                <w:sz w:val="20"/>
                <w:szCs w:val="20"/>
              </w:rPr>
              <w:t>города Когалыма на 2014-2016 годы»</w:t>
            </w:r>
          </w:p>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09.10.2013 №2882</w:t>
            </w:r>
          </w:p>
          <w:p w:rsidR="004616EA" w:rsidRPr="00475E67" w:rsidRDefault="004616EA" w:rsidP="00FA0564">
            <w:pPr>
              <w:spacing w:after="0" w:line="240" w:lineRule="auto"/>
              <w:jc w:val="center"/>
              <w:rPr>
                <w:rFonts w:ascii="Times New Roman" w:hAnsi="Times New Roman"/>
                <w:sz w:val="20"/>
                <w:szCs w:val="20"/>
                <w:lang w:eastAsia="ru-RU"/>
              </w:rPr>
            </w:pP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(в ред. от 05.05.2014 №1005)</w:t>
            </w:r>
          </w:p>
        </w:tc>
        <w:tc>
          <w:tcPr>
            <w:tcW w:w="1391" w:type="pct"/>
            <w:vAlign w:val="center"/>
          </w:tcPr>
          <w:p w:rsidR="004616EA" w:rsidRPr="00475E67" w:rsidRDefault="004616EA" w:rsidP="00FA0564">
            <w:pPr>
              <w:widowControl w:val="0"/>
              <w:autoSpaceDE w:val="0"/>
              <w:autoSpaceDN w:val="0"/>
              <w:adjustRightInd w:val="0"/>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Цели:</w:t>
            </w:r>
          </w:p>
          <w:p w:rsidR="004616EA" w:rsidRPr="00FF6DF6" w:rsidRDefault="004616EA" w:rsidP="00FA0564">
            <w:pPr>
              <w:pStyle w:val="a7"/>
              <w:widowControl w:val="0"/>
              <w:tabs>
                <w:tab w:val="left" w:pos="67"/>
                <w:tab w:val="left" w:pos="96"/>
                <w:tab w:val="left" w:pos="459"/>
              </w:tabs>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Улучшение технических характеристик, изменение функционального назначения и восстановление объектов муниципальной собственности;</w:t>
            </w:r>
          </w:p>
          <w:p w:rsidR="004616EA" w:rsidRPr="00FF6DF6" w:rsidRDefault="004616EA" w:rsidP="00FA0564">
            <w:pPr>
              <w:pStyle w:val="a7"/>
              <w:widowControl w:val="0"/>
              <w:tabs>
                <w:tab w:val="left" w:pos="67"/>
                <w:tab w:val="left" w:pos="459"/>
              </w:tabs>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Сохранение и поддержание объектов муниципальной собственности, в состоянии соответствующим строительным и техническим нормам</w:t>
            </w:r>
          </w:p>
          <w:p w:rsidR="004616EA" w:rsidRPr="00475E67" w:rsidRDefault="004616EA" w:rsidP="00FA0564">
            <w:pPr>
              <w:widowControl w:val="0"/>
              <w:tabs>
                <w:tab w:val="left" w:pos="67"/>
              </w:tabs>
              <w:autoSpaceDE w:val="0"/>
              <w:autoSpaceDN w:val="0"/>
              <w:adjustRightInd w:val="0"/>
              <w:spacing w:after="0" w:line="240" w:lineRule="auto"/>
              <w:jc w:val="both"/>
              <w:rPr>
                <w:rFonts w:ascii="Times New Roman" w:hAnsi="Times New Roman"/>
                <w:i/>
                <w:sz w:val="20"/>
                <w:szCs w:val="20"/>
                <w:u w:val="single"/>
                <w:lang w:eastAsia="ru-RU"/>
              </w:rPr>
            </w:pPr>
            <w:r w:rsidRPr="00475E67">
              <w:rPr>
                <w:rFonts w:ascii="Times New Roman" w:hAnsi="Times New Roman"/>
                <w:i/>
                <w:sz w:val="20"/>
                <w:szCs w:val="20"/>
                <w:u w:val="single"/>
                <w:lang w:eastAsia="ru-RU"/>
              </w:rPr>
              <w:t>Задачи:</w:t>
            </w:r>
          </w:p>
          <w:p w:rsidR="004616EA" w:rsidRPr="00733BD3" w:rsidRDefault="004616EA" w:rsidP="00FA0564">
            <w:pPr>
              <w:pStyle w:val="ConsPlusNormal"/>
              <w:widowControl/>
              <w:tabs>
                <w:tab w:val="left" w:pos="459"/>
              </w:tabs>
              <w:jc w:val="both"/>
              <w:rPr>
                <w:rFonts w:ascii="Times New Roman" w:hAnsi="Times New Roman"/>
                <w:sz w:val="20"/>
                <w:szCs w:val="20"/>
              </w:rPr>
            </w:pPr>
            <w:r w:rsidRPr="00733BD3">
              <w:rPr>
                <w:rFonts w:ascii="Times New Roman" w:hAnsi="Times New Roman"/>
                <w:sz w:val="20"/>
                <w:szCs w:val="20"/>
              </w:rPr>
              <w:t>Проведение реконструкции объектов муниципальной собственности;</w:t>
            </w:r>
          </w:p>
          <w:p w:rsidR="004616EA" w:rsidRPr="00FF6DF6" w:rsidRDefault="004616EA" w:rsidP="00FA0564">
            <w:pPr>
              <w:pStyle w:val="a7"/>
              <w:tabs>
                <w:tab w:val="left" w:pos="67"/>
                <w:tab w:val="left" w:pos="459"/>
              </w:tabs>
              <w:autoSpaceDE w:val="0"/>
              <w:autoSpaceDN w:val="0"/>
              <w:adjustRightInd w:val="0"/>
              <w:spacing w:after="0" w:line="240" w:lineRule="auto"/>
              <w:ind w:left="0"/>
              <w:jc w:val="both"/>
              <w:rPr>
                <w:rFonts w:ascii="Times New Roman" w:hAnsi="Times New Roman"/>
              </w:rPr>
            </w:pPr>
            <w:r w:rsidRPr="00FF6DF6">
              <w:rPr>
                <w:rFonts w:ascii="Times New Roman" w:hAnsi="Times New Roman"/>
                <w:lang w:eastAsia="en-US"/>
              </w:rPr>
              <w:t>Обеспечение деятельности учреждения, осуществляющего функции заказчика на территории муниципального образования города Когалыма по строительству, реконструкции, ремонту (в том числе капитальному), техническому обслуживанию объектов, находящихся в муниципальной собственности</w:t>
            </w:r>
          </w:p>
          <w:p w:rsidR="004616EA" w:rsidRPr="00733BD3" w:rsidRDefault="004616EA" w:rsidP="00FA0564">
            <w:pPr>
              <w:pStyle w:val="af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Calibri"/>
                <w:i/>
                <w:sz w:val="20"/>
                <w:szCs w:val="20"/>
                <w:u w:val="single"/>
                <w:lang w:eastAsia="en-US"/>
              </w:rPr>
            </w:pP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391 593,18</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Местный бюджет, внебюджетные источники</w:t>
            </w:r>
          </w:p>
        </w:tc>
        <w:tc>
          <w:tcPr>
            <w:tcW w:w="1655" w:type="pct"/>
          </w:tcPr>
          <w:p w:rsidR="004616EA" w:rsidRPr="00FF6DF6" w:rsidRDefault="004616EA" w:rsidP="00FA0564">
            <w:pPr>
              <w:pStyle w:val="a7"/>
              <w:tabs>
                <w:tab w:val="left" w:pos="212"/>
                <w:tab w:val="left" w:pos="1170"/>
              </w:tabs>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Улучшение технической характеристики по 3 объектам;</w:t>
            </w:r>
          </w:p>
          <w:p w:rsidR="004616EA" w:rsidRPr="00FF6DF6" w:rsidRDefault="004616EA" w:rsidP="00FA0564">
            <w:pPr>
              <w:pStyle w:val="a7"/>
              <w:tabs>
                <w:tab w:val="left" w:pos="212"/>
                <w:tab w:val="left" w:pos="1170"/>
              </w:tabs>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Разработка проектно-сметной документации для улучшения технической характеристики по 1 объекту;</w:t>
            </w:r>
          </w:p>
          <w:p w:rsidR="004616EA" w:rsidRPr="00FF6DF6" w:rsidRDefault="004616EA" w:rsidP="00FA0564">
            <w:pPr>
              <w:pStyle w:val="a7"/>
              <w:suppressAutoHyphens/>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Изменение функционального назначения по 1 объекту;</w:t>
            </w:r>
          </w:p>
          <w:p w:rsidR="004616EA" w:rsidRPr="00FF6DF6" w:rsidRDefault="004616EA" w:rsidP="00FA0564">
            <w:pPr>
              <w:pStyle w:val="a7"/>
              <w:suppressAutoHyphens/>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Улучшение эксплуатационной характеристики по 21 объекту</w:t>
            </w:r>
          </w:p>
        </w:tc>
      </w:tr>
    </w:tbl>
    <w:p w:rsidR="004616EA" w:rsidRDefault="004616EA">
      <w:pPr>
        <w:sectPr w:rsidR="004616EA" w:rsidSect="002D3BE6">
          <w:type w:val="continuous"/>
          <w:pgSz w:w="16838" w:h="11906" w:orient="landscape"/>
          <w:pgMar w:top="2552" w:right="567" w:bottom="567" w:left="567" w:header="709" w:footer="709" w:gutter="0"/>
          <w:cols w:space="708"/>
          <w:docGrid w:linePitch="360"/>
        </w:sectPr>
      </w:pPr>
    </w:p>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12"/>
        <w:gridCol w:w="4430"/>
        <w:gridCol w:w="1774"/>
        <w:gridCol w:w="1834"/>
        <w:gridCol w:w="5270"/>
      </w:tblGrid>
      <w:tr w:rsidR="004616EA" w:rsidRPr="00475E67" w:rsidTr="00F30319">
        <w:trPr>
          <w:trHeight w:val="1754"/>
        </w:trPr>
        <w:tc>
          <w:tcPr>
            <w:tcW w:w="820" w:type="pct"/>
            <w:vAlign w:val="center"/>
          </w:tcPr>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lang w:eastAsia="ru-RU"/>
              </w:rPr>
              <w:t>16.</w:t>
            </w:r>
            <w:r w:rsidRPr="00475E67">
              <w:rPr>
                <w:rFonts w:ascii="Times New Roman" w:hAnsi="Times New Roman"/>
                <w:sz w:val="20"/>
                <w:szCs w:val="20"/>
              </w:rPr>
              <w:t xml:space="preserve"> «Содействие занятости населения</w:t>
            </w:r>
          </w:p>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rPr>
              <w:t>города Когалыма на 2014-2016 годы»</w:t>
            </w:r>
          </w:p>
          <w:p w:rsidR="004616EA" w:rsidRPr="00475E67" w:rsidRDefault="004616EA" w:rsidP="00FA0564">
            <w:pPr>
              <w:spacing w:before="240" w:after="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11.10.2013 №2901</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26.06.2014 №1529)</w:t>
            </w:r>
          </w:p>
        </w:tc>
        <w:tc>
          <w:tcPr>
            <w:tcW w:w="1391" w:type="pct"/>
            <w:vAlign w:val="center"/>
          </w:tcPr>
          <w:p w:rsidR="004616EA" w:rsidRPr="00475E67" w:rsidRDefault="004616EA" w:rsidP="00FA0564">
            <w:pPr>
              <w:spacing w:after="0" w:line="240" w:lineRule="auto"/>
              <w:ind w:right="-2"/>
              <w:jc w:val="both"/>
              <w:rPr>
                <w:rFonts w:ascii="Times New Roman" w:hAnsi="Times New Roman"/>
                <w:i/>
                <w:sz w:val="20"/>
                <w:szCs w:val="20"/>
                <w:u w:val="single"/>
              </w:rPr>
            </w:pPr>
            <w:r w:rsidRPr="00475E67">
              <w:rPr>
                <w:rFonts w:ascii="Times New Roman" w:hAnsi="Times New Roman"/>
                <w:i/>
                <w:sz w:val="20"/>
                <w:szCs w:val="20"/>
                <w:u w:val="single"/>
              </w:rPr>
              <w:t>Цели:</w:t>
            </w:r>
          </w:p>
          <w:p w:rsidR="004616EA" w:rsidRPr="00FF6DF6" w:rsidRDefault="004616EA" w:rsidP="00FA0564">
            <w:pPr>
              <w:pStyle w:val="a7"/>
              <w:spacing w:after="0" w:line="240" w:lineRule="auto"/>
              <w:ind w:left="0" w:right="-2"/>
              <w:jc w:val="both"/>
              <w:rPr>
                <w:rFonts w:ascii="Times New Roman" w:hAnsi="Times New Roman"/>
                <w:lang w:eastAsia="en-US"/>
              </w:rPr>
            </w:pPr>
            <w:r w:rsidRPr="00FF6DF6">
              <w:rPr>
                <w:rFonts w:ascii="Times New Roman" w:hAnsi="Times New Roman"/>
                <w:lang w:eastAsia="en-US"/>
              </w:rPr>
              <w:t>Содействие занятости населения города Когалыма и повышение конкурентоспособности рабочей силы;</w:t>
            </w:r>
          </w:p>
          <w:p w:rsidR="004616EA" w:rsidRPr="00FF6DF6" w:rsidRDefault="004616EA" w:rsidP="00FA0564">
            <w:pPr>
              <w:pStyle w:val="a7"/>
              <w:spacing w:after="0" w:line="240" w:lineRule="auto"/>
              <w:ind w:left="0" w:right="-2"/>
              <w:jc w:val="both"/>
              <w:rPr>
                <w:rFonts w:ascii="Times New Roman" w:hAnsi="Times New Roman"/>
                <w:lang w:eastAsia="en-US"/>
              </w:rPr>
            </w:pPr>
            <w:r w:rsidRPr="00FF6DF6">
              <w:rPr>
                <w:rFonts w:ascii="Times New Roman" w:hAnsi="Times New Roman"/>
                <w:lang w:eastAsia="en-US"/>
              </w:rPr>
              <w:t>Улучшение условий и охраны труда в городе Когалыме</w:t>
            </w:r>
          </w:p>
          <w:p w:rsidR="004616EA" w:rsidRPr="00475E67" w:rsidRDefault="004616EA" w:rsidP="00FA0564">
            <w:pPr>
              <w:spacing w:after="0" w:line="240" w:lineRule="auto"/>
              <w:ind w:right="-2"/>
              <w:jc w:val="both"/>
              <w:rPr>
                <w:rFonts w:ascii="Times New Roman" w:hAnsi="Times New Roman"/>
                <w:i/>
                <w:sz w:val="20"/>
                <w:szCs w:val="20"/>
                <w:u w:val="single"/>
              </w:rPr>
            </w:pPr>
            <w:r w:rsidRPr="00475E67">
              <w:rPr>
                <w:rFonts w:ascii="Times New Roman" w:hAnsi="Times New Roman"/>
                <w:i/>
                <w:sz w:val="20"/>
                <w:szCs w:val="20"/>
                <w:u w:val="single"/>
              </w:rPr>
              <w:t>Задачи:</w:t>
            </w:r>
          </w:p>
          <w:p w:rsidR="004616EA" w:rsidRPr="00FF6DF6" w:rsidRDefault="004616EA" w:rsidP="00FA0564">
            <w:pPr>
              <w:pStyle w:val="a7"/>
              <w:spacing w:after="0" w:line="240" w:lineRule="auto"/>
              <w:ind w:left="0" w:right="-2"/>
              <w:jc w:val="both"/>
              <w:rPr>
                <w:rFonts w:ascii="Times New Roman" w:hAnsi="Times New Roman"/>
                <w:lang w:eastAsia="en-US"/>
              </w:rPr>
            </w:pPr>
            <w:r w:rsidRPr="00FF6DF6">
              <w:rPr>
                <w:rFonts w:ascii="Times New Roman" w:hAnsi="Times New Roman"/>
                <w:lang w:eastAsia="en-US"/>
              </w:rPr>
              <w:t>Содействие временному трудоустройству несовершеннолетних граждан;</w:t>
            </w:r>
          </w:p>
          <w:p w:rsidR="004616EA" w:rsidRPr="00FF6DF6" w:rsidRDefault="004616EA" w:rsidP="00FA0564">
            <w:pPr>
              <w:pStyle w:val="a7"/>
              <w:spacing w:after="0" w:line="240" w:lineRule="auto"/>
              <w:ind w:left="0" w:right="-2"/>
              <w:jc w:val="both"/>
              <w:rPr>
                <w:rFonts w:ascii="Times New Roman" w:hAnsi="Times New Roman"/>
                <w:lang w:eastAsia="en-US"/>
              </w:rPr>
            </w:pPr>
            <w:r w:rsidRPr="00FF6DF6">
              <w:rPr>
                <w:rFonts w:ascii="Times New Roman" w:hAnsi="Times New Roman"/>
                <w:lang w:eastAsia="en-US"/>
              </w:rPr>
              <w:t>Сдерживание роста безработицы и снижение напряжённости на рынке труда;</w:t>
            </w:r>
          </w:p>
          <w:p w:rsidR="004616EA" w:rsidRPr="00FF6DF6" w:rsidRDefault="004616EA" w:rsidP="00FA0564">
            <w:pPr>
              <w:pStyle w:val="a7"/>
              <w:spacing w:after="0" w:line="240" w:lineRule="auto"/>
              <w:ind w:left="0" w:right="-2"/>
              <w:jc w:val="both"/>
              <w:rPr>
                <w:rFonts w:ascii="Times New Roman" w:hAnsi="Times New Roman"/>
                <w:lang w:eastAsia="en-US"/>
              </w:rPr>
            </w:pPr>
            <w:r w:rsidRPr="00FF6DF6">
              <w:rPr>
                <w:rFonts w:ascii="Times New Roman" w:hAnsi="Times New Roman"/>
                <w:lang w:eastAsia="en-US"/>
              </w:rPr>
              <w:t>Содействие трудоустройству незанятых одиноких родителей, родителей, воспитывающих детей-инвалидов, многодетных родителей;</w:t>
            </w:r>
          </w:p>
          <w:p w:rsidR="004616EA" w:rsidRPr="00FF6DF6" w:rsidRDefault="004616EA" w:rsidP="00FA0564">
            <w:pPr>
              <w:pStyle w:val="a7"/>
              <w:spacing w:after="0" w:line="240" w:lineRule="auto"/>
              <w:ind w:left="0" w:right="-2"/>
              <w:jc w:val="both"/>
              <w:rPr>
                <w:rFonts w:ascii="Times New Roman" w:hAnsi="Times New Roman"/>
                <w:lang w:eastAsia="en-US"/>
              </w:rPr>
            </w:pPr>
            <w:r w:rsidRPr="00FF6DF6">
              <w:rPr>
                <w:rFonts w:ascii="Times New Roman" w:hAnsi="Times New Roman"/>
                <w:lang w:eastAsia="en-US"/>
              </w:rPr>
              <w:t>Совершенствование государственного управления охраной труда в городе Когалыме в рамках переданных полномочий;</w:t>
            </w:r>
          </w:p>
          <w:p w:rsidR="004616EA" w:rsidRPr="00FF6DF6" w:rsidRDefault="004616EA" w:rsidP="00FA0564">
            <w:pPr>
              <w:pStyle w:val="a7"/>
              <w:spacing w:after="0" w:line="240" w:lineRule="auto"/>
              <w:ind w:left="0" w:right="-2"/>
              <w:jc w:val="both"/>
              <w:rPr>
                <w:rFonts w:ascii="Times New Roman" w:hAnsi="Times New Roman"/>
                <w:lang w:eastAsia="en-US"/>
              </w:rPr>
            </w:pPr>
            <w:r w:rsidRPr="00FF6DF6">
              <w:rPr>
                <w:rFonts w:ascii="Times New Roman" w:hAnsi="Times New Roman"/>
                <w:lang w:eastAsia="en-US"/>
              </w:rPr>
              <w:t>Снижение уровня производственного травматизма, улучшение условий труда</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67 010,31</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Окружной бюджет, местный бюджет</w:t>
            </w:r>
          </w:p>
        </w:tc>
        <w:tc>
          <w:tcPr>
            <w:tcW w:w="1655" w:type="pct"/>
          </w:tcPr>
          <w:p w:rsidR="004616EA" w:rsidRPr="00FF6DF6" w:rsidRDefault="004616EA" w:rsidP="00FA0564">
            <w:pPr>
              <w:pStyle w:val="a7"/>
              <w:spacing w:after="0" w:line="240" w:lineRule="auto"/>
              <w:ind w:left="0"/>
              <w:contextualSpacing w:val="0"/>
              <w:jc w:val="both"/>
              <w:rPr>
                <w:rFonts w:ascii="Times New Roman" w:hAnsi="Times New Roman"/>
                <w:lang w:eastAsia="en-US"/>
              </w:rPr>
            </w:pPr>
            <w:r w:rsidRPr="00FF6DF6">
              <w:rPr>
                <w:rFonts w:ascii="Times New Roman" w:hAnsi="Times New Roman"/>
                <w:lang w:eastAsia="en-US"/>
              </w:rPr>
              <w:t>Снижение уровня регистрируемой безработицы к численности экономически активного населения               (на конец года) с 0,54% до 0,53%;</w:t>
            </w:r>
          </w:p>
          <w:p w:rsidR="004616EA" w:rsidRPr="00FF6DF6" w:rsidRDefault="004616EA" w:rsidP="00FA0564">
            <w:pPr>
              <w:pStyle w:val="a7"/>
              <w:spacing w:after="0" w:line="240" w:lineRule="auto"/>
              <w:ind w:left="0"/>
              <w:contextualSpacing w:val="0"/>
              <w:jc w:val="both"/>
              <w:rPr>
                <w:rFonts w:ascii="Times New Roman" w:hAnsi="Times New Roman"/>
              </w:rPr>
            </w:pPr>
            <w:r w:rsidRPr="00FF6DF6">
              <w:rPr>
                <w:rFonts w:ascii="Times New Roman" w:hAnsi="Times New Roman"/>
              </w:rPr>
              <w:t>Снижение удельного веса рабочих мест, не отвечающих санитарно-гигиеническим нормам в городе Когалыме по отношению к общему числу рабочих мест, не отвечающих санитарно-гигиеническим нормам в автономном округе с 8,3% до 8,2%</w:t>
            </w:r>
          </w:p>
          <w:p w:rsidR="004616EA" w:rsidRPr="00FF6DF6" w:rsidRDefault="004616EA" w:rsidP="00FA0564">
            <w:pPr>
              <w:pStyle w:val="a7"/>
              <w:tabs>
                <w:tab w:val="left" w:pos="212"/>
                <w:tab w:val="left" w:pos="1170"/>
              </w:tabs>
              <w:autoSpaceDE w:val="0"/>
              <w:autoSpaceDN w:val="0"/>
              <w:adjustRightInd w:val="0"/>
              <w:spacing w:after="0" w:line="240" w:lineRule="auto"/>
              <w:ind w:left="0"/>
              <w:jc w:val="both"/>
              <w:rPr>
                <w:rFonts w:ascii="Times New Roman" w:hAnsi="Times New Roman"/>
                <w:lang w:eastAsia="en-US"/>
              </w:rPr>
            </w:pPr>
          </w:p>
        </w:tc>
      </w:tr>
      <w:tr w:rsidR="004616EA" w:rsidRPr="00475E67" w:rsidTr="00F30319">
        <w:trPr>
          <w:trHeight w:val="424"/>
        </w:trPr>
        <w:tc>
          <w:tcPr>
            <w:tcW w:w="820" w:type="pct"/>
            <w:vAlign w:val="center"/>
          </w:tcPr>
          <w:p w:rsidR="004616EA" w:rsidRPr="00475E67" w:rsidRDefault="004616EA" w:rsidP="00FA0564">
            <w:pPr>
              <w:widowControl w:val="0"/>
              <w:autoSpaceDE w:val="0"/>
              <w:autoSpaceDN w:val="0"/>
              <w:adjustRightInd w:val="0"/>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17. «Содержание объектов городского хозяйства и</w:t>
            </w:r>
          </w:p>
          <w:p w:rsidR="004616EA" w:rsidRPr="00475E67" w:rsidRDefault="004616EA" w:rsidP="00FA0564">
            <w:pPr>
              <w:widowControl w:val="0"/>
              <w:autoSpaceDE w:val="0"/>
              <w:autoSpaceDN w:val="0"/>
              <w:adjustRightInd w:val="0"/>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инженерной инфраструктуры в городе</w:t>
            </w:r>
          </w:p>
          <w:p w:rsidR="004616EA" w:rsidRPr="00475E67" w:rsidRDefault="004616EA" w:rsidP="00FA0564">
            <w:pPr>
              <w:widowControl w:val="0"/>
              <w:autoSpaceDE w:val="0"/>
              <w:autoSpaceDN w:val="0"/>
              <w:adjustRightInd w:val="0"/>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Когалыме на 2014-2016 годы»</w:t>
            </w:r>
          </w:p>
          <w:p w:rsidR="004616EA" w:rsidRPr="00475E67" w:rsidRDefault="004616EA" w:rsidP="00FA0564">
            <w:pPr>
              <w:spacing w:before="24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11.10.2013 №2907</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16.05.2014 №1148)</w:t>
            </w:r>
          </w:p>
        </w:tc>
        <w:tc>
          <w:tcPr>
            <w:tcW w:w="1391" w:type="pct"/>
            <w:vAlign w:val="center"/>
          </w:tcPr>
          <w:p w:rsidR="004616EA" w:rsidRPr="00857607" w:rsidRDefault="004616EA" w:rsidP="00FA0564">
            <w:pPr>
              <w:pStyle w:val="1"/>
              <w:spacing w:before="0" w:after="0"/>
              <w:jc w:val="both"/>
              <w:rPr>
                <w:b w:val="0"/>
                <w:bCs w:val="0"/>
                <w:i/>
                <w:sz w:val="20"/>
                <w:szCs w:val="20"/>
                <w:u w:val="single"/>
              </w:rPr>
            </w:pPr>
            <w:bookmarkStart w:id="324" w:name="_Toc396945883"/>
            <w:bookmarkStart w:id="325" w:name="_Toc397081562"/>
            <w:bookmarkStart w:id="326" w:name="_Toc400983688"/>
            <w:bookmarkStart w:id="327" w:name="_Toc401048594"/>
            <w:bookmarkStart w:id="328" w:name="_Toc403463506"/>
            <w:bookmarkStart w:id="329" w:name="_Toc405566071"/>
            <w:bookmarkStart w:id="330" w:name="_Toc405805554"/>
            <w:r w:rsidRPr="00857607">
              <w:rPr>
                <w:b w:val="0"/>
                <w:bCs w:val="0"/>
                <w:i/>
                <w:caps w:val="0"/>
                <w:sz w:val="20"/>
                <w:szCs w:val="20"/>
                <w:u w:val="single"/>
              </w:rPr>
              <w:t>Цели</w:t>
            </w:r>
            <w:r w:rsidRPr="00857607">
              <w:rPr>
                <w:b w:val="0"/>
                <w:bCs w:val="0"/>
                <w:i/>
                <w:sz w:val="20"/>
                <w:szCs w:val="20"/>
                <w:u w:val="single"/>
              </w:rPr>
              <w:t>:</w:t>
            </w:r>
            <w:bookmarkEnd w:id="324"/>
            <w:bookmarkEnd w:id="325"/>
            <w:bookmarkEnd w:id="326"/>
            <w:bookmarkEnd w:id="327"/>
            <w:bookmarkEnd w:id="328"/>
            <w:bookmarkEnd w:id="329"/>
            <w:bookmarkEnd w:id="330"/>
          </w:p>
          <w:p w:rsidR="004616EA" w:rsidRPr="00857607" w:rsidRDefault="004616EA" w:rsidP="00FA0564">
            <w:pPr>
              <w:pStyle w:val="1"/>
              <w:tabs>
                <w:tab w:val="clear" w:pos="851"/>
                <w:tab w:val="left" w:pos="459"/>
              </w:tabs>
              <w:spacing w:before="0" w:after="0"/>
              <w:jc w:val="both"/>
              <w:rPr>
                <w:b w:val="0"/>
                <w:caps w:val="0"/>
                <w:sz w:val="20"/>
                <w:szCs w:val="20"/>
              </w:rPr>
            </w:pPr>
            <w:bookmarkStart w:id="331" w:name="_Toc396945884"/>
            <w:bookmarkStart w:id="332" w:name="_Toc397081563"/>
            <w:bookmarkStart w:id="333" w:name="_Toc400983689"/>
            <w:bookmarkStart w:id="334" w:name="_Toc401048595"/>
            <w:bookmarkStart w:id="335" w:name="_Toc403463507"/>
            <w:bookmarkStart w:id="336" w:name="_Toc405566072"/>
            <w:bookmarkStart w:id="337" w:name="_Toc405805555"/>
            <w:r w:rsidRPr="00857607">
              <w:rPr>
                <w:b w:val="0"/>
                <w:caps w:val="0"/>
                <w:sz w:val="20"/>
                <w:szCs w:val="20"/>
              </w:rPr>
              <w:t>Повышение уровня благоустройства территории города Когалыма, повышение качества и технической оснащённости выполняемых работ по содержанию объектов городского хозяйства и инженерной инфраструктуры;</w:t>
            </w:r>
            <w:bookmarkEnd w:id="331"/>
            <w:bookmarkEnd w:id="332"/>
            <w:bookmarkEnd w:id="333"/>
            <w:bookmarkEnd w:id="334"/>
            <w:bookmarkEnd w:id="335"/>
            <w:bookmarkEnd w:id="336"/>
            <w:bookmarkEnd w:id="337"/>
          </w:p>
          <w:p w:rsidR="004616EA" w:rsidRPr="00FF6DF6" w:rsidRDefault="004616EA" w:rsidP="00FA0564">
            <w:pPr>
              <w:pStyle w:val="a7"/>
              <w:widowControl w:val="0"/>
              <w:tabs>
                <w:tab w:val="left" w:pos="459"/>
              </w:tabs>
              <w:autoSpaceDE w:val="0"/>
              <w:autoSpaceDN w:val="0"/>
              <w:adjustRightInd w:val="0"/>
              <w:spacing w:after="0" w:line="240" w:lineRule="auto"/>
              <w:ind w:left="0"/>
              <w:jc w:val="both"/>
              <w:rPr>
                <w:rFonts w:ascii="Times New Roman" w:hAnsi="Times New Roman"/>
              </w:rPr>
            </w:pPr>
            <w:r w:rsidRPr="00FF6DF6">
              <w:rPr>
                <w:rFonts w:ascii="Times New Roman" w:hAnsi="Times New Roman"/>
              </w:rPr>
              <w:t>Обеспечение условий для отдыха и физического развития детей, организация досуга детей и приобщение к здоровому образу жизни, массовым спортивным мероприятиям</w:t>
            </w:r>
          </w:p>
          <w:p w:rsidR="004616EA" w:rsidRPr="00857607" w:rsidRDefault="004616EA" w:rsidP="00FA0564">
            <w:pPr>
              <w:pStyle w:val="1"/>
              <w:spacing w:before="0" w:after="0"/>
              <w:jc w:val="both"/>
              <w:rPr>
                <w:b w:val="0"/>
                <w:bCs w:val="0"/>
                <w:i/>
                <w:sz w:val="20"/>
                <w:szCs w:val="20"/>
                <w:u w:val="single"/>
              </w:rPr>
            </w:pPr>
            <w:bookmarkStart w:id="338" w:name="_Toc396945885"/>
            <w:bookmarkStart w:id="339" w:name="_Toc397081564"/>
            <w:bookmarkStart w:id="340" w:name="_Toc400983690"/>
            <w:bookmarkStart w:id="341" w:name="_Toc401048596"/>
            <w:bookmarkStart w:id="342" w:name="_Toc403463508"/>
            <w:bookmarkStart w:id="343" w:name="_Toc405566073"/>
            <w:bookmarkStart w:id="344" w:name="_Toc405805556"/>
            <w:r w:rsidRPr="00857607">
              <w:rPr>
                <w:b w:val="0"/>
                <w:bCs w:val="0"/>
                <w:i/>
                <w:caps w:val="0"/>
                <w:sz w:val="20"/>
                <w:szCs w:val="20"/>
                <w:u w:val="single"/>
              </w:rPr>
              <w:t>Задачи</w:t>
            </w:r>
            <w:r w:rsidRPr="00857607">
              <w:rPr>
                <w:b w:val="0"/>
                <w:bCs w:val="0"/>
                <w:i/>
                <w:sz w:val="20"/>
                <w:szCs w:val="20"/>
                <w:u w:val="single"/>
              </w:rPr>
              <w:t>:</w:t>
            </w:r>
            <w:bookmarkEnd w:id="338"/>
            <w:bookmarkEnd w:id="339"/>
            <w:bookmarkEnd w:id="340"/>
            <w:bookmarkEnd w:id="341"/>
            <w:bookmarkEnd w:id="342"/>
            <w:bookmarkEnd w:id="343"/>
            <w:bookmarkEnd w:id="344"/>
          </w:p>
          <w:p w:rsidR="004616EA" w:rsidRPr="00857607" w:rsidRDefault="004616EA" w:rsidP="00FA0564">
            <w:pPr>
              <w:pStyle w:val="1"/>
              <w:tabs>
                <w:tab w:val="clear" w:pos="851"/>
                <w:tab w:val="left" w:pos="601"/>
              </w:tabs>
              <w:spacing w:before="0" w:after="0"/>
              <w:jc w:val="both"/>
              <w:rPr>
                <w:b w:val="0"/>
                <w:caps w:val="0"/>
                <w:sz w:val="20"/>
                <w:szCs w:val="20"/>
              </w:rPr>
            </w:pPr>
            <w:bookmarkStart w:id="345" w:name="_Toc396945886"/>
            <w:bookmarkStart w:id="346" w:name="_Toc397081565"/>
            <w:bookmarkStart w:id="347" w:name="_Toc400983691"/>
            <w:bookmarkStart w:id="348" w:name="_Toc401048597"/>
            <w:bookmarkStart w:id="349" w:name="_Toc403463509"/>
            <w:bookmarkStart w:id="350" w:name="_Toc405566074"/>
            <w:bookmarkStart w:id="351" w:name="_Toc405805557"/>
            <w:r w:rsidRPr="00857607">
              <w:rPr>
                <w:b w:val="0"/>
                <w:caps w:val="0"/>
                <w:sz w:val="20"/>
                <w:szCs w:val="20"/>
              </w:rPr>
              <w:t>Организация благоустройства территории города Когалыма, включая озеленение территории и содержание малых архитектурных форм;</w:t>
            </w:r>
            <w:bookmarkEnd w:id="345"/>
            <w:bookmarkEnd w:id="346"/>
            <w:bookmarkEnd w:id="347"/>
            <w:bookmarkEnd w:id="348"/>
            <w:bookmarkEnd w:id="349"/>
            <w:bookmarkEnd w:id="350"/>
            <w:bookmarkEnd w:id="351"/>
          </w:p>
          <w:p w:rsidR="004616EA" w:rsidRPr="00857607" w:rsidRDefault="004616EA" w:rsidP="00FA0564">
            <w:pPr>
              <w:pStyle w:val="1"/>
              <w:tabs>
                <w:tab w:val="clear" w:pos="851"/>
                <w:tab w:val="left" w:pos="601"/>
              </w:tabs>
              <w:spacing w:before="0" w:after="0"/>
              <w:jc w:val="both"/>
              <w:rPr>
                <w:b w:val="0"/>
                <w:caps w:val="0"/>
                <w:sz w:val="20"/>
                <w:szCs w:val="20"/>
              </w:rPr>
            </w:pPr>
            <w:bookmarkStart w:id="352" w:name="_Toc396945887"/>
            <w:bookmarkStart w:id="353" w:name="_Toc397081566"/>
            <w:bookmarkStart w:id="354" w:name="_Toc400983692"/>
            <w:bookmarkStart w:id="355" w:name="_Toc401048598"/>
            <w:bookmarkStart w:id="356" w:name="_Toc403463510"/>
            <w:bookmarkStart w:id="357" w:name="_Toc405566075"/>
            <w:bookmarkStart w:id="358" w:name="_Toc405805558"/>
            <w:r w:rsidRPr="00857607">
              <w:rPr>
                <w:b w:val="0"/>
                <w:caps w:val="0"/>
                <w:sz w:val="20"/>
                <w:szCs w:val="20"/>
              </w:rPr>
              <w:t>Организация наружного освещения улиц, дворовых территорий города Когалыма;</w:t>
            </w:r>
            <w:bookmarkEnd w:id="352"/>
            <w:bookmarkEnd w:id="353"/>
            <w:bookmarkEnd w:id="354"/>
            <w:bookmarkEnd w:id="355"/>
            <w:bookmarkEnd w:id="356"/>
            <w:bookmarkEnd w:id="357"/>
            <w:bookmarkEnd w:id="358"/>
          </w:p>
          <w:p w:rsidR="004616EA" w:rsidRPr="00857607" w:rsidRDefault="004616EA" w:rsidP="00FA0564">
            <w:pPr>
              <w:pStyle w:val="1"/>
              <w:tabs>
                <w:tab w:val="clear" w:pos="851"/>
                <w:tab w:val="left" w:pos="601"/>
              </w:tabs>
              <w:spacing w:before="0" w:after="0"/>
              <w:jc w:val="both"/>
              <w:rPr>
                <w:sz w:val="20"/>
                <w:szCs w:val="20"/>
                <w:lang w:eastAsia="ru-RU"/>
              </w:rPr>
            </w:pPr>
            <w:bookmarkStart w:id="359" w:name="_Toc396945888"/>
            <w:bookmarkStart w:id="360" w:name="_Toc397081567"/>
            <w:bookmarkStart w:id="361" w:name="_Toc400983693"/>
            <w:bookmarkStart w:id="362" w:name="_Toc401048599"/>
            <w:bookmarkStart w:id="363" w:name="_Toc403463511"/>
            <w:bookmarkStart w:id="364" w:name="_Toc405566076"/>
            <w:bookmarkStart w:id="365" w:name="_Toc405805559"/>
            <w:r w:rsidRPr="00857607">
              <w:rPr>
                <w:b w:val="0"/>
                <w:caps w:val="0"/>
                <w:sz w:val="20"/>
                <w:szCs w:val="20"/>
              </w:rPr>
              <w:t xml:space="preserve">Организация ритуальных услуг и содержание </w:t>
            </w:r>
            <w:bookmarkEnd w:id="359"/>
            <w:bookmarkEnd w:id="360"/>
            <w:bookmarkEnd w:id="361"/>
            <w:bookmarkEnd w:id="362"/>
            <w:bookmarkEnd w:id="363"/>
            <w:bookmarkEnd w:id="364"/>
            <w:bookmarkEnd w:id="365"/>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302 300,60</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Местный бюджет</w:t>
            </w:r>
          </w:p>
        </w:tc>
        <w:tc>
          <w:tcPr>
            <w:tcW w:w="1655" w:type="pct"/>
            <w:vAlign w:val="center"/>
          </w:tcPr>
          <w:p w:rsidR="004616EA" w:rsidRPr="00FF6DF6" w:rsidRDefault="004616EA" w:rsidP="00FA0564">
            <w:pPr>
              <w:pStyle w:val="a7"/>
              <w:tabs>
                <w:tab w:val="left" w:pos="0"/>
              </w:tabs>
              <w:spacing w:after="0" w:line="240" w:lineRule="auto"/>
              <w:ind w:left="0"/>
              <w:jc w:val="both"/>
              <w:outlineLvl w:val="0"/>
              <w:rPr>
                <w:rFonts w:ascii="Times New Roman" w:hAnsi="Times New Roman"/>
              </w:rPr>
            </w:pPr>
            <w:bookmarkStart w:id="366" w:name="_Toc396945890"/>
            <w:bookmarkStart w:id="367" w:name="_Toc397081569"/>
            <w:bookmarkStart w:id="368" w:name="_Toc400983695"/>
            <w:bookmarkStart w:id="369" w:name="_Toc401048601"/>
            <w:bookmarkStart w:id="370" w:name="_Toc403463513"/>
            <w:bookmarkStart w:id="371" w:name="_Toc405566078"/>
            <w:bookmarkStart w:id="372" w:name="_Toc405805561"/>
            <w:r w:rsidRPr="00FF6DF6">
              <w:rPr>
                <w:rFonts w:ascii="Times New Roman" w:hAnsi="Times New Roman"/>
              </w:rPr>
              <w:t>Увеличение степени благоустроенности территории городской застройки – 96,5%;</w:t>
            </w:r>
            <w:bookmarkEnd w:id="366"/>
            <w:bookmarkEnd w:id="367"/>
            <w:bookmarkEnd w:id="368"/>
            <w:bookmarkEnd w:id="369"/>
            <w:bookmarkEnd w:id="370"/>
            <w:bookmarkEnd w:id="371"/>
            <w:bookmarkEnd w:id="372"/>
          </w:p>
          <w:p w:rsidR="004616EA" w:rsidRPr="00FF6DF6" w:rsidRDefault="004616EA" w:rsidP="00FA0564">
            <w:pPr>
              <w:pStyle w:val="a7"/>
              <w:spacing w:after="0" w:line="240" w:lineRule="auto"/>
              <w:ind w:left="0"/>
              <w:jc w:val="both"/>
              <w:rPr>
                <w:rFonts w:ascii="Times New Roman" w:hAnsi="Times New Roman"/>
              </w:rPr>
            </w:pPr>
            <w:r w:rsidRPr="00FF6DF6">
              <w:rPr>
                <w:rFonts w:ascii="Times New Roman" w:hAnsi="Times New Roman"/>
              </w:rPr>
              <w:t>Электроснабжение дворов, улиц и магистралей города Когалыма - 3490890 кВт*час;</w:t>
            </w:r>
          </w:p>
          <w:p w:rsidR="004616EA" w:rsidRPr="00FF6DF6" w:rsidRDefault="004616EA" w:rsidP="00FA0564">
            <w:pPr>
              <w:pStyle w:val="a7"/>
              <w:spacing w:after="0" w:line="240" w:lineRule="auto"/>
              <w:ind w:left="0"/>
              <w:jc w:val="both"/>
              <w:rPr>
                <w:rFonts w:ascii="Times New Roman" w:hAnsi="Times New Roman"/>
              </w:rPr>
            </w:pPr>
            <w:r w:rsidRPr="00FF6DF6">
              <w:rPr>
                <w:rFonts w:ascii="Times New Roman" w:hAnsi="Times New Roman"/>
              </w:rPr>
              <w:t>Обеспечение надежности работы сетей уличного освещения – протяжённость линий электропередач - 122,5 км;</w:t>
            </w:r>
          </w:p>
          <w:p w:rsidR="004616EA" w:rsidRPr="00FF6DF6" w:rsidRDefault="004616EA" w:rsidP="00FA0564">
            <w:pPr>
              <w:pStyle w:val="a7"/>
              <w:spacing w:after="0" w:line="240" w:lineRule="auto"/>
              <w:ind w:left="0"/>
              <w:jc w:val="both"/>
              <w:rPr>
                <w:rFonts w:ascii="Times New Roman" w:hAnsi="Times New Roman"/>
              </w:rPr>
            </w:pPr>
            <w:r w:rsidRPr="00FF6DF6">
              <w:rPr>
                <w:rFonts w:ascii="Times New Roman" w:hAnsi="Times New Roman"/>
              </w:rPr>
              <w:t xml:space="preserve">Уменьшение обращений, жалоб граждан на качество содержания территорий городского кладбища и мест захоронений, шт. – до 1;        </w:t>
            </w:r>
          </w:p>
          <w:p w:rsidR="004616EA" w:rsidRPr="00FF6DF6" w:rsidRDefault="004616EA" w:rsidP="00FA0564">
            <w:pPr>
              <w:pStyle w:val="a7"/>
              <w:spacing w:after="0" w:line="240" w:lineRule="auto"/>
              <w:ind w:left="0"/>
              <w:jc w:val="both"/>
              <w:rPr>
                <w:rFonts w:ascii="Times New Roman" w:hAnsi="Times New Roman"/>
              </w:rPr>
            </w:pPr>
            <w:r w:rsidRPr="00FF6DF6">
              <w:rPr>
                <w:rFonts w:ascii="Times New Roman" w:hAnsi="Times New Roman"/>
              </w:rPr>
              <w:t>Обеспечение оказания услуг по погребению умерших – ориентировочное количество захоронений – 150 чел.;</w:t>
            </w:r>
          </w:p>
          <w:p w:rsidR="004616EA" w:rsidRPr="00FF6DF6" w:rsidRDefault="004616EA" w:rsidP="00FA0564">
            <w:pPr>
              <w:pStyle w:val="a7"/>
              <w:spacing w:after="0" w:line="240" w:lineRule="auto"/>
              <w:ind w:left="0"/>
              <w:jc w:val="both"/>
              <w:rPr>
                <w:rFonts w:ascii="Times New Roman" w:hAnsi="Times New Roman"/>
              </w:rPr>
            </w:pPr>
            <w:r w:rsidRPr="00FF6DF6">
              <w:rPr>
                <w:rFonts w:ascii="Times New Roman" w:hAnsi="Times New Roman"/>
              </w:rPr>
              <w:t>Обеспечение оказания услуг по перевозке умерших безродных, невостребованных и неопознанных умерших - ориентировочное количество умерших – 150 чел.;</w:t>
            </w:r>
          </w:p>
          <w:p w:rsidR="004616EA" w:rsidRPr="00FF6DF6" w:rsidRDefault="004616EA" w:rsidP="00FA0564">
            <w:pPr>
              <w:pStyle w:val="a7"/>
              <w:spacing w:after="0" w:line="240" w:lineRule="auto"/>
              <w:ind w:left="0"/>
              <w:jc w:val="both"/>
              <w:rPr>
                <w:rFonts w:ascii="Times New Roman" w:hAnsi="Times New Roman"/>
              </w:rPr>
            </w:pPr>
            <w:r w:rsidRPr="00FF6DF6">
              <w:rPr>
                <w:rFonts w:ascii="Times New Roman" w:hAnsi="Times New Roman"/>
              </w:rPr>
              <w:t xml:space="preserve">Обеспечение детскими игровыми площадками – 83 единицы;    </w:t>
            </w:r>
          </w:p>
          <w:p w:rsidR="004616EA" w:rsidRPr="00FF6DF6" w:rsidRDefault="004616EA" w:rsidP="00FA0564">
            <w:pPr>
              <w:pStyle w:val="a7"/>
              <w:spacing w:after="0" w:line="240" w:lineRule="auto"/>
              <w:ind w:left="0"/>
              <w:jc w:val="both"/>
              <w:rPr>
                <w:rFonts w:ascii="Times New Roman" w:hAnsi="Times New Roman"/>
              </w:rPr>
            </w:pPr>
            <w:bookmarkStart w:id="373" w:name="_Toc396945891"/>
            <w:bookmarkStart w:id="374" w:name="_Toc397081570"/>
            <w:bookmarkStart w:id="375" w:name="_Toc400983696"/>
            <w:bookmarkStart w:id="376" w:name="_Toc401048602"/>
            <w:bookmarkStart w:id="377" w:name="_Toc403463514"/>
            <w:bookmarkStart w:id="378" w:name="_Toc405566079"/>
            <w:bookmarkStart w:id="379" w:name="_Toc405805562"/>
            <w:r w:rsidRPr="00FF6DF6">
              <w:rPr>
                <w:rFonts w:ascii="Times New Roman" w:hAnsi="Times New Roman"/>
              </w:rPr>
              <w:t>Уменьшение количества обращений, жалоб граждан в</w:t>
            </w:r>
            <w:r w:rsidRPr="00FF6DF6">
              <w:rPr>
                <w:b/>
                <w:caps/>
              </w:rPr>
              <w:t xml:space="preserve"> </w:t>
            </w:r>
            <w:bookmarkEnd w:id="373"/>
            <w:bookmarkEnd w:id="374"/>
            <w:bookmarkEnd w:id="375"/>
            <w:bookmarkEnd w:id="376"/>
            <w:bookmarkEnd w:id="377"/>
            <w:bookmarkEnd w:id="378"/>
            <w:bookmarkEnd w:id="379"/>
          </w:p>
        </w:tc>
      </w:tr>
    </w:tbl>
    <w:p w:rsidR="004616EA" w:rsidRDefault="004616EA">
      <w:pPr>
        <w:sectPr w:rsidR="004616EA" w:rsidSect="002D3BE6">
          <w:type w:val="continuous"/>
          <w:pgSz w:w="16838" w:h="11906" w:orient="landscape"/>
          <w:pgMar w:top="567" w:right="567" w:bottom="2552"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12"/>
        <w:gridCol w:w="4430"/>
        <w:gridCol w:w="1774"/>
        <w:gridCol w:w="1834"/>
        <w:gridCol w:w="5270"/>
      </w:tblGrid>
      <w:tr w:rsidR="004616EA" w:rsidRPr="00475E67" w:rsidTr="00F30319">
        <w:trPr>
          <w:trHeight w:val="424"/>
        </w:trPr>
        <w:tc>
          <w:tcPr>
            <w:tcW w:w="820" w:type="pct"/>
            <w:vAlign w:val="center"/>
          </w:tcPr>
          <w:p w:rsidR="004616EA" w:rsidRPr="00475E67" w:rsidRDefault="004616EA" w:rsidP="00FA0564">
            <w:pPr>
              <w:widowControl w:val="0"/>
              <w:autoSpaceDE w:val="0"/>
              <w:autoSpaceDN w:val="0"/>
              <w:adjustRightInd w:val="0"/>
              <w:spacing w:after="0" w:line="240" w:lineRule="auto"/>
              <w:jc w:val="center"/>
              <w:rPr>
                <w:rFonts w:ascii="Times New Roman" w:hAnsi="Times New Roman"/>
                <w:sz w:val="20"/>
                <w:szCs w:val="20"/>
                <w:lang w:eastAsia="ru-RU"/>
              </w:rPr>
            </w:pPr>
          </w:p>
        </w:tc>
        <w:tc>
          <w:tcPr>
            <w:tcW w:w="1391" w:type="pct"/>
            <w:vAlign w:val="center"/>
          </w:tcPr>
          <w:p w:rsidR="004616EA" w:rsidRPr="00857607" w:rsidRDefault="004616EA" w:rsidP="006E01A0">
            <w:pPr>
              <w:pStyle w:val="1"/>
              <w:tabs>
                <w:tab w:val="clear" w:pos="851"/>
                <w:tab w:val="left" w:pos="601"/>
              </w:tabs>
              <w:spacing w:before="0" w:after="0"/>
              <w:jc w:val="both"/>
              <w:rPr>
                <w:b w:val="0"/>
                <w:caps w:val="0"/>
                <w:sz w:val="20"/>
                <w:szCs w:val="20"/>
              </w:rPr>
            </w:pPr>
            <w:r w:rsidRPr="00857607">
              <w:rPr>
                <w:b w:val="0"/>
                <w:caps w:val="0"/>
                <w:sz w:val="20"/>
                <w:szCs w:val="20"/>
              </w:rPr>
              <w:t>мест захоронения;</w:t>
            </w:r>
          </w:p>
          <w:p w:rsidR="004616EA" w:rsidRPr="00FF6DF6" w:rsidRDefault="004616EA" w:rsidP="006E01A0">
            <w:pPr>
              <w:pStyle w:val="a7"/>
              <w:tabs>
                <w:tab w:val="left" w:pos="601"/>
              </w:tabs>
              <w:spacing w:after="0" w:line="240" w:lineRule="auto"/>
              <w:ind w:left="0"/>
              <w:jc w:val="both"/>
              <w:rPr>
                <w:rFonts w:ascii="Times New Roman" w:hAnsi="Times New Roman"/>
              </w:rPr>
            </w:pPr>
            <w:r w:rsidRPr="00FF6DF6">
              <w:rPr>
                <w:rFonts w:ascii="Times New Roman" w:hAnsi="Times New Roman"/>
              </w:rPr>
              <w:t>Создание новых мест для отдыха и физического развития горожан.</w:t>
            </w:r>
          </w:p>
          <w:p w:rsidR="004616EA" w:rsidRPr="00857607" w:rsidRDefault="004616EA" w:rsidP="006E01A0">
            <w:pPr>
              <w:pStyle w:val="1"/>
              <w:spacing w:before="0" w:after="0"/>
              <w:jc w:val="both"/>
              <w:rPr>
                <w:b w:val="0"/>
                <w:bCs w:val="0"/>
                <w:i/>
                <w:caps w:val="0"/>
                <w:sz w:val="20"/>
                <w:szCs w:val="20"/>
                <w:u w:val="single"/>
              </w:rPr>
            </w:pPr>
            <w:bookmarkStart w:id="380" w:name="_Toc396945889"/>
            <w:bookmarkStart w:id="381" w:name="_Toc397081568"/>
            <w:bookmarkStart w:id="382" w:name="_Toc400983694"/>
            <w:bookmarkStart w:id="383" w:name="_Toc401048600"/>
            <w:bookmarkStart w:id="384" w:name="_Toc403463512"/>
            <w:bookmarkStart w:id="385" w:name="_Toc405566077"/>
            <w:bookmarkStart w:id="386" w:name="_Toc405805560"/>
            <w:r w:rsidRPr="00857607">
              <w:rPr>
                <w:b w:val="0"/>
                <w:caps w:val="0"/>
                <w:sz w:val="20"/>
                <w:szCs w:val="20"/>
              </w:rPr>
              <w:t>Реализация МКУ «Управление жилищно-коммунального хозяйства города Когалыма» полномочий Администрации города Когалыма в вопросах осуществления функций заказчика в сфере жилищно-коммунального комплекса, капитального ремонта жилищного фонда, благоустройства и обслуживания дорог, транспортных услуг населению, реконструкции и замены инженерных сетей тепло-, водоснабжения, ритуальных услуг и содержания мест захоронения и других работ (услуг) по обслуживанию городского хозяйства в городе Когалыме</w:t>
            </w:r>
            <w:bookmarkEnd w:id="380"/>
            <w:bookmarkEnd w:id="381"/>
            <w:bookmarkEnd w:id="382"/>
            <w:bookmarkEnd w:id="383"/>
            <w:bookmarkEnd w:id="384"/>
            <w:bookmarkEnd w:id="385"/>
            <w:bookmarkEnd w:id="386"/>
          </w:p>
        </w:tc>
        <w:tc>
          <w:tcPr>
            <w:tcW w:w="557" w:type="pct"/>
            <w:vAlign w:val="center"/>
          </w:tcPr>
          <w:p w:rsidR="004616EA" w:rsidRPr="00475E67" w:rsidRDefault="004616EA" w:rsidP="00FA0564">
            <w:pPr>
              <w:spacing w:after="0" w:line="240" w:lineRule="auto"/>
              <w:jc w:val="center"/>
              <w:rPr>
                <w:rFonts w:ascii="Times New Roman" w:hAnsi="Times New Roman"/>
                <w:sz w:val="20"/>
                <w:szCs w:val="20"/>
              </w:rPr>
            </w:pP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p>
        </w:tc>
        <w:tc>
          <w:tcPr>
            <w:tcW w:w="1655" w:type="pct"/>
            <w:vAlign w:val="center"/>
          </w:tcPr>
          <w:p w:rsidR="004616EA" w:rsidRPr="00857607" w:rsidRDefault="004616EA" w:rsidP="006E01A0">
            <w:pPr>
              <w:pStyle w:val="1"/>
              <w:spacing w:before="0" w:after="0"/>
              <w:jc w:val="both"/>
              <w:rPr>
                <w:b w:val="0"/>
                <w:sz w:val="20"/>
                <w:szCs w:val="20"/>
              </w:rPr>
            </w:pPr>
            <w:r w:rsidRPr="00857607">
              <w:rPr>
                <w:b w:val="0"/>
                <w:caps w:val="0"/>
                <w:sz w:val="20"/>
                <w:szCs w:val="20"/>
              </w:rPr>
              <w:t>границах городского округа на качество предоставления электро-, тепло-, газо-, и водоснабжения и водоотведения населения города Когалыма, шт. - до 40;</w:t>
            </w:r>
          </w:p>
          <w:p w:rsidR="004616EA" w:rsidRPr="00FF6DF6" w:rsidRDefault="004616EA" w:rsidP="006E01A0">
            <w:pPr>
              <w:pStyle w:val="a7"/>
              <w:tabs>
                <w:tab w:val="left" w:pos="0"/>
              </w:tabs>
              <w:spacing w:after="0" w:line="240" w:lineRule="auto"/>
              <w:ind w:left="0"/>
              <w:jc w:val="both"/>
              <w:outlineLvl w:val="0"/>
              <w:rPr>
                <w:rFonts w:ascii="Times New Roman" w:hAnsi="Times New Roman"/>
              </w:rPr>
            </w:pPr>
            <w:r w:rsidRPr="00FF6DF6">
              <w:rPr>
                <w:rFonts w:ascii="Times New Roman" w:hAnsi="Times New Roman"/>
                <w:lang w:eastAsia="en-US"/>
              </w:rPr>
              <w:t>Выполнение мероприятий по осуществлению иных полномочий в сфере жилищно-коммунального и городского хозяйства в городе Когалыме - 100%</w:t>
            </w:r>
          </w:p>
        </w:tc>
      </w:tr>
      <w:tr w:rsidR="004616EA" w:rsidRPr="00475E67" w:rsidTr="00F30319">
        <w:trPr>
          <w:trHeight w:val="424"/>
        </w:trPr>
        <w:tc>
          <w:tcPr>
            <w:tcW w:w="820" w:type="pct"/>
            <w:vAlign w:val="center"/>
          </w:tcPr>
          <w:p w:rsidR="004616EA" w:rsidRPr="00475E67" w:rsidRDefault="004616EA" w:rsidP="00FA0564">
            <w:pPr>
              <w:spacing w:after="0" w:line="240" w:lineRule="auto"/>
              <w:jc w:val="center"/>
              <w:outlineLvl w:val="0"/>
              <w:rPr>
                <w:rFonts w:ascii="Times New Roman" w:hAnsi="Times New Roman"/>
                <w:sz w:val="20"/>
                <w:szCs w:val="20"/>
              </w:rPr>
            </w:pPr>
            <w:bookmarkStart w:id="387" w:name="_Toc396945892"/>
            <w:bookmarkStart w:id="388" w:name="_Toc397081571"/>
            <w:bookmarkStart w:id="389" w:name="_Toc400983697"/>
            <w:bookmarkStart w:id="390" w:name="_Toc401048603"/>
            <w:bookmarkStart w:id="391" w:name="_Toc403463515"/>
            <w:bookmarkStart w:id="392" w:name="_Toc405566080"/>
            <w:bookmarkStart w:id="393" w:name="_Toc405805563"/>
            <w:r w:rsidRPr="00475E67">
              <w:rPr>
                <w:rFonts w:ascii="Times New Roman" w:hAnsi="Times New Roman"/>
                <w:sz w:val="20"/>
                <w:szCs w:val="20"/>
                <w:lang w:eastAsia="ru-RU"/>
              </w:rPr>
              <w:t xml:space="preserve">18. </w:t>
            </w:r>
            <w:r w:rsidRPr="00475E67">
              <w:rPr>
                <w:rFonts w:ascii="Times New Roman" w:hAnsi="Times New Roman"/>
                <w:sz w:val="20"/>
                <w:szCs w:val="20"/>
              </w:rPr>
              <w:t>«Социальная поддержка жителей города Когалыма</w:t>
            </w:r>
            <w:bookmarkEnd w:id="387"/>
            <w:bookmarkEnd w:id="388"/>
            <w:bookmarkEnd w:id="389"/>
            <w:bookmarkEnd w:id="390"/>
            <w:bookmarkEnd w:id="391"/>
            <w:bookmarkEnd w:id="392"/>
            <w:bookmarkEnd w:id="393"/>
          </w:p>
          <w:p w:rsidR="004616EA" w:rsidRPr="00475E67" w:rsidRDefault="004616EA" w:rsidP="00FA0564">
            <w:pPr>
              <w:spacing w:after="0" w:line="240" w:lineRule="auto"/>
              <w:jc w:val="center"/>
              <w:outlineLvl w:val="0"/>
              <w:rPr>
                <w:rFonts w:ascii="Times New Roman" w:hAnsi="Times New Roman"/>
                <w:sz w:val="20"/>
                <w:szCs w:val="20"/>
              </w:rPr>
            </w:pPr>
            <w:bookmarkStart w:id="394" w:name="_Toc396945893"/>
            <w:bookmarkStart w:id="395" w:name="_Toc397081572"/>
            <w:bookmarkStart w:id="396" w:name="_Toc400983698"/>
            <w:bookmarkStart w:id="397" w:name="_Toc401048604"/>
            <w:bookmarkStart w:id="398" w:name="_Toc403463516"/>
            <w:bookmarkStart w:id="399" w:name="_Toc405566081"/>
            <w:bookmarkStart w:id="400" w:name="_Toc405805564"/>
            <w:r w:rsidRPr="00475E67">
              <w:rPr>
                <w:rFonts w:ascii="Times New Roman" w:hAnsi="Times New Roman"/>
                <w:sz w:val="20"/>
                <w:szCs w:val="20"/>
              </w:rPr>
              <w:t>на 2014 - 2016 годы»</w:t>
            </w:r>
            <w:bookmarkEnd w:id="394"/>
            <w:bookmarkEnd w:id="395"/>
            <w:bookmarkEnd w:id="396"/>
            <w:bookmarkEnd w:id="397"/>
            <w:bookmarkEnd w:id="398"/>
            <w:bookmarkEnd w:id="399"/>
            <w:bookmarkEnd w:id="400"/>
          </w:p>
          <w:p w:rsidR="004616EA" w:rsidRPr="00475E67" w:rsidRDefault="004616EA" w:rsidP="00FA0564">
            <w:pPr>
              <w:spacing w:before="240" w:after="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11.10.2013 №2904</w:t>
            </w:r>
          </w:p>
          <w:p w:rsidR="004616EA" w:rsidRPr="00475E67" w:rsidRDefault="004616EA" w:rsidP="00FA0564">
            <w:pPr>
              <w:widowControl w:val="0"/>
              <w:autoSpaceDE w:val="0"/>
              <w:autoSpaceDN w:val="0"/>
              <w:adjustRightInd w:val="0"/>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06.06.2014 №1362)</w:t>
            </w:r>
          </w:p>
        </w:tc>
        <w:tc>
          <w:tcPr>
            <w:tcW w:w="1391" w:type="pct"/>
            <w:vAlign w:val="center"/>
          </w:tcPr>
          <w:p w:rsidR="004616EA" w:rsidRPr="00475E67" w:rsidRDefault="004616EA" w:rsidP="00FA0564">
            <w:pPr>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Цель:</w:t>
            </w:r>
          </w:p>
          <w:p w:rsidR="004616EA" w:rsidRPr="00475E67" w:rsidRDefault="004616EA" w:rsidP="00FA0564">
            <w:pPr>
              <w:spacing w:after="0" w:line="240" w:lineRule="auto"/>
              <w:jc w:val="both"/>
              <w:rPr>
                <w:rFonts w:ascii="Times New Roman" w:hAnsi="Times New Roman"/>
                <w:sz w:val="20"/>
                <w:szCs w:val="20"/>
              </w:rPr>
            </w:pPr>
            <w:r w:rsidRPr="00475E67">
              <w:rPr>
                <w:rFonts w:ascii="Times New Roman" w:hAnsi="Times New Roman"/>
                <w:sz w:val="20"/>
                <w:szCs w:val="20"/>
              </w:rPr>
              <w:t>Повышение качества предоставления социальных гарантий жителям города Когалыма</w:t>
            </w:r>
          </w:p>
          <w:p w:rsidR="004616EA" w:rsidRPr="00475E67" w:rsidRDefault="004616EA" w:rsidP="00FA0564">
            <w:pPr>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Задачи:</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Повышение качества жизни и уровня материального обеспечения детей-сирот и детей, оставшихся без попечения родителей, лиц из числа детей-сирот и детей, оставшихся без попечения родителей, создание благоприятных условий жизнедеятельности семей усыновителей, опекунов, попечителей, приёмных семей;</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Исполнение отдельных государственных полномочий Ханты-Мансийского автономного округа – Югры в сфере опеки и попечительства;</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Развитие форм и методов организованного отдыха детей города Когалыма, в том числе детей, находящихся в трудной жизненной ситуации, социально опасном положении;</w:t>
            </w:r>
          </w:p>
          <w:p w:rsidR="004616EA" w:rsidRPr="00857607" w:rsidRDefault="004616EA" w:rsidP="00FA0564">
            <w:pPr>
              <w:pStyle w:val="1"/>
              <w:tabs>
                <w:tab w:val="clear" w:pos="851"/>
                <w:tab w:val="left" w:pos="601"/>
              </w:tabs>
              <w:spacing w:before="0" w:after="0"/>
              <w:jc w:val="both"/>
              <w:rPr>
                <w:b w:val="0"/>
                <w:bCs w:val="0"/>
                <w:i/>
                <w:caps w:val="0"/>
                <w:sz w:val="20"/>
                <w:szCs w:val="20"/>
                <w:u w:val="single"/>
              </w:rPr>
            </w:pPr>
            <w:bookmarkStart w:id="401" w:name="_Toc396945894"/>
            <w:bookmarkStart w:id="402" w:name="_Toc397081573"/>
            <w:bookmarkStart w:id="403" w:name="_Toc400983699"/>
            <w:bookmarkStart w:id="404" w:name="_Toc401048605"/>
            <w:bookmarkStart w:id="405" w:name="_Toc403463517"/>
            <w:bookmarkStart w:id="406" w:name="_Toc405566082"/>
            <w:bookmarkStart w:id="407" w:name="_Toc405805565"/>
            <w:r w:rsidRPr="00857607">
              <w:rPr>
                <w:b w:val="0"/>
                <w:caps w:val="0"/>
                <w:sz w:val="20"/>
                <w:szCs w:val="20"/>
              </w:rPr>
              <w:t xml:space="preserve">Обеспечение дополнительными гарантиями прав </w:t>
            </w:r>
            <w:bookmarkEnd w:id="401"/>
            <w:bookmarkEnd w:id="402"/>
            <w:bookmarkEnd w:id="403"/>
            <w:bookmarkEnd w:id="404"/>
            <w:bookmarkEnd w:id="405"/>
            <w:bookmarkEnd w:id="406"/>
            <w:bookmarkEnd w:id="407"/>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389 444,70</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Федеральный бюджет, окружной бюджет, местный бюджет, внебюджетные источники</w:t>
            </w:r>
          </w:p>
        </w:tc>
        <w:tc>
          <w:tcPr>
            <w:tcW w:w="1655" w:type="pct"/>
          </w:tcPr>
          <w:p w:rsidR="004616EA" w:rsidRPr="00FF6DF6" w:rsidRDefault="004616EA" w:rsidP="00FA0564">
            <w:pPr>
              <w:pStyle w:val="a7"/>
              <w:widowControl w:val="0"/>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Увеличение доли детей-сирот и детей, оставшихся без попечения родителей, передаваемых на воспитание в семьи жителей города Когалыма, до 100 %;</w:t>
            </w:r>
          </w:p>
          <w:p w:rsidR="004616EA" w:rsidRPr="00FF6DF6" w:rsidRDefault="004616EA" w:rsidP="00FA0564">
            <w:pPr>
              <w:pStyle w:val="a7"/>
              <w:tabs>
                <w:tab w:val="left" w:pos="5295"/>
              </w:tabs>
              <w:spacing w:after="0" w:line="240" w:lineRule="auto"/>
              <w:ind w:left="0"/>
              <w:jc w:val="both"/>
              <w:rPr>
                <w:rFonts w:ascii="Times New Roman" w:hAnsi="Times New Roman"/>
                <w:lang w:eastAsia="en-US"/>
              </w:rPr>
            </w:pPr>
            <w:r w:rsidRPr="00FF6DF6">
              <w:rPr>
                <w:rFonts w:ascii="Times New Roman" w:hAnsi="Times New Roman"/>
                <w:lang w:eastAsia="en-US"/>
              </w:rPr>
              <w:t>Сохранение доли выраженного оздоровительного эффекта у детей в детских загородных оздоровительных учреждениях (от общей численности детей в возрасте 6 – 17 лет) на уровне 93%;</w:t>
            </w:r>
          </w:p>
          <w:p w:rsidR="004616EA" w:rsidRPr="00FF6DF6" w:rsidRDefault="004616EA" w:rsidP="00FA0564">
            <w:pPr>
              <w:pStyle w:val="a7"/>
              <w:tabs>
                <w:tab w:val="left" w:pos="5295"/>
              </w:tabs>
              <w:spacing w:after="0" w:line="240" w:lineRule="auto"/>
              <w:ind w:left="0"/>
              <w:jc w:val="both"/>
              <w:rPr>
                <w:rFonts w:ascii="Times New Roman" w:hAnsi="Times New Roman"/>
              </w:rPr>
            </w:pPr>
            <w:r w:rsidRPr="00FF6DF6">
              <w:rPr>
                <w:rFonts w:ascii="Times New Roman" w:hAnsi="Times New Roman"/>
                <w:lang w:eastAsia="en-US"/>
              </w:rPr>
              <w:t xml:space="preserve">Сохранение доли выраженного оздоровительного эффекта у детей в учреждениях с дневным пребыванием детей, на плоскостных спортивных сооружениях и игровых площадках (от общей численности детей в возрасте 6 – 17 лет) на уровне 85%; </w:t>
            </w:r>
          </w:p>
          <w:p w:rsidR="004616EA" w:rsidRPr="00FF6DF6" w:rsidRDefault="004616EA" w:rsidP="00FA0564">
            <w:pPr>
              <w:pStyle w:val="a7"/>
              <w:tabs>
                <w:tab w:val="left" w:pos="5295"/>
              </w:tabs>
              <w:spacing w:after="0" w:line="240" w:lineRule="auto"/>
              <w:ind w:left="0"/>
              <w:jc w:val="both"/>
              <w:rPr>
                <w:rFonts w:ascii="Times New Roman" w:hAnsi="Times New Roman"/>
              </w:rPr>
            </w:pPr>
            <w:r w:rsidRPr="00FF6DF6">
              <w:rPr>
                <w:rFonts w:ascii="Times New Roman" w:hAnsi="Times New Roman"/>
                <w:lang w:eastAsia="en-US"/>
              </w:rPr>
              <w:t>Увеличение доли использованных средств субсидии, передаваемой из бюджета Ханты-Мансийского автономного округа – Югры на обеспечение жилыми помещениями специализированного жилищного фонда по договорам найма специализированных жилых помещений детей-сирот и детей, оставшихся без попечения родителей, лиц из числа детей-сирот и детей, оставшихся без попечения родителей, с 95% до 100%</w:t>
            </w:r>
          </w:p>
        </w:tc>
      </w:tr>
    </w:tbl>
    <w:p w:rsidR="004616EA" w:rsidRDefault="004616EA">
      <w:pPr>
        <w:sectPr w:rsidR="004616EA" w:rsidSect="002D3BE6">
          <w:type w:val="continuous"/>
          <w:pgSz w:w="16838" w:h="11906" w:orient="landscape"/>
          <w:pgMar w:top="2552" w:right="567" w:bottom="567" w:left="567" w:header="709" w:footer="709" w:gutter="0"/>
          <w:cols w:space="708"/>
          <w:docGrid w:linePitch="360"/>
        </w:sectPr>
      </w:pPr>
    </w:p>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12"/>
        <w:gridCol w:w="4430"/>
        <w:gridCol w:w="1774"/>
        <w:gridCol w:w="1834"/>
        <w:gridCol w:w="5270"/>
      </w:tblGrid>
      <w:tr w:rsidR="004616EA" w:rsidRPr="00475E67" w:rsidTr="00F30319">
        <w:trPr>
          <w:trHeight w:val="424"/>
        </w:trPr>
        <w:tc>
          <w:tcPr>
            <w:tcW w:w="820" w:type="pct"/>
            <w:vAlign w:val="center"/>
          </w:tcPr>
          <w:p w:rsidR="004616EA" w:rsidRPr="00475E67" w:rsidRDefault="004616EA" w:rsidP="00FA0564">
            <w:pPr>
              <w:spacing w:after="0" w:line="240" w:lineRule="auto"/>
              <w:jc w:val="center"/>
              <w:outlineLvl w:val="0"/>
              <w:rPr>
                <w:rFonts w:ascii="Times New Roman" w:hAnsi="Times New Roman"/>
                <w:sz w:val="20"/>
                <w:szCs w:val="20"/>
              </w:rPr>
            </w:pPr>
          </w:p>
        </w:tc>
        <w:tc>
          <w:tcPr>
            <w:tcW w:w="1391" w:type="pct"/>
            <w:vAlign w:val="center"/>
          </w:tcPr>
          <w:p w:rsidR="004616EA" w:rsidRPr="006E01A0" w:rsidRDefault="004616EA" w:rsidP="00FA0564">
            <w:pPr>
              <w:spacing w:after="0" w:line="240" w:lineRule="auto"/>
              <w:jc w:val="both"/>
              <w:rPr>
                <w:rFonts w:ascii="Times New Roman" w:hAnsi="Times New Roman"/>
                <w:sz w:val="20"/>
                <w:szCs w:val="20"/>
              </w:rPr>
            </w:pPr>
            <w:r w:rsidRPr="006E01A0">
              <w:rPr>
                <w:rFonts w:ascii="Times New Roman" w:hAnsi="Times New Roman"/>
                <w:sz w:val="20"/>
                <w:szCs w:val="20"/>
              </w:rPr>
              <w:t>детей-сирот и детей, оставшихся без попечения родителей, лиц из числа детей-сирот и детей, оставшихся без попечения родителей, на государственное содержание, имущество и жилое помещение</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rPr>
            </w:pP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p>
        </w:tc>
        <w:tc>
          <w:tcPr>
            <w:tcW w:w="1655" w:type="pct"/>
          </w:tcPr>
          <w:p w:rsidR="004616EA" w:rsidRPr="00FF6DF6" w:rsidRDefault="004616EA" w:rsidP="00FA0564">
            <w:pPr>
              <w:pStyle w:val="a7"/>
              <w:widowControl w:val="0"/>
              <w:autoSpaceDE w:val="0"/>
              <w:autoSpaceDN w:val="0"/>
              <w:adjustRightInd w:val="0"/>
              <w:spacing w:after="0" w:line="240" w:lineRule="auto"/>
              <w:ind w:left="0"/>
              <w:jc w:val="both"/>
              <w:rPr>
                <w:rFonts w:ascii="Times New Roman" w:hAnsi="Times New Roman"/>
                <w:lang w:eastAsia="en-US"/>
              </w:rPr>
            </w:pPr>
          </w:p>
        </w:tc>
      </w:tr>
      <w:tr w:rsidR="004616EA" w:rsidRPr="00475E67" w:rsidTr="00F30319">
        <w:trPr>
          <w:trHeight w:val="424"/>
        </w:trPr>
        <w:tc>
          <w:tcPr>
            <w:tcW w:w="820" w:type="pct"/>
            <w:vAlign w:val="center"/>
          </w:tcPr>
          <w:p w:rsidR="004616EA" w:rsidRPr="00475E67" w:rsidRDefault="004616EA" w:rsidP="00FA0564">
            <w:pPr>
              <w:pStyle w:val="western"/>
              <w:spacing w:before="0" w:beforeAutospacing="0" w:after="0" w:afterAutospacing="0"/>
              <w:jc w:val="center"/>
              <w:rPr>
                <w:sz w:val="20"/>
                <w:szCs w:val="20"/>
              </w:rPr>
            </w:pPr>
            <w:r w:rsidRPr="00475E67">
              <w:rPr>
                <w:sz w:val="20"/>
                <w:szCs w:val="20"/>
              </w:rPr>
              <w:t>19. «Социально-экономическое</w:t>
            </w:r>
          </w:p>
          <w:p w:rsidR="004616EA" w:rsidRPr="00475E67" w:rsidRDefault="004616EA" w:rsidP="00FA0564">
            <w:pPr>
              <w:pStyle w:val="western"/>
              <w:spacing w:before="0" w:beforeAutospacing="0" w:after="0" w:afterAutospacing="0"/>
              <w:jc w:val="center"/>
              <w:rPr>
                <w:sz w:val="20"/>
                <w:szCs w:val="20"/>
              </w:rPr>
            </w:pPr>
            <w:r w:rsidRPr="00475E67">
              <w:rPr>
                <w:sz w:val="20"/>
                <w:szCs w:val="20"/>
              </w:rPr>
              <w:t>развитие и инвестиции муниципального образования</w:t>
            </w:r>
          </w:p>
          <w:p w:rsidR="004616EA" w:rsidRPr="00475E67" w:rsidRDefault="004616EA" w:rsidP="00FA0564">
            <w:pPr>
              <w:pStyle w:val="western"/>
              <w:spacing w:before="0" w:beforeAutospacing="0" w:after="0" w:afterAutospacing="0"/>
              <w:jc w:val="center"/>
              <w:rPr>
                <w:sz w:val="20"/>
                <w:szCs w:val="20"/>
              </w:rPr>
            </w:pPr>
            <w:r w:rsidRPr="00475E67">
              <w:rPr>
                <w:sz w:val="20"/>
                <w:szCs w:val="20"/>
              </w:rPr>
              <w:t>город Когалым на 2014-2016 годы»</w:t>
            </w:r>
          </w:p>
          <w:p w:rsidR="004616EA" w:rsidRPr="00475E67" w:rsidRDefault="004616EA" w:rsidP="00FA0564">
            <w:pPr>
              <w:spacing w:before="24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11.10.2013 №2919</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25.06.2014 №1512)</w:t>
            </w:r>
          </w:p>
        </w:tc>
        <w:tc>
          <w:tcPr>
            <w:tcW w:w="1391" w:type="pct"/>
            <w:vAlign w:val="center"/>
          </w:tcPr>
          <w:p w:rsidR="004616EA" w:rsidRPr="00475E67" w:rsidRDefault="004616EA" w:rsidP="00FA0564">
            <w:pPr>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Цели:</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Повышение качества муниципального планирования и управления, создание условий для долговременного экономического и социального развития;</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Создание благоприятных условий для привлечения инвестиций;</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Содействие развитию малого и среднего предпринимательства в городе Когалыме</w:t>
            </w:r>
          </w:p>
          <w:p w:rsidR="004616EA" w:rsidRPr="00475E67" w:rsidRDefault="004616EA" w:rsidP="00FA0564">
            <w:pPr>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Задачи:</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Создание условий для устойчивого экономического роста;</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Исследование инвестиционного потенциала территории города Когалыма;</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Разработка нормативных правовых актов для привлечения инвестиций, формирование открытой информации для инвесторов;</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Оптимизация предоставления муниципальных услуг, в том числе путем организации их предоставления по принципу «одного окна»;</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Оказание финансовой поддержки субъектам малого и среднего предпринимательства города Когалыма и организациям, образующим инфраструктуру поддержки субъектов малого и среднего предпринимательства в городе Когалыме;</w:t>
            </w:r>
          </w:p>
          <w:p w:rsidR="004616EA" w:rsidRPr="00FF6DF6" w:rsidRDefault="004616EA" w:rsidP="00FA0564">
            <w:pPr>
              <w:pStyle w:val="a7"/>
              <w:spacing w:after="0" w:line="240" w:lineRule="auto"/>
              <w:ind w:left="0"/>
              <w:jc w:val="both"/>
              <w:rPr>
                <w:rFonts w:ascii="Times New Roman" w:hAnsi="Times New Roman"/>
              </w:rPr>
            </w:pPr>
            <w:r w:rsidRPr="00FF6DF6">
              <w:rPr>
                <w:rFonts w:ascii="Times New Roman" w:hAnsi="Times New Roman"/>
                <w:lang w:eastAsia="en-US"/>
              </w:rPr>
              <w:t>Обеспечение доступности для жителей города Когалыма информации о поддержке малого и среднего предпринимательства</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197 845,1</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Окружной бюджет, местный бюджет</w:t>
            </w:r>
          </w:p>
        </w:tc>
        <w:tc>
          <w:tcPr>
            <w:tcW w:w="1655" w:type="pct"/>
            <w:vAlign w:val="center"/>
          </w:tcPr>
          <w:p w:rsidR="004616EA" w:rsidRPr="00FF6DF6" w:rsidRDefault="004616EA" w:rsidP="00FA0564">
            <w:pPr>
              <w:pStyle w:val="a7"/>
              <w:shd w:val="clear" w:color="auto" w:fill="FFFFFF"/>
              <w:spacing w:after="0" w:line="240" w:lineRule="auto"/>
              <w:ind w:left="0"/>
              <w:jc w:val="both"/>
              <w:rPr>
                <w:rFonts w:ascii="Times New Roman" w:hAnsi="Times New Roman"/>
                <w:lang w:eastAsia="en-US"/>
              </w:rPr>
            </w:pPr>
            <w:r w:rsidRPr="00FF6DF6">
              <w:rPr>
                <w:rFonts w:ascii="Times New Roman" w:hAnsi="Times New Roman"/>
                <w:lang w:eastAsia="en-US"/>
              </w:rPr>
              <w:t>Сохранение реальной среднемесячной заработной платы работников выше 100%;</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Рост оборота розничной торговли до 16 843,65 млн. рублей к 2016 году;</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Увеличение объема инвестиций в основной капитал за счет всех источников финансирования по крупным и средним предприятиям до 24 896,94 млн. рублей к 2016 году;</w:t>
            </w:r>
          </w:p>
          <w:p w:rsidR="004616EA" w:rsidRPr="00475E67" w:rsidRDefault="004616EA" w:rsidP="00FA0564">
            <w:pPr>
              <w:pStyle w:val="ConsPlusCell"/>
              <w:jc w:val="both"/>
              <w:rPr>
                <w:sz w:val="20"/>
                <w:szCs w:val="20"/>
              </w:rPr>
            </w:pPr>
            <w:r w:rsidRPr="00475E67">
              <w:rPr>
                <w:sz w:val="20"/>
                <w:szCs w:val="20"/>
              </w:rPr>
              <w:t>Увеличение количества средних и малых предприятий на 10 тыс. населения города Когалыма до 61,8 единиц к 2016 году;</w:t>
            </w:r>
          </w:p>
          <w:p w:rsidR="004616EA" w:rsidRPr="00475E67" w:rsidRDefault="004616EA" w:rsidP="00FA0564">
            <w:pPr>
              <w:pStyle w:val="ConsPlusCell"/>
              <w:jc w:val="both"/>
              <w:rPr>
                <w:sz w:val="20"/>
                <w:szCs w:val="20"/>
              </w:rPr>
            </w:pPr>
            <w:r w:rsidRPr="00475E67">
              <w:rPr>
                <w:sz w:val="20"/>
                <w:szCs w:val="20"/>
              </w:rPr>
              <w:t>Увеличение доли среднесписочной численности занятых на средних и малых предприятиях к общей численности работающих до 18,6 % к 2016 году;</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Увеличение количества индивидуальных предпринимателей до 1591 единиц к 2016 году;</w:t>
            </w:r>
          </w:p>
          <w:p w:rsidR="004616EA" w:rsidRPr="00FF6DF6" w:rsidRDefault="004616EA" w:rsidP="00FA0564">
            <w:pPr>
              <w:pStyle w:val="a7"/>
              <w:spacing w:after="0" w:line="240" w:lineRule="auto"/>
              <w:ind w:left="0"/>
              <w:jc w:val="both"/>
              <w:rPr>
                <w:rFonts w:ascii="Times New Roman" w:hAnsi="Times New Roman"/>
                <w:lang w:eastAsia="en-US"/>
              </w:rPr>
            </w:pPr>
            <w:r w:rsidRPr="00FF6DF6">
              <w:rPr>
                <w:rFonts w:ascii="Times New Roman" w:hAnsi="Times New Roman"/>
                <w:lang w:eastAsia="en-US"/>
              </w:rPr>
              <w:t>Уровень удовлетворенности граждан города Когалыма качеством предоставления   государственных и муниципальных услуг – не менее 60%;</w:t>
            </w:r>
          </w:p>
          <w:p w:rsidR="004616EA" w:rsidRPr="00475E67" w:rsidRDefault="004616EA" w:rsidP="00FA0564">
            <w:pPr>
              <w:spacing w:after="0" w:line="240" w:lineRule="auto"/>
              <w:rPr>
                <w:rFonts w:ascii="Times New Roman" w:hAnsi="Times New Roman"/>
                <w:sz w:val="20"/>
                <w:szCs w:val="20"/>
                <w:lang w:eastAsia="ru-RU"/>
              </w:rPr>
            </w:pPr>
            <w:r w:rsidRPr="00733BD3">
              <w:rPr>
                <w:rFonts w:ascii="Times New Roman" w:hAnsi="Times New Roman"/>
              </w:rPr>
              <w:t>Увеличение доли граждан, имеющих доступ к получению государственных и муниципальных услуг по принципу «одного окна» по месту пребывания, в том числе в многофункциональных центрах предоставления государственных услуг с 0% до 99%</w:t>
            </w:r>
          </w:p>
        </w:tc>
      </w:tr>
    </w:tbl>
    <w:p w:rsidR="004616EA" w:rsidRDefault="004616EA">
      <w:pPr>
        <w:sectPr w:rsidR="004616EA" w:rsidSect="002D3BE6">
          <w:type w:val="continuous"/>
          <w:pgSz w:w="16838" w:h="11906" w:orient="landscape"/>
          <w:pgMar w:top="567" w:right="567" w:bottom="2552" w:left="567" w:header="709" w:footer="709" w:gutter="0"/>
          <w:cols w:space="708"/>
          <w:docGrid w:linePitch="360"/>
        </w:sectPr>
      </w:pPr>
    </w:p>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12"/>
        <w:gridCol w:w="4430"/>
        <w:gridCol w:w="1774"/>
        <w:gridCol w:w="1834"/>
        <w:gridCol w:w="5270"/>
      </w:tblGrid>
      <w:tr w:rsidR="004616EA" w:rsidRPr="00475E67" w:rsidTr="00F30319">
        <w:trPr>
          <w:trHeight w:val="424"/>
        </w:trPr>
        <w:tc>
          <w:tcPr>
            <w:tcW w:w="820" w:type="pct"/>
            <w:vAlign w:val="center"/>
          </w:tcPr>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lang w:eastAsia="ru-RU"/>
              </w:rPr>
              <w:t xml:space="preserve">20. </w:t>
            </w:r>
            <w:r w:rsidRPr="00475E67">
              <w:rPr>
                <w:rFonts w:ascii="Times New Roman" w:hAnsi="Times New Roman"/>
                <w:sz w:val="20"/>
                <w:szCs w:val="20"/>
              </w:rPr>
              <w:t>«Управление муниципальными финансами</w:t>
            </w:r>
          </w:p>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rPr>
              <w:t>в городе Когалыме на 2014 - 2016 годы»</w:t>
            </w:r>
          </w:p>
          <w:p w:rsidR="004616EA" w:rsidRPr="00475E67" w:rsidRDefault="004616EA" w:rsidP="00FA0564">
            <w:pPr>
              <w:spacing w:before="24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09.10.2013 №2863</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04.07.2014 №1643)</w:t>
            </w:r>
          </w:p>
        </w:tc>
        <w:tc>
          <w:tcPr>
            <w:tcW w:w="1391" w:type="pct"/>
            <w:vAlign w:val="center"/>
          </w:tcPr>
          <w:p w:rsidR="004616EA" w:rsidRPr="00475E67" w:rsidRDefault="004616EA" w:rsidP="00FA0564">
            <w:pPr>
              <w:pStyle w:val="afd"/>
              <w:spacing w:before="0"/>
              <w:rPr>
                <w:i/>
                <w:sz w:val="20"/>
                <w:szCs w:val="20"/>
                <w:u w:val="single"/>
              </w:rPr>
            </w:pPr>
            <w:r w:rsidRPr="00475E67">
              <w:rPr>
                <w:i/>
                <w:sz w:val="20"/>
                <w:szCs w:val="20"/>
                <w:u w:val="single"/>
              </w:rPr>
              <w:t xml:space="preserve">Цель: </w:t>
            </w:r>
          </w:p>
          <w:p w:rsidR="004616EA" w:rsidRPr="00475E67" w:rsidRDefault="004616EA" w:rsidP="00FA0564">
            <w:pPr>
              <w:pStyle w:val="afd"/>
              <w:spacing w:before="0"/>
              <w:rPr>
                <w:sz w:val="20"/>
                <w:szCs w:val="20"/>
              </w:rPr>
            </w:pPr>
            <w:r w:rsidRPr="00475E67">
              <w:rPr>
                <w:sz w:val="20"/>
                <w:szCs w:val="20"/>
              </w:rPr>
              <w:t>Обеспечение долгосрочной сбалансированности и устойчивости бюджетной системы, повышение качества управления муниципальными финансами города Когалыма</w:t>
            </w:r>
          </w:p>
          <w:p w:rsidR="004616EA" w:rsidRPr="00475E67" w:rsidRDefault="004616EA" w:rsidP="00FA0564">
            <w:pPr>
              <w:pStyle w:val="afd"/>
              <w:spacing w:before="0"/>
              <w:rPr>
                <w:i/>
                <w:sz w:val="20"/>
                <w:szCs w:val="20"/>
                <w:u w:val="single"/>
              </w:rPr>
            </w:pPr>
            <w:r w:rsidRPr="00475E67">
              <w:rPr>
                <w:i/>
                <w:sz w:val="20"/>
                <w:szCs w:val="20"/>
                <w:u w:val="single"/>
              </w:rPr>
              <w:t>Задачи:</w:t>
            </w:r>
          </w:p>
          <w:p w:rsidR="004616EA" w:rsidRPr="00475E67" w:rsidRDefault="004616EA" w:rsidP="00FA0564">
            <w:pPr>
              <w:pStyle w:val="afd"/>
              <w:spacing w:before="0"/>
              <w:rPr>
                <w:i/>
                <w:sz w:val="20"/>
                <w:szCs w:val="20"/>
                <w:u w:val="single"/>
              </w:rPr>
            </w:pPr>
            <w:r w:rsidRPr="00475E67">
              <w:rPr>
                <w:sz w:val="20"/>
                <w:szCs w:val="20"/>
              </w:rPr>
              <w:t>Нормативное правовое регулирование в сфере бюджетного процесса и его совершенствование;</w:t>
            </w:r>
          </w:p>
          <w:p w:rsidR="004616EA" w:rsidRPr="00475E67" w:rsidRDefault="004616EA" w:rsidP="00FA0564">
            <w:pPr>
              <w:pStyle w:val="afd"/>
              <w:spacing w:before="0"/>
              <w:rPr>
                <w:i/>
                <w:sz w:val="20"/>
                <w:szCs w:val="20"/>
                <w:u w:val="single"/>
              </w:rPr>
            </w:pPr>
            <w:r w:rsidRPr="00475E67">
              <w:rPr>
                <w:sz w:val="20"/>
                <w:szCs w:val="20"/>
              </w:rPr>
              <w:t>Организация бюджетного процесса в городе Когалыме;</w:t>
            </w:r>
          </w:p>
          <w:p w:rsidR="004616EA" w:rsidRPr="00475E67" w:rsidRDefault="004616EA" w:rsidP="00FA0564">
            <w:pPr>
              <w:pStyle w:val="afd"/>
              <w:spacing w:before="0"/>
              <w:rPr>
                <w:sz w:val="20"/>
                <w:szCs w:val="20"/>
              </w:rPr>
            </w:pPr>
            <w:r w:rsidRPr="00475E67">
              <w:rPr>
                <w:sz w:val="20"/>
                <w:szCs w:val="20"/>
              </w:rPr>
              <w:t>Обеспечение своевременного контроля в финансово-бюджетной сфере;</w:t>
            </w:r>
          </w:p>
          <w:p w:rsidR="004616EA" w:rsidRPr="00FF6DF6" w:rsidRDefault="004616EA" w:rsidP="00FA0564">
            <w:pPr>
              <w:pStyle w:val="a7"/>
              <w:spacing w:after="0" w:line="240" w:lineRule="auto"/>
              <w:ind w:left="0"/>
              <w:jc w:val="both"/>
              <w:rPr>
                <w:rFonts w:ascii="Times New Roman" w:hAnsi="Times New Roman"/>
              </w:rPr>
            </w:pPr>
            <w:r w:rsidRPr="00FF6DF6">
              <w:rPr>
                <w:rFonts w:ascii="Times New Roman" w:hAnsi="Times New Roman"/>
                <w:lang w:eastAsia="en-US"/>
              </w:rPr>
              <w:t>Совершенствование информационной системы управления муниципальными финансами</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eastAsia="SimSun" w:hAnsi="Times New Roman"/>
                <w:sz w:val="20"/>
                <w:szCs w:val="20"/>
                <w:lang w:eastAsia="zh-CN"/>
              </w:rPr>
              <w:t>102 950,50</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Местный бюджет</w:t>
            </w:r>
          </w:p>
        </w:tc>
        <w:tc>
          <w:tcPr>
            <w:tcW w:w="1655" w:type="pct"/>
            <w:vAlign w:val="center"/>
          </w:tcPr>
          <w:p w:rsidR="004616EA" w:rsidRPr="00FF6DF6" w:rsidRDefault="004616EA" w:rsidP="00FA0564">
            <w:pPr>
              <w:pStyle w:val="a7"/>
              <w:widowControl w:val="0"/>
              <w:autoSpaceDE w:val="0"/>
              <w:autoSpaceDN w:val="0"/>
              <w:adjustRightInd w:val="0"/>
              <w:spacing w:after="0" w:line="240" w:lineRule="auto"/>
              <w:ind w:left="0"/>
              <w:contextualSpacing w:val="0"/>
              <w:jc w:val="both"/>
              <w:rPr>
                <w:rFonts w:ascii="Times New Roman" w:hAnsi="Times New Roman"/>
                <w:lang w:eastAsia="en-US"/>
              </w:rPr>
            </w:pPr>
            <w:r w:rsidRPr="00FF6DF6">
              <w:rPr>
                <w:rFonts w:ascii="Times New Roman" w:hAnsi="Times New Roman"/>
                <w:lang w:eastAsia="en-US"/>
              </w:rPr>
              <w:t>Исполнение расходных обязательств за счет средств бюджета города Когалыма за отчетный финансовый год в размере не менее 92,5% от бюджетных ассигнований, утвержденных решением Думы о бюджете города Когалыма;</w:t>
            </w:r>
          </w:p>
          <w:p w:rsidR="004616EA" w:rsidRPr="00FF6DF6" w:rsidRDefault="004616EA" w:rsidP="00FA0564">
            <w:pPr>
              <w:pStyle w:val="a7"/>
              <w:spacing w:after="0" w:line="240" w:lineRule="auto"/>
              <w:ind w:left="0"/>
              <w:contextualSpacing w:val="0"/>
              <w:jc w:val="both"/>
              <w:rPr>
                <w:rFonts w:ascii="Times New Roman" w:hAnsi="Times New Roman"/>
              </w:rPr>
            </w:pPr>
            <w:r w:rsidRPr="00FF6DF6">
              <w:rPr>
                <w:rFonts w:ascii="Times New Roman" w:hAnsi="Times New Roman"/>
                <w:lang w:eastAsia="en-US"/>
              </w:rPr>
              <w:t>Соблюдение размера дефицита бюджета города Когалыма к доходам местного бюджета без учета утвержденного объема безвозмездных поступлений и поступлений налоговых доходов по дополнительным нормативам отчислений, установленные статьей 92.1 Бюджетного кодекса Российской Федерации</w:t>
            </w:r>
          </w:p>
        </w:tc>
      </w:tr>
      <w:tr w:rsidR="004616EA" w:rsidRPr="00475E67" w:rsidTr="00F30319">
        <w:trPr>
          <w:trHeight w:val="1754"/>
        </w:trPr>
        <w:tc>
          <w:tcPr>
            <w:tcW w:w="820"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21. «Управление муниципальным имуществом города Когалыма на 2014-2016 годы»</w:t>
            </w:r>
          </w:p>
          <w:p w:rsidR="004616EA" w:rsidRPr="00475E67" w:rsidRDefault="004616EA" w:rsidP="00FA0564">
            <w:pPr>
              <w:spacing w:before="24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15.10.2013 №2934</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16.05.2014 №1149)</w:t>
            </w:r>
          </w:p>
        </w:tc>
        <w:tc>
          <w:tcPr>
            <w:tcW w:w="1391" w:type="pct"/>
            <w:vAlign w:val="center"/>
          </w:tcPr>
          <w:p w:rsidR="004616EA" w:rsidRPr="00733BD3" w:rsidRDefault="004616EA" w:rsidP="00FA0564">
            <w:pPr>
              <w:pStyle w:val="ConsPlusNormal"/>
              <w:widowControl/>
              <w:jc w:val="both"/>
              <w:rPr>
                <w:rFonts w:ascii="Times New Roman" w:hAnsi="Times New Roman"/>
                <w:i/>
                <w:sz w:val="20"/>
                <w:szCs w:val="20"/>
                <w:u w:val="single"/>
              </w:rPr>
            </w:pPr>
            <w:r w:rsidRPr="00733BD3">
              <w:rPr>
                <w:rFonts w:ascii="Times New Roman" w:hAnsi="Times New Roman"/>
                <w:i/>
                <w:sz w:val="20"/>
                <w:szCs w:val="20"/>
                <w:u w:val="single"/>
              </w:rPr>
              <w:t xml:space="preserve">Цель: </w:t>
            </w:r>
          </w:p>
          <w:p w:rsidR="004616EA" w:rsidRPr="00733BD3" w:rsidRDefault="004616EA" w:rsidP="00FA0564">
            <w:pPr>
              <w:pStyle w:val="ConsPlusNormal"/>
              <w:widowControl/>
              <w:jc w:val="both"/>
              <w:rPr>
                <w:rFonts w:ascii="Times New Roman" w:hAnsi="Times New Roman"/>
                <w:sz w:val="20"/>
                <w:szCs w:val="20"/>
              </w:rPr>
            </w:pPr>
            <w:r w:rsidRPr="00733BD3">
              <w:rPr>
                <w:rFonts w:ascii="Times New Roman" w:hAnsi="Times New Roman"/>
                <w:sz w:val="20"/>
                <w:szCs w:val="20"/>
              </w:rPr>
              <w:t>Формирование эффективной системы управления муниципальным имуществом города Когалыма, позволяющей обеспечить оптимальный состав имущества для исполнения полномочий Администрации города Когалыма, достоверный учёт и контроль использования муниципального имущества города Когалыма</w:t>
            </w:r>
          </w:p>
          <w:p w:rsidR="004616EA" w:rsidRPr="00733BD3" w:rsidRDefault="004616EA" w:rsidP="00FA0564">
            <w:pPr>
              <w:pStyle w:val="ConsPlusNormal"/>
              <w:widowControl/>
              <w:jc w:val="both"/>
              <w:rPr>
                <w:rFonts w:ascii="Times New Roman" w:hAnsi="Times New Roman"/>
                <w:i/>
                <w:sz w:val="20"/>
                <w:szCs w:val="20"/>
                <w:u w:val="single"/>
              </w:rPr>
            </w:pPr>
            <w:r w:rsidRPr="00733BD3">
              <w:rPr>
                <w:rFonts w:ascii="Times New Roman" w:hAnsi="Times New Roman"/>
                <w:i/>
                <w:sz w:val="20"/>
                <w:szCs w:val="20"/>
                <w:u w:val="single"/>
              </w:rPr>
              <w:t>Задачи:</w:t>
            </w:r>
          </w:p>
          <w:p w:rsidR="004616EA" w:rsidRPr="00FF6DF6" w:rsidRDefault="004616EA" w:rsidP="00FA0564">
            <w:pPr>
              <w:pStyle w:val="a7"/>
              <w:tabs>
                <w:tab w:val="left" w:pos="222"/>
              </w:tabs>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Совершенствование системы управления муниципальным имуществом города Когалыма;</w:t>
            </w:r>
          </w:p>
          <w:p w:rsidR="004616EA" w:rsidRPr="00FF6DF6" w:rsidRDefault="004616EA" w:rsidP="00FA0564">
            <w:pPr>
              <w:pStyle w:val="a7"/>
              <w:spacing w:after="0" w:line="240" w:lineRule="auto"/>
              <w:ind w:left="0"/>
              <w:jc w:val="both"/>
              <w:rPr>
                <w:rFonts w:ascii="Times New Roman" w:hAnsi="Times New Roman"/>
              </w:rPr>
            </w:pPr>
            <w:r w:rsidRPr="00FF6DF6">
              <w:rPr>
                <w:rFonts w:ascii="Times New Roman" w:hAnsi="Times New Roman"/>
                <w:lang w:eastAsia="en-US"/>
              </w:rPr>
              <w:t>Обеспечение условий для выполнения функций, возложенных на Комитет по управлению муниципальным имуществом Администрации города Когалыма</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270 879,60</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Местный бюджет</w:t>
            </w:r>
          </w:p>
        </w:tc>
        <w:tc>
          <w:tcPr>
            <w:tcW w:w="1655" w:type="pct"/>
          </w:tcPr>
          <w:p w:rsidR="004616EA" w:rsidRPr="00733BD3" w:rsidRDefault="004616EA" w:rsidP="00FA0564">
            <w:pPr>
              <w:pStyle w:val="ConsPlusNormal"/>
              <w:widowControl/>
              <w:tabs>
                <w:tab w:val="left" w:pos="-8426"/>
              </w:tabs>
              <w:jc w:val="both"/>
              <w:rPr>
                <w:rFonts w:ascii="Times New Roman" w:hAnsi="Times New Roman"/>
                <w:sz w:val="20"/>
                <w:szCs w:val="20"/>
              </w:rPr>
            </w:pPr>
            <w:r w:rsidRPr="00733BD3">
              <w:rPr>
                <w:rFonts w:ascii="Times New Roman" w:hAnsi="Times New Roman"/>
                <w:sz w:val="20"/>
                <w:szCs w:val="20"/>
              </w:rPr>
              <w:t>Приведение состава муниципального имущества города Когалыма, в соответствие с выполняемыми полномочиями Администрации города Когалыма - 100%</w:t>
            </w:r>
          </w:p>
        </w:tc>
      </w:tr>
    </w:tbl>
    <w:p w:rsidR="004616EA" w:rsidRDefault="004616EA">
      <w:pPr>
        <w:sectPr w:rsidR="004616EA" w:rsidSect="002D3BE6">
          <w:type w:val="continuous"/>
          <w:pgSz w:w="16838" w:h="11906" w:orient="landscape"/>
          <w:pgMar w:top="2552" w:right="567" w:bottom="567" w:left="567" w:header="709" w:footer="709" w:gutter="0"/>
          <w:cols w:space="708"/>
          <w:docGrid w:linePitch="360"/>
        </w:sectPr>
      </w:pPr>
    </w:p>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12"/>
        <w:gridCol w:w="4430"/>
        <w:gridCol w:w="1774"/>
        <w:gridCol w:w="1834"/>
        <w:gridCol w:w="5270"/>
      </w:tblGrid>
      <w:tr w:rsidR="004616EA" w:rsidRPr="00475E67" w:rsidTr="00F30319">
        <w:trPr>
          <w:trHeight w:val="1754"/>
        </w:trPr>
        <w:tc>
          <w:tcPr>
            <w:tcW w:w="820" w:type="pct"/>
            <w:vAlign w:val="center"/>
          </w:tcPr>
          <w:p w:rsidR="004616EA" w:rsidRPr="00475E67" w:rsidRDefault="004616EA" w:rsidP="00FA0564">
            <w:pPr>
              <w:autoSpaceDE w:val="0"/>
              <w:autoSpaceDN w:val="0"/>
              <w:adjustRightInd w:val="0"/>
              <w:spacing w:after="0" w:line="240" w:lineRule="auto"/>
              <w:jc w:val="center"/>
              <w:rPr>
                <w:rFonts w:ascii="Times New Roman" w:hAnsi="Times New Roman"/>
                <w:sz w:val="20"/>
                <w:szCs w:val="20"/>
                <w:lang w:eastAsia="ar-SA"/>
              </w:rPr>
            </w:pPr>
            <w:r w:rsidRPr="00475E67">
              <w:rPr>
                <w:rFonts w:ascii="Times New Roman" w:hAnsi="Times New Roman"/>
                <w:sz w:val="20"/>
                <w:szCs w:val="20"/>
                <w:lang w:eastAsia="ru-RU"/>
              </w:rPr>
              <w:t xml:space="preserve">22. </w:t>
            </w:r>
            <w:r w:rsidRPr="00475E67">
              <w:rPr>
                <w:rFonts w:ascii="Times New Roman" w:hAnsi="Times New Roman"/>
                <w:sz w:val="20"/>
                <w:szCs w:val="20"/>
                <w:lang w:eastAsia="ar-SA"/>
              </w:rPr>
              <w:t>«Обеспечение экологической безопасности</w:t>
            </w:r>
          </w:p>
          <w:p w:rsidR="004616EA" w:rsidRPr="00475E67" w:rsidRDefault="004616EA" w:rsidP="00FA0564">
            <w:pPr>
              <w:autoSpaceDE w:val="0"/>
              <w:autoSpaceDN w:val="0"/>
              <w:adjustRightInd w:val="0"/>
              <w:spacing w:after="0" w:line="240" w:lineRule="auto"/>
              <w:jc w:val="center"/>
              <w:rPr>
                <w:rFonts w:ascii="Times New Roman" w:hAnsi="Times New Roman"/>
                <w:sz w:val="20"/>
                <w:szCs w:val="20"/>
                <w:lang w:eastAsia="ar-SA"/>
              </w:rPr>
            </w:pPr>
            <w:r w:rsidRPr="00475E67">
              <w:rPr>
                <w:rFonts w:ascii="Times New Roman" w:hAnsi="Times New Roman"/>
                <w:sz w:val="20"/>
                <w:szCs w:val="20"/>
                <w:lang w:eastAsia="ar-SA"/>
              </w:rPr>
              <w:t>города Когалыма на 2014 - 2016 годы»</w:t>
            </w:r>
          </w:p>
          <w:p w:rsidR="004616EA" w:rsidRPr="00475E67" w:rsidRDefault="004616EA" w:rsidP="00FA0564">
            <w:pPr>
              <w:autoSpaceDE w:val="0"/>
              <w:autoSpaceDN w:val="0"/>
              <w:adjustRightInd w:val="0"/>
              <w:spacing w:after="0" w:line="240" w:lineRule="auto"/>
              <w:jc w:val="center"/>
              <w:rPr>
                <w:rFonts w:ascii="Times New Roman" w:hAnsi="Times New Roman"/>
                <w:sz w:val="20"/>
                <w:szCs w:val="20"/>
                <w:lang w:eastAsia="ar-SA"/>
              </w:rPr>
            </w:pPr>
          </w:p>
          <w:p w:rsidR="004616EA" w:rsidRPr="00475E67" w:rsidRDefault="004616EA" w:rsidP="00FA0564">
            <w:pPr>
              <w:autoSpaceDE w:val="0"/>
              <w:autoSpaceDN w:val="0"/>
              <w:adjustRightInd w:val="0"/>
              <w:spacing w:after="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11.10.2013 №2909</w:t>
            </w:r>
          </w:p>
          <w:p w:rsidR="004616EA" w:rsidRPr="00475E67" w:rsidRDefault="004616EA" w:rsidP="00FA0564">
            <w:pPr>
              <w:autoSpaceDE w:val="0"/>
              <w:autoSpaceDN w:val="0"/>
              <w:adjustRightInd w:val="0"/>
              <w:spacing w:after="0" w:line="240" w:lineRule="auto"/>
              <w:jc w:val="center"/>
              <w:rPr>
                <w:rFonts w:ascii="Times New Roman" w:hAnsi="Times New Roman"/>
                <w:sz w:val="20"/>
                <w:szCs w:val="20"/>
              </w:rPr>
            </w:pP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ar-SA"/>
              </w:rPr>
              <w:t>(в ред. от 25.03.2014 №615)</w:t>
            </w:r>
          </w:p>
        </w:tc>
        <w:tc>
          <w:tcPr>
            <w:tcW w:w="1391" w:type="pct"/>
            <w:vAlign w:val="center"/>
          </w:tcPr>
          <w:p w:rsidR="004616EA" w:rsidRPr="00475E67" w:rsidRDefault="004616EA" w:rsidP="00FA0564">
            <w:pPr>
              <w:widowControl w:val="0"/>
              <w:autoSpaceDE w:val="0"/>
              <w:autoSpaceDN w:val="0"/>
              <w:adjustRightInd w:val="0"/>
              <w:spacing w:after="0" w:line="240" w:lineRule="auto"/>
              <w:jc w:val="both"/>
              <w:rPr>
                <w:rFonts w:ascii="Times New Roman" w:hAnsi="Times New Roman"/>
                <w:i/>
                <w:sz w:val="20"/>
                <w:szCs w:val="20"/>
                <w:u w:val="single"/>
                <w:lang w:eastAsia="ar-SA"/>
              </w:rPr>
            </w:pPr>
            <w:r w:rsidRPr="00475E67">
              <w:rPr>
                <w:rFonts w:ascii="Times New Roman" w:hAnsi="Times New Roman"/>
                <w:i/>
                <w:sz w:val="20"/>
                <w:szCs w:val="20"/>
                <w:u w:val="single"/>
                <w:lang w:eastAsia="ar-SA"/>
              </w:rPr>
              <w:t>Цель:</w:t>
            </w:r>
          </w:p>
          <w:p w:rsidR="004616EA" w:rsidRPr="00475E67" w:rsidRDefault="004616EA" w:rsidP="00FA0564">
            <w:pPr>
              <w:widowControl w:val="0"/>
              <w:autoSpaceDE w:val="0"/>
              <w:autoSpaceDN w:val="0"/>
              <w:adjustRightInd w:val="0"/>
              <w:spacing w:after="0" w:line="240" w:lineRule="auto"/>
              <w:jc w:val="both"/>
              <w:rPr>
                <w:rFonts w:ascii="Times New Roman" w:hAnsi="Times New Roman"/>
                <w:sz w:val="20"/>
                <w:szCs w:val="20"/>
                <w:lang w:eastAsia="ar-SA"/>
              </w:rPr>
            </w:pPr>
            <w:r w:rsidRPr="00475E67">
              <w:rPr>
                <w:rFonts w:ascii="Times New Roman" w:hAnsi="Times New Roman"/>
                <w:sz w:val="20"/>
                <w:szCs w:val="20"/>
                <w:lang w:eastAsia="ar-SA"/>
              </w:rPr>
              <w:t xml:space="preserve">Обеспечить экологическую безопасность города Когалыма на 2014 - 2016 годы </w:t>
            </w:r>
          </w:p>
          <w:p w:rsidR="004616EA" w:rsidRPr="00475E67" w:rsidRDefault="004616EA" w:rsidP="00FA0564">
            <w:pPr>
              <w:widowControl w:val="0"/>
              <w:tabs>
                <w:tab w:val="left" w:pos="67"/>
              </w:tabs>
              <w:autoSpaceDE w:val="0"/>
              <w:autoSpaceDN w:val="0"/>
              <w:adjustRightInd w:val="0"/>
              <w:spacing w:after="0" w:line="240" w:lineRule="auto"/>
              <w:jc w:val="both"/>
              <w:rPr>
                <w:rFonts w:ascii="Times New Roman" w:hAnsi="Times New Roman"/>
                <w:i/>
                <w:sz w:val="20"/>
                <w:szCs w:val="20"/>
                <w:u w:val="single"/>
                <w:lang w:eastAsia="ru-RU"/>
              </w:rPr>
            </w:pPr>
            <w:r w:rsidRPr="00475E67">
              <w:rPr>
                <w:rFonts w:ascii="Times New Roman" w:hAnsi="Times New Roman"/>
                <w:i/>
                <w:sz w:val="20"/>
                <w:szCs w:val="20"/>
                <w:u w:val="single"/>
                <w:lang w:eastAsia="ru-RU"/>
              </w:rPr>
              <w:t>Задачи:</w:t>
            </w:r>
          </w:p>
          <w:p w:rsidR="004616EA" w:rsidRPr="00FF6DF6" w:rsidRDefault="004616EA" w:rsidP="00FA0564">
            <w:pPr>
              <w:pStyle w:val="a7"/>
              <w:widowControl w:val="0"/>
              <w:autoSpaceDE w:val="0"/>
              <w:autoSpaceDN w:val="0"/>
              <w:adjustRightInd w:val="0"/>
              <w:spacing w:after="0" w:line="240" w:lineRule="auto"/>
              <w:ind w:left="0"/>
              <w:jc w:val="both"/>
              <w:rPr>
                <w:rFonts w:ascii="Times New Roman" w:hAnsi="Times New Roman"/>
                <w:lang w:eastAsia="ar-SA"/>
              </w:rPr>
            </w:pPr>
            <w:r w:rsidRPr="00FF6DF6">
              <w:rPr>
                <w:rFonts w:ascii="Times New Roman" w:hAnsi="Times New Roman"/>
                <w:lang w:eastAsia="en-US"/>
              </w:rPr>
              <w:t xml:space="preserve">Организация централизованного сбора и утилизации твердых бытовых отходов (далее – ТБО), образующихся на производственных и жилых объектах города Когалыма, в соответствии с требованиями Федерального </w:t>
            </w:r>
            <w:hyperlink r:id="rId86" w:history="1">
              <w:r w:rsidRPr="00FF6DF6">
                <w:rPr>
                  <w:rFonts w:ascii="Times New Roman" w:hAnsi="Times New Roman"/>
                  <w:lang w:eastAsia="en-US"/>
                </w:rPr>
                <w:t>закона</w:t>
              </w:r>
            </w:hyperlink>
            <w:r w:rsidRPr="00FF6DF6">
              <w:rPr>
                <w:rFonts w:ascii="Times New Roman" w:hAnsi="Times New Roman"/>
                <w:lang w:eastAsia="en-US"/>
              </w:rPr>
              <w:t xml:space="preserve"> от 10.01.2002 №7-ФЗ «Об охране окружающей среды» и Федерального </w:t>
            </w:r>
            <w:hyperlink r:id="rId87" w:history="1">
              <w:r w:rsidRPr="00FF6DF6">
                <w:rPr>
                  <w:rFonts w:ascii="Times New Roman" w:hAnsi="Times New Roman"/>
                  <w:lang w:eastAsia="en-US"/>
                </w:rPr>
                <w:t>закона</w:t>
              </w:r>
            </w:hyperlink>
            <w:r w:rsidRPr="00FF6DF6">
              <w:rPr>
                <w:rFonts w:ascii="Times New Roman" w:hAnsi="Times New Roman"/>
                <w:lang w:eastAsia="en-US"/>
              </w:rPr>
              <w:t xml:space="preserve"> от 24.06.1998 №89-ФЗ «Об отходах производства и потребления»;</w:t>
            </w:r>
          </w:p>
          <w:p w:rsidR="004616EA" w:rsidRPr="00FF6DF6" w:rsidRDefault="004616EA" w:rsidP="00FA0564">
            <w:pPr>
              <w:pStyle w:val="a7"/>
              <w:spacing w:after="0" w:line="240" w:lineRule="auto"/>
              <w:ind w:left="0"/>
              <w:jc w:val="both"/>
              <w:rPr>
                <w:rFonts w:ascii="Times New Roman" w:hAnsi="Times New Roman"/>
              </w:rPr>
            </w:pPr>
            <w:r w:rsidRPr="00FF6DF6">
              <w:rPr>
                <w:rFonts w:ascii="Times New Roman" w:hAnsi="Times New Roman"/>
                <w:lang w:eastAsia="en-US"/>
              </w:rPr>
              <w:t>Обеспечение благоприятных и безопасных условий  жизнедеятельности населения, экологического  равновесия, решение природоохранных мероприятий и оздоровление экологической обстановки на территории города Когалыма</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28 773,50</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Местный бюджет</w:t>
            </w:r>
          </w:p>
        </w:tc>
        <w:tc>
          <w:tcPr>
            <w:tcW w:w="1655" w:type="pct"/>
          </w:tcPr>
          <w:p w:rsidR="004616EA" w:rsidRPr="00FF6DF6" w:rsidRDefault="004616EA" w:rsidP="00FA0564">
            <w:pPr>
              <w:pStyle w:val="a7"/>
              <w:spacing w:after="0" w:line="240" w:lineRule="auto"/>
              <w:ind w:left="0"/>
              <w:jc w:val="both"/>
              <w:rPr>
                <w:rFonts w:ascii="Times New Roman" w:hAnsi="Times New Roman"/>
              </w:rPr>
            </w:pPr>
            <w:r w:rsidRPr="00FF6DF6">
              <w:rPr>
                <w:rFonts w:ascii="Times New Roman" w:hAnsi="Times New Roman"/>
              </w:rPr>
              <w:t>Строительство полигона,1 ед.;</w:t>
            </w:r>
          </w:p>
          <w:p w:rsidR="004616EA" w:rsidRPr="00FF6DF6" w:rsidRDefault="004616EA" w:rsidP="00FA0564">
            <w:pPr>
              <w:pStyle w:val="a7"/>
              <w:spacing w:after="0" w:line="240" w:lineRule="auto"/>
              <w:ind w:left="0"/>
              <w:jc w:val="both"/>
              <w:rPr>
                <w:rFonts w:ascii="Times New Roman" w:hAnsi="Times New Roman"/>
              </w:rPr>
            </w:pPr>
            <w:r w:rsidRPr="00FF6DF6">
              <w:rPr>
                <w:rFonts w:ascii="Times New Roman" w:hAnsi="Times New Roman"/>
              </w:rPr>
              <w:t>прекращение несанкционированного размещения ТБО на территории города Когалыма - 80%;</w:t>
            </w:r>
          </w:p>
          <w:p w:rsidR="004616EA" w:rsidRPr="00FF6DF6" w:rsidRDefault="004616EA" w:rsidP="00FA0564">
            <w:pPr>
              <w:pStyle w:val="a7"/>
              <w:spacing w:after="0" w:line="240" w:lineRule="auto"/>
              <w:ind w:left="0"/>
              <w:jc w:val="both"/>
              <w:rPr>
                <w:rFonts w:ascii="Times New Roman" w:hAnsi="Times New Roman"/>
                <w:sz w:val="22"/>
                <w:szCs w:val="22"/>
                <w:lang w:eastAsia="en-US"/>
              </w:rPr>
            </w:pPr>
            <w:r w:rsidRPr="00FF6DF6">
              <w:rPr>
                <w:rFonts w:ascii="Times New Roman" w:hAnsi="Times New Roman"/>
              </w:rPr>
              <w:t>Р</w:t>
            </w:r>
            <w:r w:rsidRPr="00FF6DF6">
              <w:rPr>
                <w:rFonts w:ascii="Times New Roman" w:hAnsi="Times New Roman"/>
                <w:lang w:eastAsia="en-US"/>
              </w:rPr>
              <w:t xml:space="preserve">еализация мероприятий для проведения проектно - изыскательских работ (ПИР) </w:t>
            </w:r>
            <w:r w:rsidRPr="00FF6DF6">
              <w:rPr>
                <w:rFonts w:ascii="Times New Roman" w:hAnsi="Times New Roman"/>
              </w:rPr>
              <w:t>для осуществления рекультивации существующей санкционированной свалки ТБО,1 ед</w:t>
            </w:r>
            <w:r w:rsidRPr="00FF6DF6">
              <w:rPr>
                <w:rFonts w:ascii="Times New Roman" w:hAnsi="Times New Roman"/>
                <w:sz w:val="22"/>
                <w:szCs w:val="22"/>
                <w:lang w:eastAsia="en-US"/>
              </w:rPr>
              <w:t>иница;</w:t>
            </w:r>
          </w:p>
          <w:p w:rsidR="004616EA" w:rsidRPr="00FF6DF6" w:rsidRDefault="004616EA" w:rsidP="00FA0564">
            <w:pPr>
              <w:pStyle w:val="a7"/>
              <w:spacing w:after="0" w:line="240" w:lineRule="auto"/>
              <w:ind w:left="0"/>
              <w:jc w:val="both"/>
              <w:rPr>
                <w:rFonts w:ascii="Times New Roman" w:hAnsi="Times New Roman"/>
                <w:sz w:val="22"/>
                <w:szCs w:val="22"/>
                <w:lang w:eastAsia="en-US"/>
              </w:rPr>
            </w:pPr>
            <w:r w:rsidRPr="00FF6DF6">
              <w:rPr>
                <w:rFonts w:ascii="Times New Roman" w:hAnsi="Times New Roman"/>
                <w:lang w:eastAsia="en-US"/>
              </w:rPr>
              <w:t>Обеспечение города Когалыма системой сбора и удаления ТБО - 80%</w:t>
            </w:r>
          </w:p>
        </w:tc>
      </w:tr>
    </w:tbl>
    <w:p w:rsidR="004616EA" w:rsidRPr="00475E67" w:rsidRDefault="004616EA" w:rsidP="00ED7283"/>
    <w:p w:rsidR="004616EA" w:rsidRPr="00475E67" w:rsidRDefault="004616EA" w:rsidP="00ED7283"/>
    <w:p w:rsidR="004616EA" w:rsidRPr="00475E67" w:rsidRDefault="004616EA" w:rsidP="00ED7283"/>
    <w:p w:rsidR="004616EA" w:rsidRPr="00475E67" w:rsidRDefault="004616EA" w:rsidP="00ED7283">
      <w:pPr>
        <w:sectPr w:rsidR="004616EA" w:rsidRPr="00475E67" w:rsidSect="00CA4050">
          <w:type w:val="continuous"/>
          <w:pgSz w:w="16838" w:h="11906" w:orient="landscape"/>
          <w:pgMar w:top="567" w:right="567" w:bottom="2552" w:left="567" w:header="709" w:footer="709" w:gutter="0"/>
          <w:cols w:space="708"/>
          <w:docGrid w:linePitch="360"/>
        </w:sectPr>
      </w:pPr>
    </w:p>
    <w:p w:rsidR="004616EA" w:rsidRPr="00DE0DA0" w:rsidRDefault="004616EA" w:rsidP="00DE0DA0">
      <w:pPr>
        <w:pStyle w:val="1"/>
        <w:spacing w:before="0" w:after="0"/>
        <w:rPr>
          <w:sz w:val="26"/>
          <w:szCs w:val="26"/>
          <w:lang w:eastAsia="ar-SA"/>
        </w:rPr>
      </w:pPr>
      <w:bookmarkStart w:id="408" w:name="_Toc405805566"/>
      <w:r w:rsidRPr="00DE0DA0">
        <w:rPr>
          <w:sz w:val="26"/>
          <w:szCs w:val="26"/>
          <w:lang w:eastAsia="ar-SA"/>
        </w:rPr>
        <w:t>Приложение Б</w:t>
      </w:r>
      <w:bookmarkEnd w:id="408"/>
    </w:p>
    <w:p w:rsidR="004616EA" w:rsidRPr="00DE0DA0" w:rsidRDefault="004616EA" w:rsidP="00DE0DA0">
      <w:pPr>
        <w:spacing w:after="0" w:line="240" w:lineRule="auto"/>
        <w:jc w:val="both"/>
        <w:rPr>
          <w:rFonts w:ascii="Times New Roman" w:hAnsi="Times New Roman"/>
          <w:iCs/>
          <w:sz w:val="26"/>
          <w:szCs w:val="26"/>
          <w:lang w:eastAsia="ar-SA"/>
        </w:rPr>
      </w:pPr>
      <w:r w:rsidRPr="00DE0DA0">
        <w:rPr>
          <w:rFonts w:ascii="Times New Roman" w:hAnsi="Times New Roman"/>
          <w:iCs/>
          <w:sz w:val="26"/>
          <w:szCs w:val="26"/>
          <w:lang w:eastAsia="ar-SA"/>
        </w:rPr>
        <w:t>Таблица Б.1 - Объем финансирования муниципальных программ, реализуемых на территории городского округа город Когалым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93"/>
        <w:gridCol w:w="2325"/>
        <w:gridCol w:w="1666"/>
        <w:gridCol w:w="1561"/>
        <w:gridCol w:w="1561"/>
        <w:gridCol w:w="1397"/>
      </w:tblGrid>
      <w:tr w:rsidR="004616EA" w:rsidRPr="00DE0DA0" w:rsidTr="00DE0DA0">
        <w:trPr>
          <w:trHeight w:val="600"/>
        </w:trPr>
        <w:tc>
          <w:tcPr>
            <w:tcW w:w="274" w:type="pct"/>
            <w:vMerge w:val="restart"/>
            <w:vAlign w:val="center"/>
          </w:tcPr>
          <w:p w:rsidR="004616EA" w:rsidRPr="00DE0DA0" w:rsidRDefault="004616EA" w:rsidP="004E5F17">
            <w:pPr>
              <w:spacing w:after="0" w:line="240" w:lineRule="auto"/>
              <w:ind w:right="-65"/>
              <w:jc w:val="center"/>
              <w:rPr>
                <w:rFonts w:ascii="Times New Roman" w:hAnsi="Times New Roman"/>
                <w:sz w:val="26"/>
                <w:szCs w:val="26"/>
                <w:lang w:eastAsia="ru-RU"/>
              </w:rPr>
            </w:pPr>
            <w:r w:rsidRPr="00DE0DA0">
              <w:rPr>
                <w:rFonts w:ascii="Times New Roman" w:hAnsi="Times New Roman"/>
                <w:sz w:val="26"/>
                <w:szCs w:val="26"/>
                <w:lang w:eastAsia="ru-RU"/>
              </w:rPr>
              <w:t>№ п/п</w:t>
            </w:r>
          </w:p>
        </w:tc>
        <w:tc>
          <w:tcPr>
            <w:tcW w:w="1291"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xml:space="preserve">Наименование </w:t>
            </w:r>
          </w:p>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муниципальной программы</w:t>
            </w:r>
          </w:p>
        </w:tc>
        <w:tc>
          <w:tcPr>
            <w:tcW w:w="3436" w:type="pct"/>
            <w:gridSpan w:val="4"/>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Объем финансирования, тыс. рублей</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ind w:right="-65"/>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2014</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2015</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2016</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w:t>
            </w:r>
          </w:p>
        </w:tc>
        <w:tc>
          <w:tcPr>
            <w:tcW w:w="1291" w:type="pct"/>
            <w:vMerge w:val="restart"/>
            <w:vAlign w:val="center"/>
          </w:tcPr>
          <w:p w:rsidR="004616EA" w:rsidRPr="00DE0DA0" w:rsidRDefault="004616EA" w:rsidP="004E5F17">
            <w:pPr>
              <w:spacing w:after="0" w:line="240" w:lineRule="auto"/>
              <w:rPr>
                <w:rFonts w:ascii="Times New Roman" w:hAnsi="Times New Roman"/>
                <w:sz w:val="26"/>
                <w:szCs w:val="26"/>
                <w:lang w:eastAsia="ru-RU"/>
              </w:rPr>
            </w:pPr>
            <w:r w:rsidRPr="00DE0DA0">
              <w:rPr>
                <w:rFonts w:ascii="Times New Roman" w:hAnsi="Times New Roman"/>
                <w:sz w:val="26"/>
                <w:szCs w:val="26"/>
              </w:rPr>
              <w:t>Доступная среда города Когалыма на 2014-2016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5 156,39</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6 000,00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6 300,00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before="240"/>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5 156,40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6 000,00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w:t>
            </w:r>
          </w:p>
        </w:tc>
      </w:tr>
      <w:tr w:rsidR="004616EA" w:rsidRPr="00DE0DA0" w:rsidTr="00DE0DA0">
        <w:trPr>
          <w:trHeight w:val="463"/>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before="240"/>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w:t>
            </w:r>
          </w:p>
        </w:tc>
      </w:tr>
      <w:tr w:rsidR="004616EA" w:rsidRPr="00DE0DA0" w:rsidTr="00DE0DA0">
        <w:trPr>
          <w:trHeight w:val="713"/>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w:t>
            </w:r>
          </w:p>
        </w:tc>
        <w:tc>
          <w:tcPr>
            <w:tcW w:w="1291" w:type="pct"/>
            <w:vMerge w:val="restart"/>
            <w:vAlign w:val="center"/>
          </w:tcPr>
          <w:p w:rsidR="004616EA" w:rsidRPr="00DE0DA0" w:rsidRDefault="004616EA" w:rsidP="004E5F17">
            <w:pPr>
              <w:autoSpaceDE w:val="0"/>
              <w:autoSpaceDN w:val="0"/>
              <w:adjustRightInd w:val="0"/>
              <w:spacing w:after="0" w:line="240" w:lineRule="auto"/>
              <w:rPr>
                <w:rFonts w:ascii="Times New Roman" w:hAnsi="Times New Roman"/>
                <w:sz w:val="26"/>
                <w:szCs w:val="26"/>
                <w:lang w:eastAsia="ru-RU"/>
              </w:rPr>
            </w:pPr>
            <w:r w:rsidRPr="00DE0DA0">
              <w:rPr>
                <w:rFonts w:ascii="Times New Roman" w:hAnsi="Times New Roman"/>
                <w:sz w:val="26"/>
                <w:szCs w:val="26"/>
              </w:rPr>
              <w:t>Защита населения и территорий от чрезвычайных ситуаций и укрепление пожарной безопасности в городе Когалыме на 2014 - 2016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61 556,90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30 181,30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31 773,60</w:t>
            </w:r>
          </w:p>
        </w:tc>
      </w:tr>
      <w:tr w:rsidR="004616EA" w:rsidRPr="00DE0DA0" w:rsidTr="00DE0DA0">
        <w:trPr>
          <w:trHeight w:val="693"/>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autoSpaceDE w:val="0"/>
              <w:autoSpaceDN w:val="0"/>
              <w:adjustRightInd w:val="0"/>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61 556,90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30 181,30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31 773,60</w:t>
            </w:r>
          </w:p>
        </w:tc>
      </w:tr>
      <w:tr w:rsidR="004616EA" w:rsidRPr="00DE0DA0" w:rsidTr="00DE0DA0">
        <w:trPr>
          <w:trHeight w:val="41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autoSpaceDE w:val="0"/>
              <w:autoSpaceDN w:val="0"/>
              <w:adjustRightInd w:val="0"/>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3</w:t>
            </w:r>
          </w:p>
        </w:tc>
        <w:tc>
          <w:tcPr>
            <w:tcW w:w="1291" w:type="pct"/>
            <w:vMerge w:val="restart"/>
            <w:vAlign w:val="center"/>
          </w:tcPr>
          <w:p w:rsidR="004616EA" w:rsidRPr="00DE0DA0" w:rsidRDefault="004616EA" w:rsidP="004E5F17">
            <w:pPr>
              <w:spacing w:after="0"/>
              <w:rPr>
                <w:rFonts w:ascii="Times New Roman" w:hAnsi="Times New Roman"/>
                <w:sz w:val="26"/>
                <w:szCs w:val="26"/>
              </w:rPr>
            </w:pPr>
            <w:r w:rsidRPr="00DE0DA0">
              <w:rPr>
                <w:rFonts w:ascii="Times New Roman" w:hAnsi="Times New Roman"/>
                <w:sz w:val="26"/>
                <w:szCs w:val="26"/>
              </w:rPr>
              <w:t>«Информационное общество - Когалым» на 2014-2016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24 959,40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19 681,30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20 279,90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18 605,90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w:t>
            </w:r>
          </w:p>
        </w:tc>
      </w:tr>
      <w:tr w:rsidR="004616EA" w:rsidRPr="00DE0DA0" w:rsidTr="00DE0DA0">
        <w:trPr>
          <w:trHeight w:val="478"/>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74,54</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4</w:t>
            </w:r>
          </w:p>
        </w:tc>
        <w:tc>
          <w:tcPr>
            <w:tcW w:w="1291" w:type="pct"/>
            <w:vMerge w:val="restart"/>
            <w:vAlign w:val="center"/>
          </w:tcPr>
          <w:p w:rsidR="004616EA" w:rsidRPr="00DE0DA0" w:rsidRDefault="004616EA" w:rsidP="004E5F17">
            <w:pPr>
              <w:spacing w:after="0" w:line="240" w:lineRule="auto"/>
              <w:rPr>
                <w:rFonts w:ascii="Times New Roman" w:hAnsi="Times New Roman"/>
                <w:sz w:val="26"/>
                <w:szCs w:val="26"/>
                <w:lang w:eastAsia="ru-RU"/>
              </w:rPr>
            </w:pPr>
            <w:r w:rsidRPr="00DE0DA0">
              <w:rPr>
                <w:rFonts w:ascii="Times New Roman" w:hAnsi="Times New Roman"/>
                <w:sz w:val="26"/>
                <w:szCs w:val="26"/>
              </w:rPr>
              <w:t>Обеспечение доступным и комфортным жильем жителей города Когалыма на 2014-2016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90 042,40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53 039,60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52 252,90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293 301,60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53 039,60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46 804,30</w:t>
            </w:r>
          </w:p>
        </w:tc>
      </w:tr>
      <w:tr w:rsidR="004616EA" w:rsidRPr="00DE0DA0" w:rsidTr="00DE0DA0">
        <w:trPr>
          <w:trHeight w:val="475"/>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325,74</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89,57</w:t>
            </w:r>
          </w:p>
        </w:tc>
      </w:tr>
      <w:tr w:rsidR="004616EA" w:rsidRPr="00DE0DA0" w:rsidTr="00DE0DA0">
        <w:trPr>
          <w:trHeight w:val="691"/>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5</w:t>
            </w:r>
          </w:p>
        </w:tc>
        <w:tc>
          <w:tcPr>
            <w:tcW w:w="1291" w:type="pct"/>
            <w:vMerge w:val="restart"/>
            <w:vAlign w:val="center"/>
          </w:tcPr>
          <w:p w:rsidR="004616EA" w:rsidRPr="00DE0DA0" w:rsidRDefault="004616EA" w:rsidP="004E5F17">
            <w:pPr>
              <w:spacing w:after="0" w:line="240" w:lineRule="auto"/>
              <w:rPr>
                <w:rFonts w:ascii="Times New Roman" w:hAnsi="Times New Roman"/>
                <w:sz w:val="26"/>
                <w:szCs w:val="26"/>
              </w:rPr>
            </w:pPr>
            <w:r w:rsidRPr="00DE0DA0">
              <w:rPr>
                <w:rFonts w:ascii="Times New Roman" w:hAnsi="Times New Roman"/>
                <w:sz w:val="26"/>
                <w:szCs w:val="26"/>
              </w:rPr>
              <w:t>Обеспечение прав и законных интересов населения города Когалыма в отдельных сферах жизнедеятельности в 2014-2016 годах</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18 161,16</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16 171,10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16 337,20</w:t>
            </w:r>
          </w:p>
        </w:tc>
      </w:tr>
      <w:tr w:rsidR="004616EA" w:rsidRPr="00DE0DA0" w:rsidTr="00DE0DA0">
        <w:trPr>
          <w:trHeight w:val="533"/>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18 260,20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16 171,10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16 337,20</w:t>
            </w:r>
          </w:p>
        </w:tc>
      </w:tr>
      <w:tr w:rsidR="004616EA" w:rsidRPr="00DE0DA0" w:rsidTr="00DE0DA0">
        <w:trPr>
          <w:trHeight w:val="497"/>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100,55</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515"/>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6</w:t>
            </w:r>
          </w:p>
        </w:tc>
        <w:tc>
          <w:tcPr>
            <w:tcW w:w="1291" w:type="pct"/>
            <w:vMerge w:val="restart"/>
            <w:vAlign w:val="center"/>
          </w:tcPr>
          <w:p w:rsidR="004616EA" w:rsidRPr="00DE0DA0" w:rsidRDefault="004616EA" w:rsidP="004E5F17">
            <w:pPr>
              <w:autoSpaceDE w:val="0"/>
              <w:spacing w:after="0" w:line="240" w:lineRule="auto"/>
              <w:rPr>
                <w:rFonts w:ascii="Times New Roman" w:hAnsi="Times New Roman"/>
                <w:sz w:val="26"/>
                <w:szCs w:val="26"/>
                <w:lang w:eastAsia="ru-RU"/>
              </w:rPr>
            </w:pPr>
            <w:r w:rsidRPr="00DE0DA0">
              <w:rPr>
                <w:rFonts w:ascii="Times New Roman" w:hAnsi="Times New Roman"/>
                <w:sz w:val="26"/>
                <w:szCs w:val="26"/>
              </w:rPr>
              <w:t>Профилактика экстремизма в городе Когалыме на 2014 – 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332,00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346,00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360,00</w:t>
            </w:r>
          </w:p>
        </w:tc>
      </w:tr>
      <w:tr w:rsidR="004616EA" w:rsidRPr="00DE0DA0" w:rsidTr="00DE0DA0">
        <w:trPr>
          <w:trHeight w:val="515"/>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autoSpaceDE w:val="0"/>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7 366,30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346,00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360,00</w:t>
            </w:r>
          </w:p>
        </w:tc>
      </w:tr>
      <w:tr w:rsidR="004616EA" w:rsidRPr="00DE0DA0" w:rsidTr="00DE0DA0">
        <w:trPr>
          <w:trHeight w:val="515"/>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autoSpaceDE w:val="0"/>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2218,77</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637"/>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7</w:t>
            </w:r>
          </w:p>
        </w:tc>
        <w:tc>
          <w:tcPr>
            <w:tcW w:w="1291" w:type="pct"/>
            <w:vMerge w:val="restart"/>
            <w:vAlign w:val="center"/>
          </w:tcPr>
          <w:p w:rsidR="004616EA" w:rsidRPr="00DE0DA0" w:rsidRDefault="004616EA" w:rsidP="004E5F17">
            <w:pPr>
              <w:spacing w:after="0" w:line="240" w:lineRule="auto"/>
              <w:rPr>
                <w:rFonts w:ascii="Times New Roman" w:hAnsi="Times New Roman"/>
                <w:sz w:val="26"/>
                <w:szCs w:val="26"/>
                <w:lang w:eastAsia="ru-RU"/>
              </w:rPr>
            </w:pPr>
            <w:r w:rsidRPr="00DE0DA0">
              <w:rPr>
                <w:rFonts w:ascii="Times New Roman" w:hAnsi="Times New Roman"/>
                <w:sz w:val="26"/>
                <w:szCs w:val="26"/>
              </w:rPr>
              <w:t>Развитие муниципальной службы и резерва управленческих кадров в муниципальном образовании городской округ город Когалым на 2014-2016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33 605,20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35 891,70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36 623,20</w:t>
            </w:r>
          </w:p>
        </w:tc>
      </w:tr>
      <w:tr w:rsidR="004616EA" w:rsidRPr="00DE0DA0" w:rsidTr="00DE0DA0">
        <w:trPr>
          <w:trHeight w:val="547"/>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33 605,20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35 891,70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36 623,20</w:t>
            </w:r>
          </w:p>
        </w:tc>
      </w:tr>
      <w:tr w:rsidR="004616EA" w:rsidRPr="00DE0DA0" w:rsidTr="00DE0DA0">
        <w:trPr>
          <w:trHeight w:val="415"/>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556"/>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8</w:t>
            </w:r>
          </w:p>
        </w:tc>
        <w:tc>
          <w:tcPr>
            <w:tcW w:w="1291" w:type="pct"/>
            <w:vMerge w:val="restart"/>
            <w:vAlign w:val="center"/>
          </w:tcPr>
          <w:p w:rsidR="004616EA" w:rsidRPr="00DE0DA0" w:rsidRDefault="004616EA" w:rsidP="004E5F17">
            <w:pPr>
              <w:autoSpaceDE w:val="0"/>
              <w:autoSpaceDN w:val="0"/>
              <w:adjustRightInd w:val="0"/>
              <w:spacing w:after="0" w:line="240" w:lineRule="auto"/>
              <w:rPr>
                <w:rFonts w:ascii="Times New Roman" w:hAnsi="Times New Roman"/>
                <w:sz w:val="26"/>
                <w:szCs w:val="26"/>
              </w:rPr>
            </w:pPr>
            <w:r w:rsidRPr="00DE0DA0">
              <w:rPr>
                <w:rFonts w:ascii="Times New Roman" w:hAnsi="Times New Roman"/>
                <w:sz w:val="26"/>
                <w:szCs w:val="26"/>
              </w:rPr>
              <w:t>Развитие агропромышленного</w:t>
            </w:r>
          </w:p>
          <w:p w:rsidR="004616EA" w:rsidRPr="00DE0DA0" w:rsidRDefault="004616EA" w:rsidP="004E5F17">
            <w:pPr>
              <w:autoSpaceDE w:val="0"/>
              <w:autoSpaceDN w:val="0"/>
              <w:adjustRightInd w:val="0"/>
              <w:spacing w:after="0" w:line="240" w:lineRule="auto"/>
              <w:rPr>
                <w:rFonts w:ascii="Times New Roman" w:hAnsi="Times New Roman"/>
                <w:sz w:val="26"/>
                <w:szCs w:val="26"/>
              </w:rPr>
            </w:pPr>
            <w:r w:rsidRPr="00DE0DA0">
              <w:rPr>
                <w:rFonts w:ascii="Times New Roman" w:hAnsi="Times New Roman"/>
                <w:sz w:val="26"/>
                <w:szCs w:val="26"/>
              </w:rPr>
              <w:t>комплекса и рынков сельскохозяйственной</w:t>
            </w:r>
          </w:p>
          <w:p w:rsidR="004616EA" w:rsidRPr="00DE0DA0" w:rsidRDefault="004616EA" w:rsidP="004E5F17">
            <w:pPr>
              <w:autoSpaceDE w:val="0"/>
              <w:autoSpaceDN w:val="0"/>
              <w:adjustRightInd w:val="0"/>
              <w:spacing w:after="0" w:line="240" w:lineRule="auto"/>
              <w:rPr>
                <w:rFonts w:ascii="Times New Roman" w:hAnsi="Times New Roman"/>
                <w:sz w:val="26"/>
                <w:szCs w:val="26"/>
              </w:rPr>
            </w:pPr>
            <w:r w:rsidRPr="00DE0DA0">
              <w:rPr>
                <w:rFonts w:ascii="Times New Roman" w:hAnsi="Times New Roman"/>
                <w:sz w:val="26"/>
                <w:szCs w:val="26"/>
              </w:rPr>
              <w:t>продукции, сырья и продовольствия в городе Когалыме в 2014 - 2016 годах</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7 109,40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5 535,20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5 535,20</w:t>
            </w:r>
          </w:p>
        </w:tc>
      </w:tr>
      <w:tr w:rsidR="004616EA" w:rsidRPr="00DE0DA0" w:rsidTr="00DE0DA0">
        <w:trPr>
          <w:trHeight w:val="551"/>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autoSpaceDE w:val="0"/>
              <w:autoSpaceDN w:val="0"/>
              <w:adjustRightInd w:val="0"/>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7 109,40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5 535,20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5 535,20</w:t>
            </w:r>
          </w:p>
        </w:tc>
      </w:tr>
      <w:tr w:rsidR="004616EA" w:rsidRPr="00DE0DA0" w:rsidTr="00DE0DA0">
        <w:trPr>
          <w:trHeight w:val="43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autoSpaceDE w:val="0"/>
              <w:autoSpaceDN w:val="0"/>
              <w:adjustRightInd w:val="0"/>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9</w:t>
            </w:r>
          </w:p>
        </w:tc>
        <w:tc>
          <w:tcPr>
            <w:tcW w:w="1291" w:type="pct"/>
            <w:vMerge w:val="restart"/>
            <w:vAlign w:val="center"/>
          </w:tcPr>
          <w:p w:rsidR="004616EA" w:rsidRPr="00DE0DA0" w:rsidRDefault="004616EA" w:rsidP="004E5F17">
            <w:pPr>
              <w:autoSpaceDE w:val="0"/>
              <w:autoSpaceDN w:val="0"/>
              <w:adjustRightInd w:val="0"/>
              <w:spacing w:after="0" w:line="240" w:lineRule="auto"/>
              <w:rPr>
                <w:rFonts w:ascii="Times New Roman" w:hAnsi="Times New Roman"/>
                <w:sz w:val="26"/>
                <w:szCs w:val="26"/>
                <w:lang w:eastAsia="ru-RU"/>
              </w:rPr>
            </w:pPr>
            <w:r w:rsidRPr="00DE0DA0">
              <w:rPr>
                <w:rFonts w:ascii="Times New Roman" w:hAnsi="Times New Roman"/>
                <w:sz w:val="26"/>
                <w:szCs w:val="26"/>
              </w:rPr>
              <w:t>Развитие жилищно -коммунального комплекса и повышение энергетической эффективности в городе Когалыме на 2014 – 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81 389,81</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8 004,60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7 662,00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autoSpaceDE w:val="0"/>
              <w:autoSpaceDN w:val="0"/>
              <w:adjustRightInd w:val="0"/>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81 389,80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8 004,60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7 662,00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autoSpaceDE w:val="0"/>
              <w:autoSpaceDN w:val="0"/>
              <w:adjustRightInd w:val="0"/>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w:t>
            </w:r>
          </w:p>
        </w:tc>
        <w:tc>
          <w:tcPr>
            <w:tcW w:w="1291" w:type="pct"/>
            <w:vMerge w:val="restart"/>
            <w:vAlign w:val="center"/>
          </w:tcPr>
          <w:p w:rsidR="004616EA" w:rsidRPr="00DE0DA0" w:rsidRDefault="004616EA" w:rsidP="004E5F17">
            <w:pPr>
              <w:pStyle w:val="ConsPlusTitle"/>
              <w:widowControl/>
              <w:outlineLvl w:val="0"/>
              <w:rPr>
                <w:sz w:val="26"/>
                <w:szCs w:val="26"/>
              </w:rPr>
            </w:pPr>
            <w:bookmarkStart w:id="409" w:name="_Toc396945895"/>
            <w:bookmarkStart w:id="410" w:name="_Toc397081575"/>
            <w:bookmarkStart w:id="411" w:name="_Toc400365317"/>
            <w:bookmarkStart w:id="412" w:name="_Toc400983701"/>
            <w:bookmarkStart w:id="413" w:name="_Toc401048607"/>
            <w:bookmarkStart w:id="414" w:name="_Toc403463519"/>
            <w:bookmarkStart w:id="415" w:name="_Toc405566084"/>
            <w:bookmarkStart w:id="416" w:name="_Toc405805567"/>
            <w:r w:rsidRPr="00DE0DA0">
              <w:rPr>
                <w:b w:val="0"/>
                <w:sz w:val="26"/>
                <w:szCs w:val="26"/>
              </w:rPr>
              <w:t>Поддержка развития институтов гражданского общества города Когалыма на 2014 - 2016 годы</w:t>
            </w:r>
            <w:bookmarkEnd w:id="409"/>
            <w:bookmarkEnd w:id="410"/>
            <w:bookmarkEnd w:id="411"/>
            <w:bookmarkEnd w:id="412"/>
            <w:bookmarkEnd w:id="413"/>
            <w:bookmarkEnd w:id="414"/>
            <w:bookmarkEnd w:id="415"/>
            <w:bookmarkEnd w:id="416"/>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24 467, 00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24 493, 10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25 061, 30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pStyle w:val="ConsPlusTitle"/>
              <w:widowControl/>
              <w:outlineLvl w:val="0"/>
              <w:rPr>
                <w:b w:val="0"/>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24 467, 00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24 493, 10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25 061, 30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pStyle w:val="ConsPlusTitle"/>
              <w:widowControl/>
              <w:outlineLvl w:val="0"/>
              <w:rPr>
                <w:b w:val="0"/>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11</w:t>
            </w:r>
          </w:p>
        </w:tc>
        <w:tc>
          <w:tcPr>
            <w:tcW w:w="1291" w:type="pct"/>
            <w:vMerge w:val="restart"/>
            <w:vAlign w:val="center"/>
          </w:tcPr>
          <w:p w:rsidR="004616EA" w:rsidRPr="00DE0DA0" w:rsidRDefault="004616EA" w:rsidP="004E5F17">
            <w:pPr>
              <w:spacing w:after="0" w:line="240" w:lineRule="auto"/>
              <w:rPr>
                <w:rFonts w:ascii="Times New Roman" w:hAnsi="Times New Roman"/>
                <w:sz w:val="26"/>
                <w:szCs w:val="26"/>
                <w:lang w:eastAsia="ru-RU"/>
              </w:rPr>
            </w:pPr>
            <w:r w:rsidRPr="00DE0DA0">
              <w:rPr>
                <w:rFonts w:ascii="Times New Roman" w:hAnsi="Times New Roman"/>
                <w:sz w:val="26"/>
                <w:szCs w:val="26"/>
              </w:rPr>
              <w:t>Развитие культуры в городе Когалыме на 2014-2016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219 487,80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213 509,00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221 113,50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219 487,70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213 509,00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221 113,50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12</w:t>
            </w:r>
          </w:p>
        </w:tc>
        <w:tc>
          <w:tcPr>
            <w:tcW w:w="1291" w:type="pct"/>
            <w:vMerge w:val="restart"/>
            <w:vAlign w:val="center"/>
          </w:tcPr>
          <w:p w:rsidR="004616EA" w:rsidRPr="00DE0DA0" w:rsidRDefault="004616EA" w:rsidP="004E5F17">
            <w:pPr>
              <w:pStyle w:val="western"/>
              <w:spacing w:before="0" w:beforeAutospacing="0" w:after="0" w:afterAutospacing="0"/>
              <w:rPr>
                <w:sz w:val="26"/>
                <w:szCs w:val="26"/>
              </w:rPr>
            </w:pPr>
            <w:r w:rsidRPr="00DE0DA0">
              <w:rPr>
                <w:sz w:val="26"/>
                <w:szCs w:val="26"/>
              </w:rPr>
              <w:t>Развитие образования в городе Когалыме на 2014-2016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1 876 296,30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2 172 669,00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2 047 676,70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pStyle w:val="western"/>
              <w:spacing w:before="0" w:beforeAutospacing="0" w:after="0" w:afterAutospacing="0"/>
              <w:rPr>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1 875 709,60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2 172 669,00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2 047 676,70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pStyle w:val="western"/>
              <w:spacing w:before="0" w:beforeAutospacing="0" w:after="0" w:afterAutospacing="0"/>
              <w:rPr>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99,97</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739"/>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13</w:t>
            </w:r>
          </w:p>
        </w:tc>
        <w:tc>
          <w:tcPr>
            <w:tcW w:w="1291" w:type="pct"/>
            <w:vMerge w:val="restart"/>
            <w:vAlign w:val="center"/>
          </w:tcPr>
          <w:p w:rsidR="004616EA" w:rsidRPr="00DE0DA0" w:rsidRDefault="004616EA" w:rsidP="004E5F17">
            <w:pPr>
              <w:widowControl w:val="0"/>
              <w:autoSpaceDE w:val="0"/>
              <w:autoSpaceDN w:val="0"/>
              <w:adjustRightInd w:val="0"/>
              <w:spacing w:after="0" w:line="240" w:lineRule="auto"/>
              <w:rPr>
                <w:rFonts w:ascii="Times New Roman" w:hAnsi="Times New Roman"/>
                <w:sz w:val="26"/>
                <w:szCs w:val="26"/>
                <w:lang w:eastAsia="ru-RU"/>
              </w:rPr>
            </w:pPr>
            <w:r w:rsidRPr="00DE0DA0">
              <w:rPr>
                <w:rFonts w:ascii="Times New Roman" w:hAnsi="Times New Roman"/>
                <w:spacing w:val="-1"/>
                <w:sz w:val="26"/>
                <w:szCs w:val="26"/>
                <w:lang w:eastAsia="ru-RU"/>
              </w:rPr>
              <w:t>Развитие транспортной системы города Когалыма на 2014 – 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280 537,00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227 938,30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235 522,60</w:t>
            </w:r>
          </w:p>
        </w:tc>
      </w:tr>
      <w:tr w:rsidR="004616EA" w:rsidRPr="00DE0DA0" w:rsidTr="00DE0DA0">
        <w:trPr>
          <w:trHeight w:val="706"/>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widowControl w:val="0"/>
              <w:autoSpaceDE w:val="0"/>
              <w:autoSpaceDN w:val="0"/>
              <w:adjustRightInd w:val="0"/>
              <w:spacing w:after="0" w:line="240" w:lineRule="auto"/>
              <w:rPr>
                <w:rFonts w:ascii="Times New Roman" w:hAnsi="Times New Roman"/>
                <w:spacing w:val="-1"/>
                <w:sz w:val="26"/>
                <w:szCs w:val="26"/>
                <w:lang w:eastAsia="ru-RU"/>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280 537,00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227 938,30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235 522,60</w:t>
            </w:r>
          </w:p>
        </w:tc>
      </w:tr>
      <w:tr w:rsidR="004616EA" w:rsidRPr="00DE0DA0" w:rsidTr="00DE0DA0">
        <w:trPr>
          <w:trHeight w:val="547"/>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widowControl w:val="0"/>
              <w:autoSpaceDE w:val="0"/>
              <w:autoSpaceDN w:val="0"/>
              <w:adjustRightInd w:val="0"/>
              <w:spacing w:after="0" w:line="240" w:lineRule="auto"/>
              <w:rPr>
                <w:rFonts w:ascii="Times New Roman" w:hAnsi="Times New Roman"/>
                <w:spacing w:val="-1"/>
                <w:sz w:val="26"/>
                <w:szCs w:val="26"/>
                <w:lang w:eastAsia="ru-RU"/>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555"/>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14</w:t>
            </w:r>
          </w:p>
        </w:tc>
        <w:tc>
          <w:tcPr>
            <w:tcW w:w="1291" w:type="pct"/>
            <w:vMerge w:val="restart"/>
            <w:vAlign w:val="center"/>
          </w:tcPr>
          <w:p w:rsidR="004616EA" w:rsidRPr="00DE0DA0" w:rsidRDefault="004616EA" w:rsidP="004E5F17">
            <w:pPr>
              <w:spacing w:after="0" w:line="240" w:lineRule="auto"/>
              <w:rPr>
                <w:rFonts w:ascii="Times New Roman" w:hAnsi="Times New Roman"/>
                <w:sz w:val="26"/>
                <w:szCs w:val="26"/>
                <w:lang w:eastAsia="ru-RU"/>
              </w:rPr>
            </w:pPr>
            <w:r w:rsidRPr="00DE0DA0">
              <w:rPr>
                <w:rFonts w:ascii="Times New Roman" w:hAnsi="Times New Roman"/>
                <w:sz w:val="26"/>
                <w:szCs w:val="26"/>
              </w:rPr>
              <w:t>Развитие физической культуры и спорта в городе Когалыме на 2014 – 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195 224,50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205 110,20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214 993,00</w:t>
            </w:r>
          </w:p>
        </w:tc>
      </w:tr>
      <w:tr w:rsidR="004616EA" w:rsidRPr="00DE0DA0" w:rsidTr="00DE0DA0">
        <w:trPr>
          <w:trHeight w:val="563"/>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195 224,50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205 110,20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214 993,00</w:t>
            </w:r>
          </w:p>
        </w:tc>
      </w:tr>
      <w:tr w:rsidR="004616EA" w:rsidRPr="00DE0DA0" w:rsidTr="00DE0DA0">
        <w:trPr>
          <w:trHeight w:val="557"/>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693"/>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15</w:t>
            </w:r>
          </w:p>
        </w:tc>
        <w:tc>
          <w:tcPr>
            <w:tcW w:w="1291" w:type="pct"/>
            <w:vMerge w:val="restart"/>
            <w:vAlign w:val="center"/>
          </w:tcPr>
          <w:p w:rsidR="004616EA" w:rsidRPr="00DE0DA0" w:rsidRDefault="004616EA" w:rsidP="004E5F17">
            <w:pPr>
              <w:pStyle w:val="ConsPlusTitle"/>
              <w:widowControl/>
              <w:rPr>
                <w:sz w:val="26"/>
                <w:szCs w:val="26"/>
              </w:rPr>
            </w:pPr>
            <w:r w:rsidRPr="00DE0DA0">
              <w:rPr>
                <w:b w:val="0"/>
                <w:sz w:val="26"/>
                <w:szCs w:val="26"/>
              </w:rPr>
              <w:t xml:space="preserve">Реконструкция и ремонт, в том числе капитальный, </w:t>
            </w:r>
            <w:r w:rsidRPr="00DE0DA0">
              <w:rPr>
                <w:b w:val="0"/>
                <w:bCs w:val="0"/>
                <w:sz w:val="26"/>
                <w:szCs w:val="26"/>
              </w:rPr>
              <w:t xml:space="preserve">объектов муниципальной собственности </w:t>
            </w:r>
            <w:r w:rsidRPr="00DE0DA0">
              <w:rPr>
                <w:b w:val="0"/>
                <w:sz w:val="26"/>
                <w:szCs w:val="26"/>
              </w:rPr>
              <w:t>города Когалыма на 2014-2016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334 431,78</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28 604,60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28 556,80</w:t>
            </w:r>
          </w:p>
        </w:tc>
      </w:tr>
      <w:tr w:rsidR="004616EA" w:rsidRPr="00DE0DA0" w:rsidTr="00DE0DA0">
        <w:trPr>
          <w:trHeight w:val="703"/>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pStyle w:val="ConsPlusTitle"/>
              <w:widowControl/>
              <w:rPr>
                <w:b w:val="0"/>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334 431,80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28 604,60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28 556,80</w:t>
            </w:r>
          </w:p>
        </w:tc>
      </w:tr>
      <w:tr w:rsidR="004616EA" w:rsidRPr="00DE0DA0" w:rsidTr="00DE0DA0">
        <w:trPr>
          <w:trHeight w:val="415"/>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pStyle w:val="ConsPlusTitle"/>
              <w:widowControl/>
              <w:rPr>
                <w:b w:val="0"/>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16</w:t>
            </w:r>
          </w:p>
        </w:tc>
        <w:tc>
          <w:tcPr>
            <w:tcW w:w="1291" w:type="pct"/>
            <w:vMerge w:val="restart"/>
            <w:vAlign w:val="center"/>
          </w:tcPr>
          <w:p w:rsidR="004616EA" w:rsidRPr="00DE0DA0" w:rsidRDefault="004616EA" w:rsidP="004E5F17">
            <w:pPr>
              <w:spacing w:after="0" w:line="240" w:lineRule="auto"/>
              <w:rPr>
                <w:rFonts w:ascii="Times New Roman" w:hAnsi="Times New Roman"/>
                <w:sz w:val="26"/>
                <w:szCs w:val="26"/>
                <w:lang w:eastAsia="ru-RU"/>
              </w:rPr>
            </w:pPr>
            <w:r w:rsidRPr="00DE0DA0">
              <w:rPr>
                <w:rFonts w:ascii="Times New Roman" w:hAnsi="Times New Roman"/>
                <w:sz w:val="26"/>
                <w:szCs w:val="26"/>
              </w:rPr>
              <w:t>Содействие занятости населения города Когалыма на 2014-2016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23 617,11</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21 711,60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2 969,50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23 583,50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21 711,60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2 969,50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99,86</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17</w:t>
            </w:r>
          </w:p>
        </w:tc>
        <w:tc>
          <w:tcPr>
            <w:tcW w:w="1291" w:type="pct"/>
            <w:vMerge w:val="restart"/>
            <w:vAlign w:val="center"/>
          </w:tcPr>
          <w:p w:rsidR="004616EA" w:rsidRPr="00DE0DA0" w:rsidRDefault="004616EA" w:rsidP="004E5F17">
            <w:pPr>
              <w:widowControl w:val="0"/>
              <w:autoSpaceDE w:val="0"/>
              <w:autoSpaceDN w:val="0"/>
              <w:adjustRightInd w:val="0"/>
              <w:spacing w:after="0" w:line="240" w:lineRule="auto"/>
              <w:rPr>
                <w:rFonts w:ascii="Times New Roman" w:hAnsi="Times New Roman"/>
                <w:sz w:val="26"/>
                <w:szCs w:val="26"/>
                <w:lang w:eastAsia="ru-RU"/>
              </w:rPr>
            </w:pPr>
            <w:r w:rsidRPr="00DE0DA0">
              <w:rPr>
                <w:rFonts w:ascii="Times New Roman" w:hAnsi="Times New Roman"/>
                <w:sz w:val="26"/>
                <w:szCs w:val="26"/>
                <w:lang w:eastAsia="ru-RU"/>
              </w:rPr>
              <w:t>Содержание объектов городского хозяйства и инженерной инфраструктуры в городе Когалыме на 2014-2016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112 927,60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92 549,30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96 823,70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widowControl w:val="0"/>
              <w:autoSpaceDE w:val="0"/>
              <w:autoSpaceDN w:val="0"/>
              <w:adjustRightInd w:val="0"/>
              <w:spacing w:after="0" w:line="240" w:lineRule="auto"/>
              <w:rPr>
                <w:rFonts w:ascii="Times New Roman" w:hAnsi="Times New Roman"/>
                <w:sz w:val="26"/>
                <w:szCs w:val="26"/>
                <w:lang w:eastAsia="ru-RU"/>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112 927,60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92 549,30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94 620,80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widowControl w:val="0"/>
              <w:autoSpaceDE w:val="0"/>
              <w:autoSpaceDN w:val="0"/>
              <w:adjustRightInd w:val="0"/>
              <w:spacing w:after="0" w:line="240" w:lineRule="auto"/>
              <w:rPr>
                <w:rFonts w:ascii="Times New Roman" w:hAnsi="Times New Roman"/>
                <w:sz w:val="26"/>
                <w:szCs w:val="26"/>
                <w:lang w:eastAsia="ru-RU"/>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97,72</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18</w:t>
            </w:r>
          </w:p>
        </w:tc>
        <w:tc>
          <w:tcPr>
            <w:tcW w:w="1291" w:type="pct"/>
            <w:vMerge w:val="restart"/>
            <w:vAlign w:val="center"/>
          </w:tcPr>
          <w:p w:rsidR="004616EA" w:rsidRPr="00DE0DA0" w:rsidRDefault="004616EA" w:rsidP="004E5F17">
            <w:pPr>
              <w:spacing w:after="0" w:line="240" w:lineRule="auto"/>
              <w:outlineLvl w:val="0"/>
              <w:rPr>
                <w:rFonts w:ascii="Times New Roman" w:hAnsi="Times New Roman"/>
                <w:sz w:val="26"/>
                <w:szCs w:val="26"/>
              </w:rPr>
            </w:pPr>
            <w:bookmarkStart w:id="417" w:name="_Toc396945896"/>
            <w:bookmarkStart w:id="418" w:name="_Toc397081576"/>
            <w:bookmarkStart w:id="419" w:name="_Toc400365318"/>
            <w:bookmarkStart w:id="420" w:name="_Toc400983702"/>
            <w:bookmarkStart w:id="421" w:name="_Toc401048608"/>
            <w:bookmarkStart w:id="422" w:name="_Toc403463520"/>
            <w:bookmarkStart w:id="423" w:name="_Toc405566085"/>
            <w:bookmarkStart w:id="424" w:name="_Toc405805568"/>
            <w:r w:rsidRPr="00DE0DA0">
              <w:rPr>
                <w:rFonts w:ascii="Times New Roman" w:hAnsi="Times New Roman"/>
                <w:sz w:val="26"/>
                <w:szCs w:val="26"/>
              </w:rPr>
              <w:t>Социальная поддержка жителей города Когалыма на 2014 - 2016 годы</w:t>
            </w:r>
            <w:bookmarkEnd w:id="417"/>
            <w:bookmarkEnd w:id="418"/>
            <w:bookmarkEnd w:id="419"/>
            <w:bookmarkEnd w:id="420"/>
            <w:bookmarkEnd w:id="421"/>
            <w:bookmarkEnd w:id="422"/>
            <w:bookmarkEnd w:id="423"/>
            <w:bookmarkEnd w:id="424"/>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127 720,40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127 116,60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129 587,50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outlineLvl w:val="0"/>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127 720,40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127 116,60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127 077,40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outlineLvl w:val="0"/>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19</w:t>
            </w:r>
          </w:p>
        </w:tc>
        <w:tc>
          <w:tcPr>
            <w:tcW w:w="1291" w:type="pct"/>
            <w:vMerge w:val="restart"/>
            <w:vAlign w:val="center"/>
          </w:tcPr>
          <w:p w:rsidR="004616EA" w:rsidRPr="00DE0DA0" w:rsidRDefault="004616EA" w:rsidP="004E5F17">
            <w:pPr>
              <w:pStyle w:val="western"/>
              <w:spacing w:before="0" w:beforeAutospacing="0" w:after="0" w:afterAutospacing="0"/>
              <w:rPr>
                <w:sz w:val="26"/>
                <w:szCs w:val="26"/>
              </w:rPr>
            </w:pPr>
            <w:r w:rsidRPr="00DE0DA0">
              <w:rPr>
                <w:sz w:val="26"/>
                <w:szCs w:val="26"/>
              </w:rPr>
              <w:t>Социально-экономическое развитие и инвестиции муниципального образования город Когалым на 2014-2016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67 000,30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65 156,40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65 688,40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pStyle w:val="western"/>
              <w:spacing w:before="0" w:beforeAutospacing="0" w:after="0" w:afterAutospacing="0"/>
              <w:rPr>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67 000,30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65 156,40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65 688,40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pStyle w:val="western"/>
              <w:spacing w:before="0" w:beforeAutospacing="0" w:after="0" w:afterAutospacing="0"/>
              <w:rPr>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20</w:t>
            </w:r>
          </w:p>
        </w:tc>
        <w:tc>
          <w:tcPr>
            <w:tcW w:w="1291" w:type="pct"/>
            <w:vMerge w:val="restart"/>
            <w:vAlign w:val="center"/>
          </w:tcPr>
          <w:p w:rsidR="004616EA" w:rsidRPr="00DE0DA0" w:rsidRDefault="004616EA" w:rsidP="004E5F17">
            <w:pPr>
              <w:spacing w:after="0" w:line="240" w:lineRule="auto"/>
              <w:rPr>
                <w:rFonts w:ascii="Times New Roman" w:hAnsi="Times New Roman"/>
                <w:sz w:val="26"/>
                <w:szCs w:val="26"/>
                <w:lang w:eastAsia="ru-RU"/>
              </w:rPr>
            </w:pPr>
            <w:r w:rsidRPr="00DE0DA0">
              <w:rPr>
                <w:rFonts w:ascii="Times New Roman" w:hAnsi="Times New Roman"/>
                <w:sz w:val="26"/>
                <w:szCs w:val="26"/>
              </w:rPr>
              <w:t>Управление муниципальными финансами в городе Когалыме на 2014 - 2016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eastAsia="SimSun" w:hAnsi="Times New Roman"/>
                <w:sz w:val="26"/>
                <w:szCs w:val="26"/>
                <w:lang w:eastAsia="zh-CN"/>
              </w:rPr>
              <w:t>34 135,30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eastAsia="SimSun" w:hAnsi="Times New Roman"/>
                <w:sz w:val="26"/>
                <w:szCs w:val="26"/>
                <w:lang w:eastAsia="zh-CN"/>
              </w:rPr>
              <w:t>34 667,60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34 147,60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eastAsia="SimSun" w:hAnsi="Times New Roman"/>
                <w:sz w:val="26"/>
                <w:szCs w:val="26"/>
                <w:lang w:eastAsia="zh-CN"/>
              </w:rPr>
              <w:t>34 135,30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eastAsia="SimSun" w:hAnsi="Times New Roman"/>
                <w:sz w:val="26"/>
                <w:szCs w:val="26"/>
                <w:lang w:eastAsia="zh-CN"/>
              </w:rPr>
              <w:t>34 667,60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34 147,60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21</w:t>
            </w:r>
          </w:p>
        </w:tc>
        <w:tc>
          <w:tcPr>
            <w:tcW w:w="1291" w:type="pct"/>
            <w:vMerge w:val="restart"/>
            <w:vAlign w:val="center"/>
          </w:tcPr>
          <w:p w:rsidR="004616EA" w:rsidRPr="00DE0DA0" w:rsidRDefault="004616EA" w:rsidP="004E5F17">
            <w:pPr>
              <w:spacing w:after="0" w:line="240" w:lineRule="auto"/>
              <w:rPr>
                <w:rFonts w:ascii="Times New Roman" w:hAnsi="Times New Roman"/>
                <w:sz w:val="26"/>
                <w:szCs w:val="26"/>
                <w:lang w:eastAsia="ru-RU"/>
              </w:rPr>
            </w:pPr>
            <w:r w:rsidRPr="00DE0DA0">
              <w:rPr>
                <w:rFonts w:ascii="Times New Roman" w:hAnsi="Times New Roman"/>
                <w:sz w:val="26"/>
                <w:szCs w:val="26"/>
                <w:lang w:eastAsia="ru-RU"/>
              </w:rPr>
              <w:t>Управление муниципальным имуществом города Когалыма на 2014-2016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99 766,00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63 377,60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66 207,80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lang w:eastAsia="ru-RU"/>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99 766,00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63 377,60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66 207,80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lang w:eastAsia="ru-RU"/>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22</w:t>
            </w:r>
          </w:p>
        </w:tc>
        <w:tc>
          <w:tcPr>
            <w:tcW w:w="1291" w:type="pct"/>
            <w:vMerge w:val="restart"/>
            <w:vAlign w:val="center"/>
          </w:tcPr>
          <w:p w:rsidR="004616EA" w:rsidRPr="00DE0DA0" w:rsidRDefault="004616EA" w:rsidP="004E5F17">
            <w:pPr>
              <w:autoSpaceDE w:val="0"/>
              <w:autoSpaceDN w:val="0"/>
              <w:adjustRightInd w:val="0"/>
              <w:spacing w:after="0" w:line="240" w:lineRule="auto"/>
              <w:rPr>
                <w:rFonts w:ascii="Times New Roman" w:hAnsi="Times New Roman"/>
                <w:sz w:val="26"/>
                <w:szCs w:val="26"/>
                <w:lang w:eastAsia="ru-RU"/>
              </w:rPr>
            </w:pPr>
            <w:r w:rsidRPr="00DE0DA0">
              <w:rPr>
                <w:rFonts w:ascii="Times New Roman" w:hAnsi="Times New Roman"/>
                <w:sz w:val="26"/>
                <w:szCs w:val="26"/>
                <w:lang w:eastAsia="ar-SA"/>
              </w:rPr>
              <w:t>Обеспечение экологической безопасности города Когалыма на 2014 - 2016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19 296,70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7 378,50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2 098,30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autoSpaceDE w:val="0"/>
              <w:autoSpaceDN w:val="0"/>
              <w:adjustRightInd w:val="0"/>
              <w:spacing w:after="0" w:line="240" w:lineRule="auto"/>
              <w:rPr>
                <w:rFonts w:ascii="Times New Roman" w:hAnsi="Times New Roman"/>
                <w:sz w:val="26"/>
                <w:szCs w:val="26"/>
                <w:lang w:eastAsia="ar-SA"/>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19 296,70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autoSpaceDE w:val="0"/>
              <w:autoSpaceDN w:val="0"/>
              <w:adjustRightInd w:val="0"/>
              <w:spacing w:after="0" w:line="240" w:lineRule="auto"/>
              <w:rPr>
                <w:rFonts w:ascii="Times New Roman" w:hAnsi="Times New Roman"/>
                <w:sz w:val="26"/>
                <w:szCs w:val="26"/>
                <w:lang w:eastAsia="ar-SA"/>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w:t>
            </w:r>
          </w:p>
        </w:tc>
      </w:tr>
    </w:tbl>
    <w:p w:rsidR="004616EA" w:rsidRPr="00475E67" w:rsidRDefault="004616EA" w:rsidP="00ED7283">
      <w:pPr>
        <w:sectPr w:rsidR="004616EA" w:rsidRPr="00475E67" w:rsidSect="00CA4050">
          <w:pgSz w:w="11906" w:h="16838"/>
          <w:pgMar w:top="1134" w:right="567" w:bottom="1134" w:left="2552" w:header="709" w:footer="709" w:gutter="0"/>
          <w:cols w:space="708"/>
          <w:docGrid w:linePitch="360"/>
        </w:sectPr>
      </w:pPr>
    </w:p>
    <w:p w:rsidR="004616EA" w:rsidRPr="00DE0DA0" w:rsidRDefault="004616EA" w:rsidP="00DE0DA0">
      <w:pPr>
        <w:pStyle w:val="1"/>
        <w:spacing w:before="0" w:after="0"/>
        <w:rPr>
          <w:sz w:val="26"/>
          <w:szCs w:val="26"/>
          <w:lang w:eastAsia="ru-RU"/>
        </w:rPr>
      </w:pPr>
      <w:bookmarkStart w:id="425" w:name="_Toc405805569"/>
      <w:r w:rsidRPr="00DE0DA0">
        <w:rPr>
          <w:rFonts w:eastAsia="Batang"/>
          <w:sz w:val="26"/>
          <w:szCs w:val="26"/>
        </w:rPr>
        <w:t>Приложение В</w:t>
      </w:r>
      <w:bookmarkEnd w:id="425"/>
    </w:p>
    <w:p w:rsidR="004616EA" w:rsidRPr="00DE0DA0" w:rsidRDefault="004616EA" w:rsidP="00DE0DA0">
      <w:pPr>
        <w:spacing w:after="0" w:line="240" w:lineRule="auto"/>
        <w:rPr>
          <w:rFonts w:ascii="Times New Roman" w:hAnsi="Times New Roman"/>
          <w:sz w:val="26"/>
          <w:szCs w:val="26"/>
          <w:lang w:eastAsia="ru-RU"/>
        </w:rPr>
      </w:pPr>
      <w:r w:rsidRPr="00DE0DA0">
        <w:rPr>
          <w:rFonts w:ascii="Times New Roman" w:hAnsi="Times New Roman"/>
          <w:sz w:val="26"/>
          <w:szCs w:val="26"/>
          <w:lang w:eastAsia="ru-RU"/>
        </w:rPr>
        <w:t xml:space="preserve">Таблица В.1 - Информация о реализации долгосрочных целевых программ города Когалыма в 2013 году </w:t>
      </w:r>
    </w:p>
    <w:p w:rsidR="004616EA" w:rsidRPr="00475E67" w:rsidRDefault="004616EA" w:rsidP="00ED7283">
      <w:pPr>
        <w:spacing w:after="0" w:line="240" w:lineRule="auto"/>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6"/>
        <w:gridCol w:w="3945"/>
        <w:gridCol w:w="2901"/>
        <w:gridCol w:w="1834"/>
        <w:gridCol w:w="2136"/>
        <w:gridCol w:w="2289"/>
        <w:gridCol w:w="2219"/>
      </w:tblGrid>
      <w:tr w:rsidR="004616EA" w:rsidRPr="00475E67" w:rsidTr="00DE0DA0">
        <w:trPr>
          <w:trHeight w:val="278"/>
        </w:trPr>
        <w:tc>
          <w:tcPr>
            <w:tcW w:w="18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 п/п</w:t>
            </w:r>
          </w:p>
        </w:tc>
        <w:tc>
          <w:tcPr>
            <w:tcW w:w="123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Наименование программы</w:t>
            </w:r>
          </w:p>
        </w:tc>
        <w:tc>
          <w:tcPr>
            <w:tcW w:w="91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Цель программы</w:t>
            </w:r>
          </w:p>
        </w:tc>
        <w:tc>
          <w:tcPr>
            <w:tcW w:w="576"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Источник финансирования</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Запланированная сумма, тыс. рублей</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Профинансированная сумма, тыс. рублей</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Доля профинансированной суммы к плановой, %</w:t>
            </w:r>
          </w:p>
        </w:tc>
      </w:tr>
      <w:tr w:rsidR="004616EA" w:rsidRPr="00475E67" w:rsidTr="00DE0DA0">
        <w:trPr>
          <w:trHeight w:val="278"/>
        </w:trPr>
        <w:tc>
          <w:tcPr>
            <w:tcW w:w="187" w:type="pct"/>
            <w:vAlign w:val="center"/>
          </w:tcPr>
          <w:p w:rsidR="004616EA" w:rsidRPr="00475E67" w:rsidRDefault="004616EA" w:rsidP="004E5F17">
            <w:pPr>
              <w:spacing w:after="0"/>
              <w:jc w:val="center"/>
              <w:rPr>
                <w:rFonts w:ascii="Times New Roman" w:hAnsi="Times New Roman"/>
                <w:sz w:val="20"/>
                <w:szCs w:val="20"/>
              </w:rPr>
            </w:pPr>
          </w:p>
        </w:tc>
        <w:tc>
          <w:tcPr>
            <w:tcW w:w="1239" w:type="pct"/>
            <w:vAlign w:val="center"/>
          </w:tcPr>
          <w:p w:rsidR="004616EA" w:rsidRPr="00475E67" w:rsidRDefault="004616EA" w:rsidP="00D03F73">
            <w:pPr>
              <w:spacing w:after="0"/>
              <w:jc w:val="center"/>
              <w:rPr>
                <w:rFonts w:ascii="Times New Roman" w:hAnsi="Times New Roman"/>
                <w:sz w:val="20"/>
                <w:szCs w:val="20"/>
              </w:rPr>
            </w:pPr>
            <w:r w:rsidRPr="00475E67">
              <w:rPr>
                <w:rFonts w:ascii="Times New Roman" w:hAnsi="Times New Roman"/>
                <w:sz w:val="20"/>
                <w:szCs w:val="20"/>
              </w:rPr>
              <w:t>1</w:t>
            </w:r>
          </w:p>
        </w:tc>
        <w:tc>
          <w:tcPr>
            <w:tcW w:w="911" w:type="pct"/>
            <w:vAlign w:val="center"/>
          </w:tcPr>
          <w:p w:rsidR="004616EA" w:rsidRPr="00475E67" w:rsidRDefault="004616EA" w:rsidP="00D03F73">
            <w:pPr>
              <w:spacing w:after="0"/>
              <w:jc w:val="center"/>
              <w:rPr>
                <w:rFonts w:ascii="Times New Roman" w:hAnsi="Times New Roman"/>
                <w:sz w:val="20"/>
                <w:szCs w:val="20"/>
              </w:rPr>
            </w:pPr>
            <w:r w:rsidRPr="00475E67">
              <w:rPr>
                <w:rFonts w:ascii="Times New Roman" w:hAnsi="Times New Roman"/>
                <w:sz w:val="20"/>
                <w:szCs w:val="20"/>
              </w:rPr>
              <w:t>2</w:t>
            </w:r>
          </w:p>
        </w:tc>
        <w:tc>
          <w:tcPr>
            <w:tcW w:w="576" w:type="pct"/>
            <w:vAlign w:val="center"/>
          </w:tcPr>
          <w:p w:rsidR="004616EA" w:rsidRPr="00475E67" w:rsidRDefault="004616EA" w:rsidP="00D03F73">
            <w:pPr>
              <w:spacing w:after="0"/>
              <w:jc w:val="center"/>
              <w:rPr>
                <w:rFonts w:ascii="Times New Roman" w:hAnsi="Times New Roman"/>
                <w:sz w:val="20"/>
                <w:szCs w:val="20"/>
              </w:rPr>
            </w:pPr>
            <w:r w:rsidRPr="00475E67">
              <w:rPr>
                <w:rFonts w:ascii="Times New Roman" w:hAnsi="Times New Roman"/>
                <w:sz w:val="20"/>
                <w:szCs w:val="20"/>
              </w:rPr>
              <w:t>3</w:t>
            </w:r>
          </w:p>
        </w:tc>
        <w:tc>
          <w:tcPr>
            <w:tcW w:w="671" w:type="pct"/>
            <w:vAlign w:val="center"/>
          </w:tcPr>
          <w:p w:rsidR="004616EA" w:rsidRPr="00475E67" w:rsidRDefault="004616EA" w:rsidP="00D03F73">
            <w:pPr>
              <w:spacing w:after="0"/>
              <w:jc w:val="center"/>
              <w:rPr>
                <w:rFonts w:ascii="Times New Roman" w:hAnsi="Times New Roman"/>
                <w:sz w:val="20"/>
                <w:szCs w:val="20"/>
              </w:rPr>
            </w:pPr>
            <w:r w:rsidRPr="00475E67">
              <w:rPr>
                <w:rFonts w:ascii="Times New Roman" w:hAnsi="Times New Roman"/>
                <w:sz w:val="20"/>
                <w:szCs w:val="20"/>
              </w:rPr>
              <w:t>4</w:t>
            </w:r>
          </w:p>
        </w:tc>
        <w:tc>
          <w:tcPr>
            <w:tcW w:w="719" w:type="pct"/>
            <w:vAlign w:val="center"/>
          </w:tcPr>
          <w:p w:rsidR="004616EA" w:rsidRPr="00475E67" w:rsidRDefault="004616EA" w:rsidP="00D03F73">
            <w:pPr>
              <w:spacing w:after="0"/>
              <w:jc w:val="center"/>
              <w:rPr>
                <w:rFonts w:ascii="Times New Roman" w:hAnsi="Times New Roman"/>
                <w:sz w:val="20"/>
                <w:szCs w:val="20"/>
              </w:rPr>
            </w:pPr>
            <w:r w:rsidRPr="00475E67">
              <w:rPr>
                <w:rFonts w:ascii="Times New Roman" w:hAnsi="Times New Roman"/>
                <w:sz w:val="20"/>
                <w:szCs w:val="20"/>
              </w:rPr>
              <w:t>5</w:t>
            </w:r>
          </w:p>
        </w:tc>
        <w:tc>
          <w:tcPr>
            <w:tcW w:w="697" w:type="pct"/>
            <w:vAlign w:val="center"/>
          </w:tcPr>
          <w:p w:rsidR="004616EA" w:rsidRPr="00475E67" w:rsidRDefault="004616EA" w:rsidP="00D03F73">
            <w:pPr>
              <w:spacing w:after="0"/>
              <w:jc w:val="center"/>
              <w:rPr>
                <w:rFonts w:ascii="Times New Roman" w:hAnsi="Times New Roman"/>
                <w:sz w:val="20"/>
                <w:szCs w:val="20"/>
              </w:rPr>
            </w:pPr>
            <w:r w:rsidRPr="00475E67">
              <w:rPr>
                <w:rFonts w:ascii="Times New Roman" w:hAnsi="Times New Roman"/>
                <w:sz w:val="20"/>
                <w:szCs w:val="20"/>
              </w:rPr>
              <w:t>6</w:t>
            </w:r>
          </w:p>
        </w:tc>
      </w:tr>
      <w:tr w:rsidR="004616EA" w:rsidRPr="00475E67" w:rsidTr="00DE0DA0">
        <w:trPr>
          <w:trHeight w:val="505"/>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w:t>
            </w:r>
          </w:p>
        </w:tc>
        <w:tc>
          <w:tcPr>
            <w:tcW w:w="1239" w:type="pct"/>
            <w:vMerge w:val="restart"/>
            <w:vAlign w:val="center"/>
          </w:tcPr>
          <w:p w:rsidR="004616EA" w:rsidRPr="00475E67" w:rsidRDefault="004616EA" w:rsidP="005E2870">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«Развитие агропромышленного комплекса, заготовки и переработки дикоросов муниципального образования город Когалым на 2011-2013 годы и на период до 2015 года» (постановление Администрации города Когалыма от 29.10.2010 г. №2140)</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Создание условий для устойчивого развития сельского хозяйства, повышение конкурентоспособности сельскохозяйственной продукции и обеспечение жителей города качественной, экологически чистой продукцией</w:t>
            </w:r>
          </w:p>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11 373,1</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11 373,1</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950,0</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894,8</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94,2</w:t>
            </w:r>
          </w:p>
        </w:tc>
      </w:tr>
      <w:tr w:rsidR="004616EA" w:rsidRPr="00475E67" w:rsidTr="00DE0DA0">
        <w:trPr>
          <w:trHeight w:val="632"/>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12 323,1</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12 267,9</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99,6</w:t>
            </w:r>
          </w:p>
        </w:tc>
      </w:tr>
      <w:tr w:rsidR="004616EA" w:rsidRPr="00475E67" w:rsidTr="00DE0DA0">
        <w:trPr>
          <w:trHeight w:val="307"/>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w:t>
            </w:r>
          </w:p>
        </w:tc>
        <w:tc>
          <w:tcPr>
            <w:tcW w:w="1239" w:type="pct"/>
            <w:vMerge w:val="restart"/>
            <w:vAlign w:val="center"/>
          </w:tcPr>
          <w:p w:rsidR="004616EA" w:rsidRPr="00475E67" w:rsidRDefault="004616EA" w:rsidP="005E2870">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муниципального образования город Когалым «Новая школа Югры на 2010-2015 годы» (постановление Администрации города Когалыма от 29.10.2010 г. №2175)</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Повышение доступности качественного образования, соответствующего требованиям инновационного развития экономики региона, современным потребностям общества и каждого жителя города Когалыма</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федеральный бюджет</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7 489,9</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7 489,9</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26 321,9</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18 203,9</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69,2</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65 035,9</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64 076,0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98,5</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98 847,7</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89 769,8</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90,8</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3</w:t>
            </w:r>
          </w:p>
        </w:tc>
        <w:tc>
          <w:tcPr>
            <w:tcW w:w="1239" w:type="pct"/>
            <w:vMerge w:val="restart"/>
            <w:vAlign w:val="center"/>
          </w:tcPr>
          <w:p w:rsidR="004616EA" w:rsidRPr="00475E67" w:rsidRDefault="004616EA" w:rsidP="005E2870">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«Реализация приоритетного национального проекта «Здоровье» на территории города Когалыма на 2011 - 2013 годы» (постановление Администрации города Когалыма от 29.10.2010 г. №2172)</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Снижение заболеваемости, инвалидности и смертности, включая смертность от управляемых причин, увеличение продолжительности и </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273,8</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268,5</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98,1</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50 503,0</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50 450,3</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99,9</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50 776,8</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50 718,8</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99,9</w:t>
            </w:r>
          </w:p>
        </w:tc>
      </w:tr>
    </w:tbl>
    <w:p w:rsidR="004616EA" w:rsidRDefault="004616EA">
      <w:pPr>
        <w:sectPr w:rsidR="004616EA" w:rsidSect="00CA4050">
          <w:pgSz w:w="16838" w:h="11906" w:orient="landscape"/>
          <w:pgMar w:top="2552" w:right="567" w:bottom="567"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6"/>
        <w:gridCol w:w="3945"/>
        <w:gridCol w:w="2901"/>
        <w:gridCol w:w="1834"/>
        <w:gridCol w:w="2136"/>
        <w:gridCol w:w="2289"/>
        <w:gridCol w:w="2219"/>
      </w:tblGrid>
      <w:tr w:rsidR="004616EA" w:rsidRPr="00475E67" w:rsidTr="00DE0DA0">
        <w:trPr>
          <w:trHeight w:val="434"/>
        </w:trPr>
        <w:tc>
          <w:tcPr>
            <w:tcW w:w="187" w:type="pct"/>
            <w:vAlign w:val="center"/>
          </w:tcPr>
          <w:p w:rsidR="004616EA" w:rsidRPr="00475E67" w:rsidRDefault="004616EA" w:rsidP="004E5F17">
            <w:pPr>
              <w:spacing w:after="0"/>
              <w:jc w:val="center"/>
              <w:rPr>
                <w:rFonts w:ascii="Times New Roman" w:hAnsi="Times New Roman"/>
                <w:sz w:val="20"/>
                <w:szCs w:val="20"/>
              </w:rPr>
            </w:pPr>
          </w:p>
        </w:tc>
        <w:tc>
          <w:tcPr>
            <w:tcW w:w="1239" w:type="pct"/>
            <w:vAlign w:val="center"/>
          </w:tcPr>
          <w:p w:rsidR="004616EA" w:rsidRPr="00475E67" w:rsidRDefault="004616EA" w:rsidP="004E5F17">
            <w:pPr>
              <w:spacing w:after="0"/>
              <w:rPr>
                <w:rFonts w:ascii="Times New Roman" w:hAnsi="Times New Roman"/>
                <w:sz w:val="20"/>
                <w:szCs w:val="20"/>
              </w:rPr>
            </w:pPr>
          </w:p>
        </w:tc>
        <w:tc>
          <w:tcPr>
            <w:tcW w:w="911"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улучшения качества жизни населения</w:t>
            </w:r>
          </w:p>
        </w:tc>
        <w:tc>
          <w:tcPr>
            <w:tcW w:w="576" w:type="pct"/>
            <w:vAlign w:val="center"/>
          </w:tcPr>
          <w:p w:rsidR="004616EA" w:rsidRPr="00475E67" w:rsidRDefault="004616EA" w:rsidP="004E5F17">
            <w:pPr>
              <w:spacing w:after="0"/>
              <w:rPr>
                <w:rFonts w:ascii="Times New Roman" w:hAnsi="Times New Roman"/>
                <w:sz w:val="20"/>
                <w:szCs w:val="20"/>
              </w:rPr>
            </w:pPr>
          </w:p>
        </w:tc>
        <w:tc>
          <w:tcPr>
            <w:tcW w:w="671" w:type="pct"/>
            <w:vAlign w:val="center"/>
          </w:tcPr>
          <w:p w:rsidR="004616EA" w:rsidRPr="00475E67" w:rsidRDefault="004616EA" w:rsidP="004E5F17">
            <w:pPr>
              <w:spacing w:after="0"/>
              <w:jc w:val="center"/>
              <w:rPr>
                <w:rFonts w:ascii="Times New Roman" w:hAnsi="Times New Roman"/>
                <w:sz w:val="20"/>
                <w:szCs w:val="20"/>
              </w:rPr>
            </w:pPr>
          </w:p>
        </w:tc>
        <w:tc>
          <w:tcPr>
            <w:tcW w:w="719" w:type="pct"/>
            <w:vAlign w:val="center"/>
          </w:tcPr>
          <w:p w:rsidR="004616EA" w:rsidRPr="00475E67" w:rsidRDefault="004616EA" w:rsidP="004E5F17">
            <w:pPr>
              <w:spacing w:after="0"/>
              <w:jc w:val="center"/>
              <w:rPr>
                <w:rFonts w:ascii="Times New Roman" w:hAnsi="Times New Roman"/>
                <w:sz w:val="20"/>
                <w:szCs w:val="20"/>
              </w:rPr>
            </w:pPr>
          </w:p>
        </w:tc>
        <w:tc>
          <w:tcPr>
            <w:tcW w:w="697" w:type="pct"/>
            <w:vAlign w:val="center"/>
          </w:tcPr>
          <w:p w:rsidR="004616EA" w:rsidRPr="00475E67" w:rsidRDefault="004616EA" w:rsidP="004E5F17">
            <w:pPr>
              <w:spacing w:after="0"/>
              <w:jc w:val="center"/>
              <w:rPr>
                <w:rFonts w:ascii="Times New Roman" w:hAnsi="Times New Roman"/>
                <w:sz w:val="20"/>
                <w:szCs w:val="20"/>
              </w:rPr>
            </w:pP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4</w:t>
            </w:r>
          </w:p>
        </w:tc>
        <w:tc>
          <w:tcPr>
            <w:tcW w:w="1239" w:type="pct"/>
            <w:vMerge w:val="restart"/>
            <w:vAlign w:val="center"/>
          </w:tcPr>
          <w:p w:rsidR="004616EA" w:rsidRPr="00475E67" w:rsidRDefault="004616EA" w:rsidP="005E2870">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«Здоровье детей на 2011 - 2013 годы» (постановление Администрации города Когалыма от 29.10.2010 г. №2174)</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Повышение уровня физического и психического здоровья детей и подростков города Когалыма через совершенствование оказания первичной медико-санитарной помощи и повышения мотивации к здоровому образу жизни</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432,4</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432,4</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432,4</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432,4</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5</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Долгосрочная целевая программа «Предупреждение и борьба с заболеваниями социального характера на 2011 - 2013 годы» (постановление Администрации города Когалыма от </w:t>
            </w:r>
            <w:r>
              <w:rPr>
                <w:rFonts w:ascii="Times New Roman" w:hAnsi="Times New Roman"/>
                <w:sz w:val="20"/>
                <w:szCs w:val="20"/>
              </w:rPr>
              <w:t>29.10.2010 г. №</w:t>
            </w:r>
            <w:r w:rsidRPr="00475E67">
              <w:rPr>
                <w:rFonts w:ascii="Times New Roman" w:hAnsi="Times New Roman"/>
                <w:sz w:val="20"/>
                <w:szCs w:val="20"/>
              </w:rPr>
              <w:t>2173)</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Стабилизация и дальнейшее снижение заболеваемости населения социально значимыми заболеваниями на основе комплексного решения проблем их профилактики и диагностики, лечения и реабилитации больных</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1 372,2</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1 369,3</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99,8</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1 372,2</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1 369,3</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99,8</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6</w:t>
            </w:r>
          </w:p>
        </w:tc>
        <w:tc>
          <w:tcPr>
            <w:tcW w:w="1239" w:type="pct"/>
            <w:vMerge w:val="restart"/>
            <w:vAlign w:val="center"/>
          </w:tcPr>
          <w:p w:rsidR="004616EA" w:rsidRPr="00475E67" w:rsidRDefault="004616EA" w:rsidP="005E2870">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«Обеспечение медицинскими кадрами Муниципального бюджетного лечебно-профилактического учреждения «Когалымская городская больница» в 2012-2014 годах» (постановление Администрации города Когалыма от 29.02.2012 г. №454)</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Повышение качества и доступности медицинской помощи населению на основе укомплектования МБЛПУ «Когалымская городская больница» квалифицированными медицинскими кадрами</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13 148,8</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10 811,3</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82,2</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13 148,8</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10 811,3</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82,2</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7</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Долгосрочная целевая программа «Комплексные меры противодействия злоупотреблению наркотическими средствами и их незаконному обороту на 2011 - 2013 годы» (постановление </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Создание условий, способствующих снижению уровня незаконного потребления наркотических средств и психотропных </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1 203,2</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1 150,6</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95,6</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1 203,2</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1 150,6</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95,6</w:t>
            </w:r>
          </w:p>
        </w:tc>
      </w:tr>
    </w:tbl>
    <w:p w:rsidR="004616EA" w:rsidRDefault="004616EA">
      <w:pPr>
        <w:sectPr w:rsidR="004616EA" w:rsidSect="00CA4050">
          <w:type w:val="continuous"/>
          <w:pgSz w:w="16838" w:h="11906" w:orient="landscape"/>
          <w:pgMar w:top="567" w:right="567" w:bottom="2552"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6"/>
        <w:gridCol w:w="3945"/>
        <w:gridCol w:w="2901"/>
        <w:gridCol w:w="1834"/>
        <w:gridCol w:w="2136"/>
        <w:gridCol w:w="2289"/>
        <w:gridCol w:w="2219"/>
      </w:tblGrid>
      <w:tr w:rsidR="004616EA" w:rsidRPr="00475E67" w:rsidTr="00DE0DA0">
        <w:trPr>
          <w:trHeight w:val="434"/>
        </w:trPr>
        <w:tc>
          <w:tcPr>
            <w:tcW w:w="187" w:type="pct"/>
            <w:vAlign w:val="center"/>
          </w:tcPr>
          <w:p w:rsidR="004616EA" w:rsidRPr="00475E67" w:rsidRDefault="004616EA" w:rsidP="004E5F17">
            <w:pPr>
              <w:spacing w:after="0"/>
              <w:jc w:val="center"/>
              <w:rPr>
                <w:rFonts w:ascii="Times New Roman" w:hAnsi="Times New Roman"/>
                <w:sz w:val="20"/>
                <w:szCs w:val="20"/>
              </w:rPr>
            </w:pPr>
          </w:p>
        </w:tc>
        <w:tc>
          <w:tcPr>
            <w:tcW w:w="1239"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Администрации города Когалыма от 29.10.2010 </w:t>
            </w:r>
            <w:r>
              <w:rPr>
                <w:rFonts w:ascii="Times New Roman" w:hAnsi="Times New Roman"/>
                <w:sz w:val="20"/>
                <w:szCs w:val="20"/>
              </w:rPr>
              <w:t>г. №</w:t>
            </w:r>
            <w:r w:rsidRPr="00475E67">
              <w:rPr>
                <w:rFonts w:ascii="Times New Roman" w:hAnsi="Times New Roman"/>
                <w:sz w:val="20"/>
                <w:szCs w:val="20"/>
              </w:rPr>
              <w:t>2170)</w:t>
            </w:r>
          </w:p>
        </w:tc>
        <w:tc>
          <w:tcPr>
            <w:tcW w:w="911"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веществ и уменьшение неблагоприятных социальных последствий их употребления</w:t>
            </w:r>
          </w:p>
        </w:tc>
        <w:tc>
          <w:tcPr>
            <w:tcW w:w="576" w:type="pct"/>
            <w:vAlign w:val="center"/>
          </w:tcPr>
          <w:p w:rsidR="004616EA" w:rsidRPr="00475E67" w:rsidRDefault="004616EA" w:rsidP="004E5F17">
            <w:pPr>
              <w:spacing w:after="0"/>
              <w:rPr>
                <w:rFonts w:ascii="Times New Roman" w:hAnsi="Times New Roman"/>
                <w:sz w:val="20"/>
                <w:szCs w:val="20"/>
              </w:rPr>
            </w:pPr>
          </w:p>
        </w:tc>
        <w:tc>
          <w:tcPr>
            <w:tcW w:w="671" w:type="pct"/>
            <w:vAlign w:val="center"/>
          </w:tcPr>
          <w:p w:rsidR="004616EA" w:rsidRPr="00475E67" w:rsidRDefault="004616EA" w:rsidP="004E5F17">
            <w:pPr>
              <w:spacing w:after="0"/>
              <w:jc w:val="center"/>
              <w:rPr>
                <w:rFonts w:ascii="Times New Roman" w:hAnsi="Times New Roman"/>
                <w:sz w:val="20"/>
                <w:szCs w:val="20"/>
              </w:rPr>
            </w:pPr>
          </w:p>
        </w:tc>
        <w:tc>
          <w:tcPr>
            <w:tcW w:w="719" w:type="pct"/>
            <w:vAlign w:val="center"/>
          </w:tcPr>
          <w:p w:rsidR="004616EA" w:rsidRPr="00475E67" w:rsidRDefault="004616EA" w:rsidP="004E5F17">
            <w:pPr>
              <w:spacing w:after="0"/>
              <w:jc w:val="center"/>
              <w:rPr>
                <w:rFonts w:ascii="Times New Roman" w:hAnsi="Times New Roman"/>
                <w:sz w:val="20"/>
                <w:szCs w:val="20"/>
              </w:rPr>
            </w:pPr>
          </w:p>
        </w:tc>
        <w:tc>
          <w:tcPr>
            <w:tcW w:w="697" w:type="pct"/>
            <w:vAlign w:val="center"/>
          </w:tcPr>
          <w:p w:rsidR="004616EA" w:rsidRPr="00475E67" w:rsidRDefault="004616EA" w:rsidP="004E5F17">
            <w:pPr>
              <w:spacing w:after="0"/>
              <w:jc w:val="center"/>
              <w:rPr>
                <w:rFonts w:ascii="Times New Roman" w:hAnsi="Times New Roman"/>
                <w:sz w:val="20"/>
                <w:szCs w:val="20"/>
              </w:rPr>
            </w:pP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8</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«Содействие занятости населения на 2012 - 2014 годы» (постановление Администрации город</w:t>
            </w:r>
            <w:r>
              <w:rPr>
                <w:rFonts w:ascii="Times New Roman" w:hAnsi="Times New Roman"/>
                <w:sz w:val="20"/>
                <w:szCs w:val="20"/>
              </w:rPr>
              <w:t>а Когалыма от 10.10.2011 года №</w:t>
            </w:r>
            <w:r w:rsidRPr="00475E67">
              <w:rPr>
                <w:rFonts w:ascii="Times New Roman" w:hAnsi="Times New Roman"/>
                <w:sz w:val="20"/>
                <w:szCs w:val="20"/>
              </w:rPr>
              <w:t>2514)</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Содействие занятости населения города Когалыма и повышение конкурентоспособности рабочей силы</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18 375,9</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16 783,5</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91,3</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18 375,9</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16 783,5</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91,3</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«Профилактика правонарушений и усиление борьбы с преступностью на территории города Когалыма на 2011 - 2013 годы» (постановление Администрации горо</w:t>
            </w:r>
            <w:r>
              <w:rPr>
                <w:rFonts w:ascii="Times New Roman" w:hAnsi="Times New Roman"/>
                <w:sz w:val="20"/>
                <w:szCs w:val="20"/>
              </w:rPr>
              <w:t>да Когалыма от 29.10. 2010 г. №</w:t>
            </w:r>
            <w:r w:rsidRPr="00475E67">
              <w:rPr>
                <w:rFonts w:ascii="Times New Roman" w:hAnsi="Times New Roman"/>
                <w:sz w:val="20"/>
                <w:szCs w:val="20"/>
              </w:rPr>
              <w:t>2164)</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Улучшение криминогенной ситуации, снижение уровня преступности городе Когалыме, и обеспечение безопасности граждан на территории города Когалыма</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29 398,3</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28 390,8</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96,6</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19 150,7</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11 974,2</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62,5</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48 549,0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40 365,0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83,1</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«Повышение безопасности дорожного движения в городе Когалыме на 2011 - 2013 годы» (постановление Администрации гор</w:t>
            </w:r>
            <w:r>
              <w:rPr>
                <w:rFonts w:ascii="Times New Roman" w:hAnsi="Times New Roman"/>
                <w:sz w:val="20"/>
                <w:szCs w:val="20"/>
              </w:rPr>
              <w:t>ода Когалыма от 29.10.2010 г. №</w:t>
            </w:r>
            <w:r w:rsidRPr="00475E67">
              <w:rPr>
                <w:rFonts w:ascii="Times New Roman" w:hAnsi="Times New Roman"/>
                <w:sz w:val="20"/>
                <w:szCs w:val="20"/>
              </w:rPr>
              <w:t>2163)</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Сокращение количества лиц погибших в результате дорожно-транспортных происшествий; сокращение количества дорожно-транспортных происшествий с пострадавшими</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31 494,0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31 494,0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67 068,0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62 017,9</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92,5</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98 562,0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93 511,9</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94,9</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11</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Городская целевая программа «Укрепление первичных мер пожарной безопасности в городе Когалыме на 2011 - 2013 годы» (постановление Администрации города Когалыма</w:t>
            </w:r>
            <w:r>
              <w:rPr>
                <w:rFonts w:ascii="Times New Roman" w:hAnsi="Times New Roman"/>
                <w:sz w:val="20"/>
                <w:szCs w:val="20"/>
              </w:rPr>
              <w:t xml:space="preserve"> от 29.10.2010 г. №</w:t>
            </w:r>
            <w:r w:rsidRPr="00475E67">
              <w:rPr>
                <w:rFonts w:ascii="Times New Roman" w:hAnsi="Times New Roman"/>
                <w:sz w:val="20"/>
                <w:szCs w:val="20"/>
              </w:rPr>
              <w:t>2171)</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Обеспечение первичных мер пожарной безопасности на территории города Когалыма</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4 401,2</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4 359,8</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99,1</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4 401,2</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4 359,8</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99,1</w:t>
            </w:r>
          </w:p>
        </w:tc>
      </w:tr>
      <w:tr w:rsidR="004616EA" w:rsidRPr="00475E67" w:rsidTr="00DE0DA0">
        <w:trPr>
          <w:trHeight w:val="701"/>
        </w:trPr>
        <w:tc>
          <w:tcPr>
            <w:tcW w:w="18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12</w:t>
            </w:r>
          </w:p>
        </w:tc>
        <w:tc>
          <w:tcPr>
            <w:tcW w:w="1239"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Долгосрочная целевая программа </w:t>
            </w:r>
          </w:p>
        </w:tc>
        <w:tc>
          <w:tcPr>
            <w:tcW w:w="911"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Сохранение и популяризация </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1 982,6</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1 982,6</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6"/>
        <w:gridCol w:w="3945"/>
        <w:gridCol w:w="2901"/>
        <w:gridCol w:w="1834"/>
        <w:gridCol w:w="2136"/>
        <w:gridCol w:w="2289"/>
        <w:gridCol w:w="2219"/>
      </w:tblGrid>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«Развитие культуры  в городе Когалыме на 2011-2013 годы и на период до 2015 года» (постановление Администрации города Когалыма от 29.10.2010 № 2169)</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культурного наследия города Когалыма, повышение качества услуг, предоставляемых в области библиотечного, музейного и архивного дела</w:t>
            </w:r>
          </w:p>
        </w:tc>
        <w:tc>
          <w:tcPr>
            <w:tcW w:w="576" w:type="pct"/>
            <w:vAlign w:val="center"/>
          </w:tcPr>
          <w:p w:rsidR="004616EA" w:rsidRPr="00475E67" w:rsidRDefault="004616EA" w:rsidP="00D03F73">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D03F73">
            <w:pPr>
              <w:jc w:val="center"/>
              <w:rPr>
                <w:rFonts w:ascii="Times New Roman" w:hAnsi="Times New Roman"/>
                <w:sz w:val="20"/>
                <w:szCs w:val="20"/>
              </w:rPr>
            </w:pPr>
            <w:r w:rsidRPr="00475E67">
              <w:rPr>
                <w:rFonts w:ascii="Times New Roman" w:hAnsi="Times New Roman"/>
                <w:sz w:val="20"/>
                <w:szCs w:val="20"/>
              </w:rPr>
              <w:t>4 629,0</w:t>
            </w:r>
          </w:p>
        </w:tc>
        <w:tc>
          <w:tcPr>
            <w:tcW w:w="719" w:type="pct"/>
            <w:vAlign w:val="center"/>
          </w:tcPr>
          <w:p w:rsidR="004616EA" w:rsidRPr="00475E67" w:rsidRDefault="004616EA" w:rsidP="00D03F73">
            <w:pPr>
              <w:jc w:val="center"/>
              <w:rPr>
                <w:rFonts w:ascii="Times New Roman" w:hAnsi="Times New Roman"/>
                <w:sz w:val="20"/>
                <w:szCs w:val="20"/>
              </w:rPr>
            </w:pPr>
            <w:r w:rsidRPr="00475E67">
              <w:rPr>
                <w:rFonts w:ascii="Times New Roman" w:hAnsi="Times New Roman"/>
                <w:sz w:val="20"/>
                <w:szCs w:val="20"/>
              </w:rPr>
              <w:t>3 539,2</w:t>
            </w:r>
          </w:p>
        </w:tc>
        <w:tc>
          <w:tcPr>
            <w:tcW w:w="697" w:type="pct"/>
            <w:vAlign w:val="center"/>
          </w:tcPr>
          <w:p w:rsidR="004616EA" w:rsidRPr="00475E67" w:rsidRDefault="004616EA" w:rsidP="00D03F73">
            <w:pPr>
              <w:spacing w:after="0"/>
              <w:jc w:val="center"/>
              <w:rPr>
                <w:rFonts w:ascii="Times New Roman" w:hAnsi="Times New Roman"/>
                <w:sz w:val="20"/>
                <w:szCs w:val="20"/>
              </w:rPr>
            </w:pPr>
            <w:r w:rsidRPr="00475E67">
              <w:rPr>
                <w:rFonts w:ascii="Times New Roman" w:hAnsi="Times New Roman"/>
                <w:sz w:val="20"/>
                <w:szCs w:val="20"/>
              </w:rPr>
              <w:t>76,5</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D03F73">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D03F73">
            <w:pPr>
              <w:jc w:val="center"/>
              <w:rPr>
                <w:rFonts w:ascii="Times New Roman" w:hAnsi="Times New Roman"/>
                <w:sz w:val="20"/>
                <w:szCs w:val="20"/>
              </w:rPr>
            </w:pPr>
            <w:r w:rsidRPr="00475E67">
              <w:rPr>
                <w:rFonts w:ascii="Times New Roman" w:hAnsi="Times New Roman"/>
                <w:sz w:val="20"/>
                <w:szCs w:val="20"/>
              </w:rPr>
              <w:t>6 611,6</w:t>
            </w:r>
          </w:p>
        </w:tc>
        <w:tc>
          <w:tcPr>
            <w:tcW w:w="719" w:type="pct"/>
            <w:vAlign w:val="center"/>
          </w:tcPr>
          <w:p w:rsidR="004616EA" w:rsidRPr="00475E67" w:rsidRDefault="004616EA" w:rsidP="00D03F73">
            <w:pPr>
              <w:jc w:val="center"/>
              <w:rPr>
                <w:rFonts w:ascii="Times New Roman" w:hAnsi="Times New Roman"/>
                <w:sz w:val="20"/>
                <w:szCs w:val="20"/>
              </w:rPr>
            </w:pPr>
            <w:r w:rsidRPr="00475E67">
              <w:rPr>
                <w:rFonts w:ascii="Times New Roman" w:hAnsi="Times New Roman"/>
                <w:sz w:val="20"/>
                <w:szCs w:val="20"/>
              </w:rPr>
              <w:t>5 521,8</w:t>
            </w:r>
          </w:p>
        </w:tc>
        <w:tc>
          <w:tcPr>
            <w:tcW w:w="697" w:type="pct"/>
            <w:vAlign w:val="center"/>
          </w:tcPr>
          <w:p w:rsidR="004616EA" w:rsidRPr="00475E67" w:rsidRDefault="004616EA" w:rsidP="00D03F73">
            <w:pPr>
              <w:spacing w:after="0"/>
              <w:jc w:val="center"/>
              <w:rPr>
                <w:rFonts w:ascii="Times New Roman" w:hAnsi="Times New Roman"/>
                <w:sz w:val="20"/>
                <w:szCs w:val="20"/>
              </w:rPr>
            </w:pPr>
            <w:r w:rsidRPr="00475E67">
              <w:rPr>
                <w:rFonts w:ascii="Times New Roman" w:hAnsi="Times New Roman"/>
                <w:sz w:val="20"/>
                <w:szCs w:val="20"/>
              </w:rPr>
              <w:t>83,5</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13</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«Развитие малого и среднего предпринимательства в городе Когалыме на 2011 - 2015 годы» (постановление Администрации города Когалыма от 29.10.2010 г. № 2139)</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Содействие развитию малого и среднего предпринимательства на территории города Когалыма</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2 556,6</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1 663,3</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65,1</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3 271,9</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3 101,8</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94,8</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5 828,5</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4 765,1</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81,8</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14</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«Развитие муниципальной службы и резерва управленческих кадров в муниципальном образовании городской округ город Когалым на 2011 - 2015 годы» (постановление Администрации города Когалыма от 29.10.2010 г. №2157)</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Повышение профессионального уровня кадрового состава органов местного самоуправления в целях реализации законных прав и интересов граждан в сфере муниципального управления; устойчивое и эффективное осуществление своих полномочий Администрации города.</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610,8</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610,8</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610,8</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610,8</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15</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Долгосрочная целевая программа «Поддержка развития институтов гражданского общества города Когалыма на 2011-2013 годы» (постановление Администрации города Когалыма от </w:t>
            </w:r>
            <w:r>
              <w:rPr>
                <w:rFonts w:ascii="Times New Roman" w:hAnsi="Times New Roman"/>
                <w:sz w:val="20"/>
                <w:szCs w:val="20"/>
              </w:rPr>
              <w:t>29.10.2010 г. №</w:t>
            </w:r>
            <w:r w:rsidRPr="00475E67">
              <w:rPr>
                <w:rFonts w:ascii="Times New Roman" w:hAnsi="Times New Roman"/>
                <w:sz w:val="20"/>
                <w:szCs w:val="20"/>
              </w:rPr>
              <w:t>2165)</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Формирование гражданского самосознания населения города Когалыма</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4 246,7</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4 240,7</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4 246,7</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4 240,7</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715"/>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16</w:t>
            </w:r>
          </w:p>
        </w:tc>
        <w:tc>
          <w:tcPr>
            <w:tcW w:w="1239" w:type="pct"/>
            <w:vMerge w:val="restart"/>
            <w:vAlign w:val="center"/>
          </w:tcPr>
          <w:p w:rsidR="004616EA" w:rsidRPr="00475E67" w:rsidRDefault="004616EA" w:rsidP="00DE0DA0">
            <w:pPr>
              <w:spacing w:after="0" w:line="240" w:lineRule="auto"/>
              <w:rPr>
                <w:rFonts w:ascii="Times New Roman" w:hAnsi="Times New Roman"/>
                <w:sz w:val="20"/>
                <w:szCs w:val="20"/>
              </w:rPr>
            </w:pPr>
            <w:r w:rsidRPr="00475E67">
              <w:rPr>
                <w:rFonts w:ascii="Times New Roman" w:hAnsi="Times New Roman"/>
                <w:sz w:val="20"/>
                <w:szCs w:val="20"/>
              </w:rPr>
              <w:t xml:space="preserve">Долгосрочная целевая программа «Обеспечение жильем молодых семей в городе Когалыме на 2011-2015 годы» </w:t>
            </w:r>
          </w:p>
        </w:tc>
        <w:tc>
          <w:tcPr>
            <w:tcW w:w="911" w:type="pct"/>
            <w:vMerge w:val="restart"/>
            <w:vAlign w:val="center"/>
          </w:tcPr>
          <w:p w:rsidR="004616EA" w:rsidRPr="00475E67" w:rsidRDefault="004616EA" w:rsidP="00DE0DA0">
            <w:pPr>
              <w:spacing w:after="0" w:line="240" w:lineRule="auto"/>
              <w:rPr>
                <w:rFonts w:ascii="Times New Roman" w:hAnsi="Times New Roman"/>
                <w:sz w:val="20"/>
                <w:szCs w:val="20"/>
              </w:rPr>
            </w:pPr>
            <w:r w:rsidRPr="00475E67">
              <w:rPr>
                <w:rFonts w:ascii="Times New Roman" w:hAnsi="Times New Roman"/>
                <w:sz w:val="20"/>
                <w:szCs w:val="20"/>
              </w:rPr>
              <w:t xml:space="preserve">Поддержка в решении жилищной проблемы молодых семей, признанных в </w:t>
            </w:r>
          </w:p>
        </w:tc>
        <w:tc>
          <w:tcPr>
            <w:tcW w:w="576" w:type="pct"/>
            <w:vAlign w:val="center"/>
          </w:tcPr>
          <w:p w:rsidR="004616EA" w:rsidRPr="00475E67" w:rsidRDefault="004616EA" w:rsidP="00DE0DA0">
            <w:pPr>
              <w:spacing w:after="0" w:line="240" w:lineRule="auto"/>
              <w:rPr>
                <w:rFonts w:ascii="Times New Roman" w:hAnsi="Times New Roman"/>
                <w:sz w:val="20"/>
                <w:szCs w:val="20"/>
              </w:rPr>
            </w:pPr>
            <w:r w:rsidRPr="00475E67">
              <w:rPr>
                <w:rFonts w:ascii="Times New Roman" w:hAnsi="Times New Roman"/>
                <w:sz w:val="20"/>
                <w:szCs w:val="20"/>
              </w:rPr>
              <w:t>федеральный бюджет</w:t>
            </w:r>
          </w:p>
        </w:tc>
        <w:tc>
          <w:tcPr>
            <w:tcW w:w="671" w:type="pct"/>
            <w:vAlign w:val="center"/>
          </w:tcPr>
          <w:p w:rsidR="004616EA" w:rsidRPr="00475E67" w:rsidRDefault="004616EA" w:rsidP="00DE0DA0">
            <w:pPr>
              <w:spacing w:after="0" w:line="240" w:lineRule="auto"/>
              <w:jc w:val="center"/>
              <w:rPr>
                <w:rFonts w:ascii="Times New Roman" w:hAnsi="Times New Roman"/>
                <w:sz w:val="20"/>
                <w:szCs w:val="20"/>
              </w:rPr>
            </w:pPr>
            <w:r w:rsidRPr="00475E67">
              <w:rPr>
                <w:rFonts w:ascii="Times New Roman" w:hAnsi="Times New Roman"/>
                <w:sz w:val="20"/>
                <w:szCs w:val="20"/>
              </w:rPr>
              <w:t>612,3</w:t>
            </w:r>
          </w:p>
        </w:tc>
        <w:tc>
          <w:tcPr>
            <w:tcW w:w="719" w:type="pct"/>
            <w:vAlign w:val="center"/>
          </w:tcPr>
          <w:p w:rsidR="004616EA" w:rsidRPr="00475E67" w:rsidRDefault="004616EA" w:rsidP="00DE0DA0">
            <w:pPr>
              <w:spacing w:after="0" w:line="240" w:lineRule="auto"/>
              <w:jc w:val="center"/>
              <w:rPr>
                <w:rFonts w:ascii="Times New Roman" w:hAnsi="Times New Roman"/>
                <w:sz w:val="20"/>
                <w:szCs w:val="20"/>
              </w:rPr>
            </w:pPr>
            <w:r w:rsidRPr="00475E67">
              <w:rPr>
                <w:rFonts w:ascii="Times New Roman" w:hAnsi="Times New Roman"/>
                <w:sz w:val="20"/>
                <w:szCs w:val="20"/>
              </w:rPr>
              <w:t>441,8</w:t>
            </w:r>
          </w:p>
        </w:tc>
        <w:tc>
          <w:tcPr>
            <w:tcW w:w="697" w:type="pct"/>
            <w:vAlign w:val="center"/>
          </w:tcPr>
          <w:p w:rsidR="004616EA" w:rsidRPr="00475E67" w:rsidRDefault="004616EA" w:rsidP="00DE0DA0">
            <w:pPr>
              <w:spacing w:after="0" w:line="240" w:lineRule="auto"/>
              <w:jc w:val="center"/>
              <w:rPr>
                <w:rFonts w:ascii="Times New Roman" w:hAnsi="Times New Roman"/>
                <w:sz w:val="20"/>
                <w:szCs w:val="20"/>
              </w:rPr>
            </w:pPr>
            <w:r w:rsidRPr="00475E67">
              <w:rPr>
                <w:rFonts w:ascii="Times New Roman" w:hAnsi="Times New Roman"/>
                <w:sz w:val="20"/>
                <w:szCs w:val="20"/>
              </w:rPr>
              <w:t>72,2</w:t>
            </w:r>
          </w:p>
        </w:tc>
      </w:tr>
      <w:tr w:rsidR="004616EA" w:rsidRPr="00475E67" w:rsidTr="00DE0DA0">
        <w:trPr>
          <w:trHeight w:val="356"/>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DE0DA0">
            <w:pPr>
              <w:spacing w:after="0" w:line="240" w:lineRule="auto"/>
              <w:rPr>
                <w:rFonts w:ascii="Times New Roman" w:hAnsi="Times New Roman"/>
                <w:sz w:val="20"/>
                <w:szCs w:val="20"/>
              </w:rPr>
            </w:pPr>
          </w:p>
        </w:tc>
        <w:tc>
          <w:tcPr>
            <w:tcW w:w="911" w:type="pct"/>
            <w:vMerge/>
            <w:vAlign w:val="center"/>
          </w:tcPr>
          <w:p w:rsidR="004616EA" w:rsidRPr="00475E67" w:rsidRDefault="004616EA" w:rsidP="00DE0DA0">
            <w:pPr>
              <w:spacing w:after="0" w:line="240" w:lineRule="auto"/>
              <w:rPr>
                <w:rFonts w:ascii="Times New Roman" w:hAnsi="Times New Roman"/>
                <w:sz w:val="20"/>
                <w:szCs w:val="20"/>
              </w:rPr>
            </w:pPr>
          </w:p>
        </w:tc>
        <w:tc>
          <w:tcPr>
            <w:tcW w:w="576" w:type="pct"/>
            <w:vAlign w:val="center"/>
          </w:tcPr>
          <w:p w:rsidR="004616EA" w:rsidRPr="00475E67" w:rsidRDefault="004616EA" w:rsidP="00DE0DA0">
            <w:pPr>
              <w:spacing w:after="0" w:line="240" w:lineRule="auto"/>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DE0DA0">
            <w:pPr>
              <w:spacing w:after="0" w:line="240" w:lineRule="auto"/>
              <w:jc w:val="center"/>
              <w:rPr>
                <w:rFonts w:ascii="Times New Roman" w:hAnsi="Times New Roman"/>
                <w:sz w:val="20"/>
                <w:szCs w:val="20"/>
              </w:rPr>
            </w:pPr>
            <w:r w:rsidRPr="00475E67">
              <w:rPr>
                <w:rFonts w:ascii="Times New Roman" w:hAnsi="Times New Roman"/>
                <w:sz w:val="20"/>
                <w:szCs w:val="20"/>
              </w:rPr>
              <w:t>10 507,7</w:t>
            </w:r>
          </w:p>
        </w:tc>
        <w:tc>
          <w:tcPr>
            <w:tcW w:w="719" w:type="pct"/>
            <w:vAlign w:val="center"/>
          </w:tcPr>
          <w:p w:rsidR="004616EA" w:rsidRPr="00475E67" w:rsidRDefault="004616EA" w:rsidP="00DE0DA0">
            <w:pPr>
              <w:spacing w:after="0" w:line="240" w:lineRule="auto"/>
              <w:jc w:val="center"/>
              <w:rPr>
                <w:rFonts w:ascii="Times New Roman" w:hAnsi="Times New Roman"/>
                <w:sz w:val="20"/>
                <w:szCs w:val="20"/>
              </w:rPr>
            </w:pPr>
            <w:r w:rsidRPr="00475E67">
              <w:rPr>
                <w:rFonts w:ascii="Times New Roman" w:hAnsi="Times New Roman"/>
                <w:sz w:val="20"/>
                <w:szCs w:val="20"/>
              </w:rPr>
              <w:t>7 582,8</w:t>
            </w:r>
          </w:p>
        </w:tc>
        <w:tc>
          <w:tcPr>
            <w:tcW w:w="697" w:type="pct"/>
            <w:vAlign w:val="center"/>
          </w:tcPr>
          <w:p w:rsidR="004616EA" w:rsidRPr="00475E67" w:rsidRDefault="004616EA" w:rsidP="00DE0DA0">
            <w:pPr>
              <w:spacing w:after="0" w:line="240" w:lineRule="auto"/>
              <w:jc w:val="center"/>
              <w:rPr>
                <w:rFonts w:ascii="Times New Roman" w:hAnsi="Times New Roman"/>
                <w:sz w:val="20"/>
                <w:szCs w:val="20"/>
              </w:rPr>
            </w:pPr>
            <w:r w:rsidRPr="00475E67">
              <w:rPr>
                <w:rFonts w:ascii="Times New Roman" w:hAnsi="Times New Roman"/>
                <w:sz w:val="20"/>
                <w:szCs w:val="20"/>
              </w:rPr>
              <w:t>72,2</w:t>
            </w:r>
          </w:p>
        </w:tc>
      </w:tr>
    </w:tbl>
    <w:p w:rsidR="004616EA" w:rsidRDefault="004616EA">
      <w:pPr>
        <w:sectPr w:rsidR="004616EA" w:rsidSect="00CA4050">
          <w:type w:val="continuous"/>
          <w:pgSz w:w="16838" w:h="11906" w:orient="landscape"/>
          <w:pgMar w:top="567" w:right="567" w:bottom="2336"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6"/>
        <w:gridCol w:w="3945"/>
        <w:gridCol w:w="2901"/>
        <w:gridCol w:w="1834"/>
        <w:gridCol w:w="2136"/>
        <w:gridCol w:w="2289"/>
        <w:gridCol w:w="2219"/>
      </w:tblGrid>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(постановление Администрации горо</w:t>
            </w:r>
            <w:r>
              <w:rPr>
                <w:rFonts w:ascii="Times New Roman" w:hAnsi="Times New Roman"/>
                <w:sz w:val="20"/>
                <w:szCs w:val="20"/>
              </w:rPr>
              <w:t>да Когалыма от 07.10. 2011 г. №</w:t>
            </w:r>
            <w:r w:rsidRPr="00475E67">
              <w:rPr>
                <w:rFonts w:ascii="Times New Roman" w:hAnsi="Times New Roman"/>
                <w:sz w:val="20"/>
                <w:szCs w:val="20"/>
              </w:rPr>
              <w:t>2510)</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установленном порядке, нуждающимися в улучшении жилищных условий для улучшения демографической ситуации в городе Когалыме</w:t>
            </w:r>
          </w:p>
        </w:tc>
        <w:tc>
          <w:tcPr>
            <w:tcW w:w="576" w:type="pct"/>
            <w:vAlign w:val="center"/>
          </w:tcPr>
          <w:p w:rsidR="004616EA" w:rsidRPr="00475E67" w:rsidRDefault="004616EA" w:rsidP="00D03F73">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D03F73">
            <w:pPr>
              <w:jc w:val="center"/>
              <w:rPr>
                <w:rFonts w:ascii="Times New Roman" w:hAnsi="Times New Roman"/>
                <w:sz w:val="20"/>
                <w:szCs w:val="20"/>
              </w:rPr>
            </w:pPr>
            <w:r w:rsidRPr="00475E67">
              <w:rPr>
                <w:rFonts w:ascii="Times New Roman" w:hAnsi="Times New Roman"/>
                <w:sz w:val="20"/>
                <w:szCs w:val="20"/>
              </w:rPr>
              <w:t>636,6</w:t>
            </w:r>
          </w:p>
        </w:tc>
        <w:tc>
          <w:tcPr>
            <w:tcW w:w="719" w:type="pct"/>
            <w:vAlign w:val="center"/>
          </w:tcPr>
          <w:p w:rsidR="004616EA" w:rsidRPr="00475E67" w:rsidRDefault="004616EA" w:rsidP="00D03F73">
            <w:pPr>
              <w:jc w:val="center"/>
              <w:rPr>
                <w:rFonts w:ascii="Times New Roman" w:hAnsi="Times New Roman"/>
                <w:sz w:val="20"/>
                <w:szCs w:val="20"/>
              </w:rPr>
            </w:pPr>
            <w:r w:rsidRPr="00475E67">
              <w:rPr>
                <w:rFonts w:ascii="Times New Roman" w:hAnsi="Times New Roman"/>
                <w:sz w:val="20"/>
                <w:szCs w:val="20"/>
              </w:rPr>
              <w:t>422,4</w:t>
            </w:r>
          </w:p>
        </w:tc>
        <w:tc>
          <w:tcPr>
            <w:tcW w:w="697" w:type="pct"/>
            <w:vAlign w:val="center"/>
          </w:tcPr>
          <w:p w:rsidR="004616EA" w:rsidRPr="00475E67" w:rsidRDefault="004616EA" w:rsidP="00D03F73">
            <w:pPr>
              <w:spacing w:after="0"/>
              <w:jc w:val="center"/>
              <w:rPr>
                <w:rFonts w:ascii="Times New Roman" w:hAnsi="Times New Roman"/>
                <w:sz w:val="20"/>
                <w:szCs w:val="20"/>
              </w:rPr>
            </w:pPr>
            <w:r w:rsidRPr="00475E67">
              <w:rPr>
                <w:rFonts w:ascii="Times New Roman" w:hAnsi="Times New Roman"/>
                <w:sz w:val="20"/>
                <w:szCs w:val="20"/>
              </w:rPr>
              <w:t>66,4</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D03F73">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D03F73">
            <w:pPr>
              <w:jc w:val="center"/>
              <w:rPr>
                <w:rFonts w:ascii="Times New Roman" w:hAnsi="Times New Roman"/>
                <w:sz w:val="20"/>
                <w:szCs w:val="20"/>
              </w:rPr>
            </w:pPr>
            <w:r w:rsidRPr="00475E67">
              <w:rPr>
                <w:rFonts w:ascii="Times New Roman" w:hAnsi="Times New Roman"/>
                <w:sz w:val="20"/>
                <w:szCs w:val="20"/>
              </w:rPr>
              <w:t>11 756,6</w:t>
            </w:r>
          </w:p>
        </w:tc>
        <w:tc>
          <w:tcPr>
            <w:tcW w:w="719" w:type="pct"/>
            <w:vAlign w:val="center"/>
          </w:tcPr>
          <w:p w:rsidR="004616EA" w:rsidRPr="00475E67" w:rsidRDefault="004616EA" w:rsidP="00D03F73">
            <w:pPr>
              <w:jc w:val="center"/>
              <w:rPr>
                <w:rFonts w:ascii="Times New Roman" w:hAnsi="Times New Roman"/>
                <w:sz w:val="20"/>
                <w:szCs w:val="20"/>
              </w:rPr>
            </w:pPr>
            <w:r w:rsidRPr="00475E67">
              <w:rPr>
                <w:rFonts w:ascii="Times New Roman" w:hAnsi="Times New Roman"/>
                <w:sz w:val="20"/>
                <w:szCs w:val="20"/>
              </w:rPr>
              <w:t>8 447,0</w:t>
            </w:r>
          </w:p>
        </w:tc>
        <w:tc>
          <w:tcPr>
            <w:tcW w:w="697" w:type="pct"/>
            <w:vAlign w:val="center"/>
          </w:tcPr>
          <w:p w:rsidR="004616EA" w:rsidRPr="00475E67" w:rsidRDefault="004616EA" w:rsidP="00D03F73">
            <w:pPr>
              <w:spacing w:after="0"/>
              <w:jc w:val="center"/>
              <w:rPr>
                <w:rFonts w:ascii="Times New Roman" w:hAnsi="Times New Roman"/>
                <w:sz w:val="20"/>
                <w:szCs w:val="20"/>
              </w:rPr>
            </w:pPr>
            <w:r w:rsidRPr="00475E67">
              <w:rPr>
                <w:rFonts w:ascii="Times New Roman" w:hAnsi="Times New Roman"/>
                <w:sz w:val="20"/>
                <w:szCs w:val="20"/>
              </w:rPr>
              <w:t>71,8</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17</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«Модернизация и реформирование жилищно-коммунального хозяйства на территории города Когалыма на 2011-2014 годы» (постановление Администрации горо</w:t>
            </w:r>
            <w:r>
              <w:rPr>
                <w:rFonts w:ascii="Times New Roman" w:hAnsi="Times New Roman"/>
                <w:sz w:val="20"/>
                <w:szCs w:val="20"/>
              </w:rPr>
              <w:t>да Когалыма от 30.12.2011 г.  №</w:t>
            </w:r>
            <w:r w:rsidRPr="00475E67">
              <w:rPr>
                <w:rFonts w:ascii="Times New Roman" w:hAnsi="Times New Roman"/>
                <w:sz w:val="20"/>
                <w:szCs w:val="20"/>
              </w:rPr>
              <w:t>3335)</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Обеспечение развития системы жилищно-коммунального хозяйства города Когалыма, улучшение экологической обстановки; проектирование и строительство инженерных сетей в целях обеспечения инженерной подготовки земельных участков для жилищного строительства </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67 608,0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54 999,9</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81,4</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39 425,2</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27 989,2</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71,0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107 033,2</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82 989,1</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77,5</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18</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Долгосрочная целевая программа города Когалыма «Наш дом» на 2011-2015 годы (постановление Администрации города Когалыма от 05.04.2011 </w:t>
            </w:r>
            <w:r>
              <w:rPr>
                <w:rFonts w:ascii="Times New Roman" w:hAnsi="Times New Roman"/>
                <w:sz w:val="20"/>
                <w:szCs w:val="20"/>
              </w:rPr>
              <w:t>г. №</w:t>
            </w:r>
            <w:r w:rsidRPr="00475E67">
              <w:rPr>
                <w:rFonts w:ascii="Times New Roman" w:hAnsi="Times New Roman"/>
                <w:sz w:val="20"/>
                <w:szCs w:val="20"/>
              </w:rPr>
              <w:t>701)</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Улучшение технического состояния многоквартирных домов города Когалыма, повышение их энергетической эффективности, создание безопасных и комфортных условий проживания населения Когалыма </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10 804,7</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10 804,7</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1 080,3</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1 080,3</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внебюджетные источники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240,6</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240,6</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12 125,6</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12 125,6</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19</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Городская целевая программа «Повышение эффективности бюджетных расходов муниципального образования городской округ город Когалым до 2013 года» (постановление Администрации г</w:t>
            </w:r>
            <w:r>
              <w:rPr>
                <w:rFonts w:ascii="Times New Roman" w:hAnsi="Times New Roman"/>
                <w:sz w:val="20"/>
                <w:szCs w:val="20"/>
              </w:rPr>
              <w:t>орода Когалыма 29.09.2011 г.  №</w:t>
            </w:r>
            <w:r w:rsidRPr="00475E67">
              <w:rPr>
                <w:rFonts w:ascii="Times New Roman" w:hAnsi="Times New Roman"/>
                <w:sz w:val="20"/>
                <w:szCs w:val="20"/>
              </w:rPr>
              <w:t>2424)</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Повышение эффективности бюджетных расходов путем создания соответствующих условий и механизмов </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700,0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683,8</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91,3</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700,0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683,8</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91,3</w:t>
            </w: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6"/>
        <w:gridCol w:w="3945"/>
        <w:gridCol w:w="2901"/>
        <w:gridCol w:w="1834"/>
        <w:gridCol w:w="2136"/>
        <w:gridCol w:w="2289"/>
        <w:gridCol w:w="2219"/>
      </w:tblGrid>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20</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«Профилактика экстремизма, гармонизация межэтнических и межкультурных отношений, укрепление толерантности» в городе Когалыме на 2011-2013 годы» (постановление Администрации го</w:t>
            </w:r>
            <w:r>
              <w:rPr>
                <w:rFonts w:ascii="Times New Roman" w:hAnsi="Times New Roman"/>
                <w:sz w:val="20"/>
                <w:szCs w:val="20"/>
              </w:rPr>
              <w:t>рода Когалыма от 13.05.2011 г.№</w:t>
            </w:r>
            <w:r w:rsidRPr="00475E67">
              <w:rPr>
                <w:rFonts w:ascii="Times New Roman" w:hAnsi="Times New Roman"/>
                <w:sz w:val="20"/>
                <w:szCs w:val="20"/>
              </w:rPr>
              <w:t xml:space="preserve">1070) </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Создание в городе Когалыме толерантной среды на основе многонационального российского общества, общероссийской и гражданской идентичности и культурного самосознания, принципов соблюдения прав и свобод человека</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640,0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440,0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68,8</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640,0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440,0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68,8</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21</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«Информационное общество-Югра» в городе Когалыме на 2011-2013 годы» (постановление Администрации горо</w:t>
            </w:r>
            <w:r>
              <w:rPr>
                <w:rFonts w:ascii="Times New Roman" w:hAnsi="Times New Roman"/>
                <w:sz w:val="20"/>
                <w:szCs w:val="20"/>
              </w:rPr>
              <w:t>да Когалыма от 07.09.2011 г.  №</w:t>
            </w:r>
            <w:r w:rsidRPr="00475E67">
              <w:rPr>
                <w:rFonts w:ascii="Times New Roman" w:hAnsi="Times New Roman"/>
                <w:sz w:val="20"/>
                <w:szCs w:val="20"/>
              </w:rPr>
              <w:t>2503)</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Повышение качества жизни населения города Когалыма; повышение качества оказания муниципальных услуг; обеспечение доступа населения и организаций к информации о деятельности органов местного самоуправления; развитие экономической, социально-политической, культурной и духовной сфер жизни общества и совершенствование системы муниципального управления на основе использования информационно-коммуникационных технологий.</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16 960,0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16 828,0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99,2</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5 764,6</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5 712,0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99,1</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22 724,6</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22 540,0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99,2</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22</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«Благоустройство города Когалыма на 2012 - 2014 годы» (постановление Администрации гор</w:t>
            </w:r>
            <w:r>
              <w:rPr>
                <w:rFonts w:ascii="Times New Roman" w:hAnsi="Times New Roman"/>
                <w:sz w:val="20"/>
                <w:szCs w:val="20"/>
              </w:rPr>
              <w:t>ода Когалыма от 10.10.2011 г. №</w:t>
            </w:r>
            <w:r w:rsidRPr="00475E67">
              <w:rPr>
                <w:rFonts w:ascii="Times New Roman" w:hAnsi="Times New Roman"/>
                <w:sz w:val="20"/>
                <w:szCs w:val="20"/>
              </w:rPr>
              <w:t>2516)</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Улучшение комфортности проживания граждан города Когалыма и эстетического состояния дворовых территорий. Обеспечение </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2 637,5</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2 633,4</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99,8</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2 637,5</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2 633,4</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99,8</w:t>
            </w:r>
          </w:p>
        </w:tc>
      </w:tr>
    </w:tbl>
    <w:p w:rsidR="004616EA" w:rsidRDefault="004616EA">
      <w:pPr>
        <w:sectPr w:rsidR="004616EA" w:rsidSect="00CA4050">
          <w:type w:val="continuous"/>
          <w:pgSz w:w="16838" w:h="11906" w:orient="landscape"/>
          <w:pgMar w:top="567" w:right="567" w:bottom="2552"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6"/>
        <w:gridCol w:w="3945"/>
        <w:gridCol w:w="2901"/>
        <w:gridCol w:w="1834"/>
        <w:gridCol w:w="2136"/>
        <w:gridCol w:w="2289"/>
        <w:gridCol w:w="2219"/>
      </w:tblGrid>
      <w:tr w:rsidR="004616EA" w:rsidRPr="00475E67" w:rsidTr="00DE0DA0">
        <w:trPr>
          <w:trHeight w:val="434"/>
        </w:trPr>
        <w:tc>
          <w:tcPr>
            <w:tcW w:w="187" w:type="pct"/>
            <w:vAlign w:val="center"/>
          </w:tcPr>
          <w:p w:rsidR="004616EA" w:rsidRPr="00475E67" w:rsidRDefault="004616EA" w:rsidP="004E5F17">
            <w:pPr>
              <w:spacing w:after="0"/>
              <w:jc w:val="center"/>
              <w:rPr>
                <w:rFonts w:ascii="Times New Roman" w:hAnsi="Times New Roman"/>
                <w:sz w:val="20"/>
                <w:szCs w:val="20"/>
              </w:rPr>
            </w:pPr>
          </w:p>
        </w:tc>
        <w:tc>
          <w:tcPr>
            <w:tcW w:w="1239" w:type="pct"/>
            <w:vAlign w:val="center"/>
          </w:tcPr>
          <w:p w:rsidR="004616EA" w:rsidRPr="00475E67" w:rsidRDefault="004616EA" w:rsidP="004E5F17">
            <w:pPr>
              <w:spacing w:after="0"/>
              <w:rPr>
                <w:rFonts w:ascii="Times New Roman" w:hAnsi="Times New Roman"/>
                <w:sz w:val="20"/>
                <w:szCs w:val="20"/>
              </w:rPr>
            </w:pPr>
          </w:p>
        </w:tc>
        <w:tc>
          <w:tcPr>
            <w:tcW w:w="911"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условий для отдыха и физического развития детей, организация досуга детей и приобщение к здоровому образу жизни, массовым спортивным мероприятиям</w:t>
            </w:r>
          </w:p>
        </w:tc>
        <w:tc>
          <w:tcPr>
            <w:tcW w:w="576" w:type="pct"/>
            <w:vAlign w:val="center"/>
          </w:tcPr>
          <w:p w:rsidR="004616EA" w:rsidRPr="00475E67" w:rsidRDefault="004616EA" w:rsidP="004E5F17">
            <w:pPr>
              <w:spacing w:after="0"/>
              <w:rPr>
                <w:rFonts w:ascii="Times New Roman" w:hAnsi="Times New Roman"/>
                <w:sz w:val="20"/>
                <w:szCs w:val="20"/>
              </w:rPr>
            </w:pPr>
          </w:p>
        </w:tc>
        <w:tc>
          <w:tcPr>
            <w:tcW w:w="671" w:type="pct"/>
            <w:vAlign w:val="center"/>
          </w:tcPr>
          <w:p w:rsidR="004616EA" w:rsidRPr="00475E67" w:rsidRDefault="004616EA" w:rsidP="004E5F17">
            <w:pPr>
              <w:jc w:val="center"/>
              <w:rPr>
                <w:rFonts w:ascii="Times New Roman" w:hAnsi="Times New Roman"/>
                <w:sz w:val="20"/>
                <w:szCs w:val="20"/>
              </w:rPr>
            </w:pPr>
          </w:p>
        </w:tc>
        <w:tc>
          <w:tcPr>
            <w:tcW w:w="719" w:type="pct"/>
            <w:vAlign w:val="center"/>
          </w:tcPr>
          <w:p w:rsidR="004616EA" w:rsidRPr="00475E67" w:rsidRDefault="004616EA" w:rsidP="004E5F17">
            <w:pPr>
              <w:jc w:val="center"/>
              <w:rPr>
                <w:rFonts w:ascii="Times New Roman" w:hAnsi="Times New Roman"/>
                <w:sz w:val="20"/>
                <w:szCs w:val="20"/>
              </w:rPr>
            </w:pPr>
          </w:p>
        </w:tc>
        <w:tc>
          <w:tcPr>
            <w:tcW w:w="697" w:type="pct"/>
            <w:vAlign w:val="center"/>
          </w:tcPr>
          <w:p w:rsidR="004616EA" w:rsidRPr="00475E67" w:rsidRDefault="004616EA" w:rsidP="004E5F17">
            <w:pPr>
              <w:spacing w:after="0"/>
              <w:jc w:val="center"/>
              <w:rPr>
                <w:rFonts w:ascii="Times New Roman" w:hAnsi="Times New Roman"/>
                <w:sz w:val="20"/>
                <w:szCs w:val="20"/>
              </w:rPr>
            </w:pP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23</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Городская целевая программа «Строительство полигона твердых бытовых отходов с биотермической ямой на 2012-2013 годы» (постановление Администрации гор</w:t>
            </w:r>
            <w:r>
              <w:rPr>
                <w:rFonts w:ascii="Times New Roman" w:hAnsi="Times New Roman"/>
                <w:sz w:val="20"/>
                <w:szCs w:val="20"/>
              </w:rPr>
              <w:t>ода Когалыма от 05.08.2011 г. №</w:t>
            </w:r>
            <w:r w:rsidRPr="00475E67">
              <w:rPr>
                <w:rFonts w:ascii="Times New Roman" w:hAnsi="Times New Roman"/>
                <w:sz w:val="20"/>
                <w:szCs w:val="20"/>
              </w:rPr>
              <w:t>1982)</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Улучшение санитарного благополучия населения города Когалыма</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6 575,3</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3 480,0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52,9</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6 575,3</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3 480,0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52,9</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24</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«Развитие физической культуры и спорта в городе Когалыме на 2011-2013 годы» (постановление Администрации гор</w:t>
            </w:r>
            <w:r>
              <w:rPr>
                <w:rFonts w:ascii="Times New Roman" w:hAnsi="Times New Roman"/>
                <w:sz w:val="20"/>
                <w:szCs w:val="20"/>
              </w:rPr>
              <w:t>ода Когалыма от 29.10.2010 г. №</w:t>
            </w:r>
            <w:r w:rsidRPr="00475E67">
              <w:rPr>
                <w:rFonts w:ascii="Times New Roman" w:hAnsi="Times New Roman"/>
                <w:sz w:val="20"/>
                <w:szCs w:val="20"/>
              </w:rPr>
              <w:t>2178)</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Создание условий, ориентирующих граждан на здоровый образ жизни, в том числе на занятия физической культурой и спортом, развитие спортивной инфраструктуры</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1 000,5</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993,7</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99,3</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37 052,8</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36 380,1</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98,2</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38 053,3</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37 373,8</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98,2</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25</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Муниципальная адресная программа по проведению капитального ремонта многоквартирных домов города Когалыма на 2013 год (постановление Администрации гор</w:t>
            </w:r>
            <w:r>
              <w:rPr>
                <w:rFonts w:ascii="Times New Roman" w:hAnsi="Times New Roman"/>
                <w:sz w:val="20"/>
                <w:szCs w:val="20"/>
              </w:rPr>
              <w:t>ода Когалыма от 30.05.2013 г. №</w:t>
            </w:r>
            <w:r w:rsidRPr="00475E67">
              <w:rPr>
                <w:rFonts w:ascii="Times New Roman" w:hAnsi="Times New Roman"/>
                <w:sz w:val="20"/>
                <w:szCs w:val="20"/>
              </w:rPr>
              <w:t>1599)</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Улучшение технического состояния многоквартирных домов города Когалыма; повышение энергетической эффективности многоквартирных домов города Когалыма; создание безопасных и комфортных условий проживания населения города Когалыма</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федеральный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5 503,4</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5 503,3</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8 949,9</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8 949,9</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3 891,3</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3 891,3</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внебюджетные источники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3 237,2</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3 237,2</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21 581,8</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21 581,7</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231"/>
        </w:trPr>
        <w:tc>
          <w:tcPr>
            <w:tcW w:w="18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26</w:t>
            </w:r>
          </w:p>
        </w:tc>
        <w:tc>
          <w:tcPr>
            <w:tcW w:w="1239"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Целевая программа «Содействие развитию </w:t>
            </w:r>
          </w:p>
        </w:tc>
        <w:tc>
          <w:tcPr>
            <w:tcW w:w="911"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Создание условий и </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257 976,9</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178 929,2</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69,4</w:t>
            </w: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6"/>
        <w:gridCol w:w="3945"/>
        <w:gridCol w:w="2901"/>
        <w:gridCol w:w="1834"/>
        <w:gridCol w:w="2136"/>
        <w:gridCol w:w="2289"/>
        <w:gridCol w:w="2219"/>
      </w:tblGrid>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жилищного строительства на 2011-2013 годы на территории города Когалыма» (постановление Администрации гор</w:t>
            </w:r>
            <w:r>
              <w:rPr>
                <w:rFonts w:ascii="Times New Roman" w:hAnsi="Times New Roman"/>
                <w:sz w:val="20"/>
                <w:szCs w:val="20"/>
              </w:rPr>
              <w:t>ода Когалыма от 18.05.2012 г. №</w:t>
            </w:r>
            <w:r w:rsidRPr="00475E67">
              <w:rPr>
                <w:rFonts w:ascii="Times New Roman" w:hAnsi="Times New Roman"/>
                <w:sz w:val="20"/>
                <w:szCs w:val="20"/>
              </w:rPr>
              <w:t>1168)</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механизмов для увеличения объемов жилищного строительства, одновременно способствующих обеспечению жильем граждан, проживающих на территории города Когалыма</w:t>
            </w:r>
          </w:p>
        </w:tc>
        <w:tc>
          <w:tcPr>
            <w:tcW w:w="576" w:type="pct"/>
            <w:vAlign w:val="center"/>
          </w:tcPr>
          <w:p w:rsidR="004616EA" w:rsidRPr="00475E67" w:rsidRDefault="004616EA" w:rsidP="00D03F73">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D03F73">
            <w:pPr>
              <w:jc w:val="center"/>
              <w:rPr>
                <w:rFonts w:ascii="Times New Roman" w:hAnsi="Times New Roman"/>
                <w:sz w:val="20"/>
                <w:szCs w:val="20"/>
              </w:rPr>
            </w:pPr>
            <w:r w:rsidRPr="00475E67">
              <w:rPr>
                <w:rFonts w:ascii="Times New Roman" w:hAnsi="Times New Roman"/>
                <w:sz w:val="20"/>
                <w:szCs w:val="20"/>
              </w:rPr>
              <w:t>39 959,4</w:t>
            </w:r>
          </w:p>
        </w:tc>
        <w:tc>
          <w:tcPr>
            <w:tcW w:w="719" w:type="pct"/>
            <w:vAlign w:val="center"/>
          </w:tcPr>
          <w:p w:rsidR="004616EA" w:rsidRPr="00475E67" w:rsidRDefault="004616EA" w:rsidP="00D03F73">
            <w:pPr>
              <w:jc w:val="center"/>
              <w:rPr>
                <w:rFonts w:ascii="Times New Roman" w:hAnsi="Times New Roman"/>
                <w:sz w:val="20"/>
                <w:szCs w:val="20"/>
              </w:rPr>
            </w:pPr>
            <w:r w:rsidRPr="00475E67">
              <w:rPr>
                <w:rFonts w:ascii="Times New Roman" w:hAnsi="Times New Roman"/>
                <w:sz w:val="20"/>
                <w:szCs w:val="20"/>
              </w:rPr>
              <w:t>20 624,6</w:t>
            </w:r>
          </w:p>
        </w:tc>
        <w:tc>
          <w:tcPr>
            <w:tcW w:w="697" w:type="pct"/>
            <w:vAlign w:val="center"/>
          </w:tcPr>
          <w:p w:rsidR="004616EA" w:rsidRPr="00475E67" w:rsidRDefault="004616EA" w:rsidP="00D03F73">
            <w:pPr>
              <w:spacing w:after="0"/>
              <w:jc w:val="center"/>
              <w:rPr>
                <w:rFonts w:ascii="Times New Roman" w:hAnsi="Times New Roman"/>
                <w:sz w:val="20"/>
                <w:szCs w:val="20"/>
              </w:rPr>
            </w:pPr>
            <w:r w:rsidRPr="00475E67">
              <w:rPr>
                <w:rFonts w:ascii="Times New Roman" w:hAnsi="Times New Roman"/>
                <w:sz w:val="20"/>
                <w:szCs w:val="20"/>
              </w:rPr>
              <w:t>51,6</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D03F73">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D03F73">
            <w:pPr>
              <w:jc w:val="center"/>
              <w:rPr>
                <w:rFonts w:ascii="Times New Roman" w:hAnsi="Times New Roman"/>
                <w:sz w:val="20"/>
                <w:szCs w:val="20"/>
              </w:rPr>
            </w:pPr>
            <w:r w:rsidRPr="00475E67">
              <w:rPr>
                <w:rFonts w:ascii="Times New Roman" w:hAnsi="Times New Roman"/>
                <w:sz w:val="20"/>
                <w:szCs w:val="20"/>
              </w:rPr>
              <w:t>297 936,3</w:t>
            </w:r>
          </w:p>
        </w:tc>
        <w:tc>
          <w:tcPr>
            <w:tcW w:w="719" w:type="pct"/>
            <w:vAlign w:val="center"/>
          </w:tcPr>
          <w:p w:rsidR="004616EA" w:rsidRPr="00475E67" w:rsidRDefault="004616EA" w:rsidP="00D03F73">
            <w:pPr>
              <w:jc w:val="center"/>
              <w:rPr>
                <w:rFonts w:ascii="Times New Roman" w:hAnsi="Times New Roman"/>
                <w:sz w:val="20"/>
                <w:szCs w:val="20"/>
              </w:rPr>
            </w:pPr>
            <w:r w:rsidRPr="00475E67">
              <w:rPr>
                <w:rFonts w:ascii="Times New Roman" w:hAnsi="Times New Roman"/>
                <w:sz w:val="20"/>
                <w:szCs w:val="20"/>
              </w:rPr>
              <w:t>199 553,8</w:t>
            </w:r>
          </w:p>
        </w:tc>
        <w:tc>
          <w:tcPr>
            <w:tcW w:w="697" w:type="pct"/>
            <w:vAlign w:val="center"/>
          </w:tcPr>
          <w:p w:rsidR="004616EA" w:rsidRPr="00475E67" w:rsidRDefault="004616EA" w:rsidP="00D03F73">
            <w:pPr>
              <w:spacing w:after="0"/>
              <w:jc w:val="center"/>
              <w:rPr>
                <w:rFonts w:ascii="Times New Roman" w:hAnsi="Times New Roman"/>
                <w:sz w:val="20"/>
                <w:szCs w:val="20"/>
              </w:rPr>
            </w:pPr>
            <w:r w:rsidRPr="00475E67">
              <w:rPr>
                <w:rFonts w:ascii="Times New Roman" w:hAnsi="Times New Roman"/>
                <w:sz w:val="20"/>
                <w:szCs w:val="20"/>
              </w:rPr>
              <w:t>67,0</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27</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«Формирование доступной среды жизнедеятельности для инвалидов и маломобильных групп населения в городе Когалыме на 2012-2015 годы» (постановление Администрации гор</w:t>
            </w:r>
            <w:r>
              <w:rPr>
                <w:rFonts w:ascii="Times New Roman" w:hAnsi="Times New Roman"/>
                <w:sz w:val="20"/>
                <w:szCs w:val="20"/>
              </w:rPr>
              <w:t>ода Когалыма от 07.10.2011 г. №</w:t>
            </w:r>
            <w:r w:rsidRPr="00475E67">
              <w:rPr>
                <w:rFonts w:ascii="Times New Roman" w:hAnsi="Times New Roman"/>
                <w:sz w:val="20"/>
                <w:szCs w:val="20"/>
              </w:rPr>
              <w:t>2504)</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Создание благоприятных условий для жизнедеятельности инвалидов и других маломобильных групп населения, обеспечивающих равные возможности доступа к объектам социальной инфраструктуры города и пользования услугами в приоритетных сферах жизни общества</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4 948,9</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4 879,4</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98,6</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4 948,9</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4 879,4</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98,6</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28</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«Организация отдыха, оздоровления детей города Когалыма на 2013-2015 годы» (постановление Администрации горо</w:t>
            </w:r>
            <w:r>
              <w:rPr>
                <w:rFonts w:ascii="Times New Roman" w:hAnsi="Times New Roman"/>
                <w:sz w:val="20"/>
                <w:szCs w:val="20"/>
              </w:rPr>
              <w:t>да Когалыма от 14.06.2013 г.  №</w:t>
            </w:r>
            <w:r w:rsidRPr="00475E67">
              <w:rPr>
                <w:rFonts w:ascii="Times New Roman" w:hAnsi="Times New Roman"/>
                <w:sz w:val="20"/>
                <w:szCs w:val="20"/>
              </w:rPr>
              <w:t>1791)</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Организация отдыха детей в оздоровительных учреждениях различных типов, создание условий для организации досуга детей, в том числе и в каникулярный период</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16 886,9</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16 713,2</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12 650,4</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12 581,9</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99,5</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29 537,3</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29 295,10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99,2</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29</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Долгосрочная целевая программа «Развитие сферы работы с молодежью в городе Когалыме на 2013-2015 годы» (постановление Администрации города Когалыма от </w:t>
            </w:r>
            <w:r>
              <w:rPr>
                <w:rFonts w:ascii="Times New Roman" w:hAnsi="Times New Roman"/>
                <w:sz w:val="20"/>
                <w:szCs w:val="20"/>
              </w:rPr>
              <w:t>05.09.2012 г. №</w:t>
            </w:r>
            <w:r w:rsidRPr="00475E67">
              <w:rPr>
                <w:rFonts w:ascii="Times New Roman" w:hAnsi="Times New Roman"/>
                <w:sz w:val="20"/>
                <w:szCs w:val="20"/>
              </w:rPr>
              <w:t>2123)</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Создание условий для духовного, культурного развития и самореализации молодёжи, роста её созидательной активности в интересах общества</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1 201,9</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1 201,9</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1 201,9</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1 201,9</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bl>
    <w:p w:rsidR="004616EA" w:rsidRDefault="004616EA">
      <w:pPr>
        <w:sectPr w:rsidR="004616EA" w:rsidSect="00CA4050">
          <w:type w:val="continuous"/>
          <w:pgSz w:w="16838" w:h="11906" w:orient="landscape"/>
          <w:pgMar w:top="567" w:right="567" w:bottom="2552"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6"/>
        <w:gridCol w:w="3945"/>
        <w:gridCol w:w="2901"/>
        <w:gridCol w:w="1834"/>
        <w:gridCol w:w="2136"/>
        <w:gridCol w:w="2289"/>
        <w:gridCol w:w="2219"/>
      </w:tblGrid>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30</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Целевая программа «Улучшение жилищных условий молодых учителей в городе Когалыме на 2013 год» (постановление Администрации го</w:t>
            </w:r>
            <w:r>
              <w:rPr>
                <w:rFonts w:ascii="Times New Roman" w:hAnsi="Times New Roman"/>
                <w:sz w:val="20"/>
                <w:szCs w:val="20"/>
              </w:rPr>
              <w:t>рода Когалыма от 15.09.2013 г.№</w:t>
            </w:r>
            <w:r w:rsidRPr="00475E67">
              <w:rPr>
                <w:rFonts w:ascii="Times New Roman" w:hAnsi="Times New Roman"/>
                <w:sz w:val="20"/>
                <w:szCs w:val="20"/>
              </w:rPr>
              <w:t>1331)</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Улучшение жилищных условий молодых учителей, проживающих в городе Когалыме</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федеральный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180,0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0,0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200,0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0,0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42,1</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0,0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итого</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422,1</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0,0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31</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«Реконструкция и ремонт, в том числе капитальный, объектов муниципальной собственности города Когалыма на 2013 год и период 2014-2015 годов» (постановление Администрации горо</w:t>
            </w:r>
            <w:r>
              <w:rPr>
                <w:rFonts w:ascii="Times New Roman" w:hAnsi="Times New Roman"/>
                <w:sz w:val="20"/>
                <w:szCs w:val="20"/>
              </w:rPr>
              <w:t>да Когалыма от 21.03.2013 г.  №</w:t>
            </w:r>
            <w:r w:rsidRPr="00475E67">
              <w:rPr>
                <w:rFonts w:ascii="Times New Roman" w:hAnsi="Times New Roman"/>
                <w:sz w:val="20"/>
                <w:szCs w:val="20"/>
              </w:rPr>
              <w:t>668)</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Улучшение технических характеристик объектов муниципальной собственности; сохранение и поддержание объектов муниципальной собственности, в состоянии соответствующим строительным и техническим нормам; повышение качества предоставляемых услуг населению учреждениями города Когалыма; улучшение архитектурного облика города, обеспечение его динамичного развития</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307 775,4</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290 864,2</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94,5</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итого</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307 775,4</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290 864,2</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94,5</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32</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Муниципальная адресная программа по переселению граждан из аварийного жилищного фонда города Когалыма на 2013-2015 годы (постановление Администрации гор</w:t>
            </w:r>
            <w:r>
              <w:rPr>
                <w:rFonts w:ascii="Times New Roman" w:hAnsi="Times New Roman"/>
                <w:sz w:val="20"/>
                <w:szCs w:val="20"/>
              </w:rPr>
              <w:t>ода Когалыма от 31.05.2013 г. №</w:t>
            </w:r>
            <w:r w:rsidRPr="00475E67">
              <w:rPr>
                <w:rFonts w:ascii="Times New Roman" w:hAnsi="Times New Roman"/>
                <w:sz w:val="20"/>
                <w:szCs w:val="20"/>
              </w:rPr>
              <w:t>1619)</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Сокращение аварийного жилищного фонда города Когалыма; Улучшение жилищных условий населения города Когалыма путем их переселения из аварийных многоквартирных домов</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федеральный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43 571,1</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35 038,7</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80,5</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219 263,1</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170 808,9</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77,9</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8 101,2</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4 686,9</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57,9</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итого</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270 935,4</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210 534,5</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77,7</w:t>
            </w: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6"/>
        <w:gridCol w:w="3945"/>
        <w:gridCol w:w="2901"/>
        <w:gridCol w:w="1834"/>
        <w:gridCol w:w="2136"/>
        <w:gridCol w:w="2289"/>
        <w:gridCol w:w="2219"/>
      </w:tblGrid>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33</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Муниципальная программа «Энергосбережение и повышение энергетической эффективности в городе Когалыме на 2011-2015 годы и на перспективу до 2020 года» (постановление Администрации города </w:t>
            </w:r>
            <w:r>
              <w:rPr>
                <w:rFonts w:ascii="Times New Roman" w:hAnsi="Times New Roman"/>
                <w:sz w:val="20"/>
                <w:szCs w:val="20"/>
              </w:rPr>
              <w:t>Когалыма от 23.04.2013 г. №</w:t>
            </w:r>
            <w:r w:rsidRPr="00475E67">
              <w:rPr>
                <w:rFonts w:ascii="Times New Roman" w:hAnsi="Times New Roman"/>
                <w:sz w:val="20"/>
                <w:szCs w:val="20"/>
              </w:rPr>
              <w:t>1152)</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Реализация потенциала энергосбережения города Когалыма; создание системы, направленной на постоянное повышение эффективности использования энергоресурсов; активное вовлечение всех групп потребителей в энергоресурсосбережение</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0,0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0,0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итого</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0,0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0,0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w:t>
            </w:r>
          </w:p>
        </w:tc>
      </w:tr>
      <w:tr w:rsidR="004616EA" w:rsidRPr="00475E67" w:rsidTr="00DE0DA0">
        <w:trPr>
          <w:trHeight w:val="21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p>
        </w:tc>
        <w:tc>
          <w:tcPr>
            <w:tcW w:w="1239" w:type="pct"/>
          </w:tcPr>
          <w:p w:rsidR="004616EA" w:rsidRPr="00475E67" w:rsidRDefault="004616EA" w:rsidP="004E5F17">
            <w:pPr>
              <w:rPr>
                <w:rFonts w:ascii="Times New Roman" w:hAnsi="Times New Roman"/>
                <w:sz w:val="20"/>
                <w:szCs w:val="20"/>
              </w:rPr>
            </w:pPr>
            <w:r w:rsidRPr="00475E67">
              <w:rPr>
                <w:rFonts w:ascii="Times New Roman" w:hAnsi="Times New Roman"/>
                <w:sz w:val="20"/>
                <w:szCs w:val="20"/>
              </w:rPr>
              <w:t>Всего</w:t>
            </w:r>
          </w:p>
        </w:tc>
        <w:tc>
          <w:tcPr>
            <w:tcW w:w="1487" w:type="pct"/>
            <w:gridSpan w:val="2"/>
            <w:vAlign w:val="center"/>
          </w:tcPr>
          <w:p w:rsidR="004616EA" w:rsidRPr="00475E67" w:rsidRDefault="004616EA" w:rsidP="004E5F17">
            <w:pPr>
              <w:spacing w:after="0"/>
              <w:rPr>
                <w:rFonts w:ascii="Times New Roman" w:hAnsi="Times New Roman"/>
                <w:sz w:val="20"/>
                <w:szCs w:val="20"/>
              </w:rPr>
            </w:pPr>
          </w:p>
        </w:tc>
        <w:tc>
          <w:tcPr>
            <w:tcW w:w="671" w:type="pct"/>
            <w:vAlign w:val="center"/>
          </w:tcPr>
          <w:p w:rsidR="004616EA" w:rsidRPr="00475E67" w:rsidRDefault="004616EA" w:rsidP="004E5F17">
            <w:pPr>
              <w:spacing w:after="0"/>
              <w:jc w:val="center"/>
              <w:rPr>
                <w:rFonts w:ascii="Times New Roman" w:hAnsi="Times New Roman"/>
                <w:b/>
                <w:bCs/>
                <w:sz w:val="20"/>
                <w:szCs w:val="20"/>
              </w:rPr>
            </w:pPr>
            <w:r w:rsidRPr="00475E67">
              <w:rPr>
                <w:rFonts w:ascii="Times New Roman" w:hAnsi="Times New Roman"/>
                <w:b/>
                <w:bCs/>
                <w:sz w:val="20"/>
                <w:szCs w:val="20"/>
              </w:rPr>
              <w:t>1 501 875,1</w:t>
            </w:r>
          </w:p>
        </w:tc>
        <w:tc>
          <w:tcPr>
            <w:tcW w:w="719" w:type="pct"/>
            <w:vAlign w:val="center"/>
          </w:tcPr>
          <w:p w:rsidR="004616EA" w:rsidRPr="00475E67" w:rsidRDefault="004616EA" w:rsidP="004E5F17">
            <w:pPr>
              <w:spacing w:after="0"/>
              <w:jc w:val="center"/>
              <w:rPr>
                <w:rFonts w:ascii="Times New Roman" w:hAnsi="Times New Roman"/>
                <w:b/>
                <w:bCs/>
                <w:sz w:val="20"/>
                <w:szCs w:val="20"/>
              </w:rPr>
            </w:pPr>
            <w:r w:rsidRPr="00475E67">
              <w:rPr>
                <w:rFonts w:ascii="Times New Roman" w:hAnsi="Times New Roman"/>
                <w:b/>
                <w:bCs/>
                <w:sz w:val="20"/>
                <w:szCs w:val="20"/>
              </w:rPr>
              <w:t>1 265 302,0</w:t>
            </w:r>
          </w:p>
        </w:tc>
        <w:tc>
          <w:tcPr>
            <w:tcW w:w="697" w:type="pct"/>
            <w:vAlign w:val="center"/>
          </w:tcPr>
          <w:p w:rsidR="004616EA" w:rsidRPr="00475E67" w:rsidRDefault="004616EA" w:rsidP="004E5F17">
            <w:pPr>
              <w:spacing w:after="0"/>
              <w:jc w:val="center"/>
              <w:rPr>
                <w:rFonts w:ascii="Times New Roman" w:hAnsi="Times New Roman"/>
                <w:b/>
                <w:sz w:val="20"/>
                <w:szCs w:val="20"/>
              </w:rPr>
            </w:pPr>
            <w:r w:rsidRPr="00475E67">
              <w:rPr>
                <w:rFonts w:ascii="Times New Roman" w:hAnsi="Times New Roman"/>
                <w:b/>
                <w:sz w:val="20"/>
                <w:szCs w:val="20"/>
              </w:rPr>
              <w:t>84,2</w:t>
            </w:r>
          </w:p>
        </w:tc>
      </w:tr>
      <w:tr w:rsidR="004616EA" w:rsidRPr="00475E67" w:rsidTr="00DE0DA0">
        <w:trPr>
          <w:gridAfter w:val="6"/>
          <w:wAfter w:w="4813" w:type="pct"/>
          <w:trHeight w:val="26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tcPr>
          <w:p w:rsidR="004616EA" w:rsidRPr="00475E67" w:rsidRDefault="004616EA" w:rsidP="004E5F17">
            <w:pPr>
              <w:rPr>
                <w:rFonts w:ascii="Times New Roman" w:hAnsi="Times New Roman"/>
                <w:sz w:val="20"/>
                <w:szCs w:val="20"/>
              </w:rPr>
            </w:pPr>
            <w:r w:rsidRPr="00475E67">
              <w:rPr>
                <w:rFonts w:ascii="Times New Roman" w:hAnsi="Times New Roman"/>
                <w:sz w:val="20"/>
                <w:szCs w:val="20"/>
              </w:rPr>
              <w:t>Федеральный бюджет</w:t>
            </w:r>
          </w:p>
        </w:tc>
        <w:tc>
          <w:tcPr>
            <w:tcW w:w="1487" w:type="pct"/>
            <w:gridSpan w:val="2"/>
            <w:vAlign w:val="center"/>
          </w:tcPr>
          <w:p w:rsidR="004616EA" w:rsidRPr="00475E67" w:rsidRDefault="004616EA" w:rsidP="004E5F17">
            <w:pPr>
              <w:spacing w:after="0"/>
              <w:rPr>
                <w:rFonts w:ascii="Times New Roman" w:hAnsi="Times New Roman"/>
                <w:sz w:val="20"/>
                <w:szCs w:val="20"/>
              </w:rPr>
            </w:pPr>
          </w:p>
        </w:tc>
        <w:tc>
          <w:tcPr>
            <w:tcW w:w="671" w:type="pct"/>
            <w:vAlign w:val="center"/>
          </w:tcPr>
          <w:p w:rsidR="004616EA" w:rsidRPr="00475E67" w:rsidRDefault="004616EA" w:rsidP="004E5F17">
            <w:pPr>
              <w:spacing w:after="0"/>
              <w:jc w:val="center"/>
              <w:rPr>
                <w:rFonts w:ascii="Times New Roman" w:hAnsi="Times New Roman"/>
                <w:b/>
                <w:bCs/>
                <w:sz w:val="20"/>
                <w:szCs w:val="20"/>
              </w:rPr>
            </w:pPr>
            <w:r w:rsidRPr="00475E67">
              <w:rPr>
                <w:rFonts w:ascii="Times New Roman" w:hAnsi="Times New Roman"/>
                <w:b/>
                <w:bCs/>
                <w:sz w:val="20"/>
                <w:szCs w:val="20"/>
              </w:rPr>
              <w:t>57 356,7</w:t>
            </w:r>
          </w:p>
        </w:tc>
        <w:tc>
          <w:tcPr>
            <w:tcW w:w="719" w:type="pct"/>
            <w:vAlign w:val="center"/>
          </w:tcPr>
          <w:p w:rsidR="004616EA" w:rsidRPr="00475E67" w:rsidRDefault="004616EA" w:rsidP="004E5F17">
            <w:pPr>
              <w:spacing w:after="0"/>
              <w:jc w:val="center"/>
              <w:rPr>
                <w:rFonts w:ascii="Times New Roman" w:hAnsi="Times New Roman"/>
                <w:b/>
                <w:bCs/>
                <w:sz w:val="20"/>
                <w:szCs w:val="20"/>
              </w:rPr>
            </w:pPr>
            <w:r w:rsidRPr="00475E67">
              <w:rPr>
                <w:rFonts w:ascii="Times New Roman" w:hAnsi="Times New Roman"/>
                <w:b/>
                <w:bCs/>
                <w:sz w:val="20"/>
                <w:szCs w:val="20"/>
              </w:rPr>
              <w:t>48 473,7</w:t>
            </w:r>
          </w:p>
        </w:tc>
        <w:tc>
          <w:tcPr>
            <w:tcW w:w="697" w:type="pct"/>
            <w:vAlign w:val="center"/>
          </w:tcPr>
          <w:p w:rsidR="004616EA" w:rsidRPr="00475E67" w:rsidRDefault="004616EA" w:rsidP="004E5F17">
            <w:pPr>
              <w:spacing w:after="0"/>
              <w:jc w:val="center"/>
              <w:rPr>
                <w:rFonts w:ascii="Times New Roman" w:hAnsi="Times New Roman"/>
                <w:b/>
                <w:sz w:val="20"/>
                <w:szCs w:val="20"/>
              </w:rPr>
            </w:pPr>
            <w:r w:rsidRPr="00475E67">
              <w:rPr>
                <w:rFonts w:ascii="Times New Roman" w:hAnsi="Times New Roman"/>
                <w:b/>
                <w:sz w:val="20"/>
                <w:szCs w:val="20"/>
              </w:rPr>
              <w:t>84,5</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tcPr>
          <w:p w:rsidR="004616EA" w:rsidRPr="00475E67" w:rsidRDefault="004616EA" w:rsidP="004E5F17">
            <w:pPr>
              <w:rPr>
                <w:rFonts w:ascii="Times New Roman" w:hAnsi="Times New Roman"/>
                <w:sz w:val="20"/>
                <w:szCs w:val="20"/>
              </w:rPr>
            </w:pPr>
            <w:r w:rsidRPr="00475E67">
              <w:rPr>
                <w:rFonts w:ascii="Times New Roman" w:hAnsi="Times New Roman"/>
                <w:sz w:val="20"/>
                <w:szCs w:val="20"/>
              </w:rPr>
              <w:t>Бюджет автономного округа</w:t>
            </w:r>
          </w:p>
        </w:tc>
        <w:tc>
          <w:tcPr>
            <w:tcW w:w="1487" w:type="pct"/>
            <w:gridSpan w:val="2"/>
            <w:vAlign w:val="center"/>
          </w:tcPr>
          <w:p w:rsidR="004616EA" w:rsidRPr="00475E67" w:rsidRDefault="004616EA" w:rsidP="004E5F17">
            <w:pPr>
              <w:spacing w:after="0"/>
              <w:rPr>
                <w:rFonts w:ascii="Times New Roman" w:hAnsi="Times New Roman"/>
                <w:sz w:val="20"/>
                <w:szCs w:val="20"/>
              </w:rPr>
            </w:pPr>
          </w:p>
        </w:tc>
        <w:tc>
          <w:tcPr>
            <w:tcW w:w="671" w:type="pct"/>
            <w:vAlign w:val="center"/>
          </w:tcPr>
          <w:p w:rsidR="004616EA" w:rsidRPr="00475E67" w:rsidRDefault="004616EA" w:rsidP="004E5F17">
            <w:pPr>
              <w:spacing w:after="0"/>
              <w:jc w:val="center"/>
              <w:rPr>
                <w:rFonts w:ascii="Times New Roman" w:hAnsi="Times New Roman"/>
                <w:b/>
                <w:bCs/>
                <w:sz w:val="20"/>
                <w:szCs w:val="20"/>
              </w:rPr>
            </w:pPr>
            <w:r w:rsidRPr="00475E67">
              <w:rPr>
                <w:rFonts w:ascii="Times New Roman" w:hAnsi="Times New Roman"/>
                <w:b/>
                <w:bCs/>
                <w:sz w:val="20"/>
                <w:szCs w:val="20"/>
              </w:rPr>
              <w:t>713 558,0</w:t>
            </w:r>
          </w:p>
        </w:tc>
        <w:tc>
          <w:tcPr>
            <w:tcW w:w="719" w:type="pct"/>
            <w:vAlign w:val="center"/>
          </w:tcPr>
          <w:p w:rsidR="004616EA" w:rsidRPr="00475E67" w:rsidRDefault="004616EA" w:rsidP="004E5F17">
            <w:pPr>
              <w:spacing w:after="0"/>
              <w:jc w:val="center"/>
              <w:rPr>
                <w:rFonts w:ascii="Times New Roman" w:hAnsi="Times New Roman"/>
                <w:b/>
                <w:bCs/>
                <w:sz w:val="20"/>
                <w:szCs w:val="20"/>
              </w:rPr>
            </w:pPr>
            <w:r w:rsidRPr="00475E67">
              <w:rPr>
                <w:rFonts w:ascii="Times New Roman" w:hAnsi="Times New Roman"/>
                <w:b/>
                <w:bCs/>
                <w:sz w:val="20"/>
                <w:szCs w:val="20"/>
              </w:rPr>
              <w:t>559 986,5</w:t>
            </w:r>
          </w:p>
        </w:tc>
        <w:tc>
          <w:tcPr>
            <w:tcW w:w="697" w:type="pct"/>
            <w:vAlign w:val="center"/>
          </w:tcPr>
          <w:p w:rsidR="004616EA" w:rsidRPr="00475E67" w:rsidRDefault="004616EA" w:rsidP="004E5F17">
            <w:pPr>
              <w:spacing w:after="0"/>
              <w:jc w:val="center"/>
              <w:rPr>
                <w:rFonts w:ascii="Times New Roman" w:hAnsi="Times New Roman"/>
                <w:b/>
                <w:sz w:val="20"/>
                <w:szCs w:val="20"/>
              </w:rPr>
            </w:pPr>
            <w:r w:rsidRPr="00475E67">
              <w:rPr>
                <w:rFonts w:ascii="Times New Roman" w:hAnsi="Times New Roman"/>
                <w:b/>
                <w:sz w:val="20"/>
                <w:szCs w:val="20"/>
              </w:rPr>
              <w:t>78,5</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tcPr>
          <w:p w:rsidR="004616EA" w:rsidRPr="00475E67" w:rsidRDefault="004616EA" w:rsidP="004E5F17">
            <w:pPr>
              <w:rPr>
                <w:rFonts w:ascii="Times New Roman" w:hAnsi="Times New Roman"/>
                <w:sz w:val="20"/>
                <w:szCs w:val="20"/>
              </w:rPr>
            </w:pPr>
            <w:r w:rsidRPr="00475E67">
              <w:rPr>
                <w:rFonts w:ascii="Times New Roman" w:hAnsi="Times New Roman"/>
                <w:sz w:val="20"/>
                <w:szCs w:val="20"/>
              </w:rPr>
              <w:t>Городской бюджет</w:t>
            </w:r>
          </w:p>
        </w:tc>
        <w:tc>
          <w:tcPr>
            <w:tcW w:w="1487" w:type="pct"/>
            <w:gridSpan w:val="2"/>
            <w:vAlign w:val="center"/>
          </w:tcPr>
          <w:p w:rsidR="004616EA" w:rsidRPr="00475E67" w:rsidRDefault="004616EA" w:rsidP="004E5F17">
            <w:pPr>
              <w:spacing w:after="0"/>
              <w:rPr>
                <w:rFonts w:ascii="Times New Roman" w:hAnsi="Times New Roman"/>
                <w:sz w:val="20"/>
                <w:szCs w:val="20"/>
              </w:rPr>
            </w:pPr>
          </w:p>
        </w:tc>
        <w:tc>
          <w:tcPr>
            <w:tcW w:w="671" w:type="pct"/>
            <w:vAlign w:val="center"/>
          </w:tcPr>
          <w:p w:rsidR="004616EA" w:rsidRPr="00475E67" w:rsidRDefault="004616EA" w:rsidP="004E5F17">
            <w:pPr>
              <w:spacing w:after="0"/>
              <w:jc w:val="center"/>
              <w:rPr>
                <w:rFonts w:ascii="Times New Roman" w:hAnsi="Times New Roman"/>
                <w:b/>
                <w:bCs/>
                <w:sz w:val="20"/>
                <w:szCs w:val="20"/>
              </w:rPr>
            </w:pPr>
            <w:r w:rsidRPr="00475E67">
              <w:rPr>
                <w:rFonts w:ascii="Times New Roman" w:hAnsi="Times New Roman"/>
                <w:b/>
                <w:bCs/>
                <w:sz w:val="20"/>
                <w:szCs w:val="20"/>
              </w:rPr>
              <w:t>727 482,6</w:t>
            </w:r>
          </w:p>
        </w:tc>
        <w:tc>
          <w:tcPr>
            <w:tcW w:w="719" w:type="pct"/>
            <w:vAlign w:val="center"/>
          </w:tcPr>
          <w:p w:rsidR="004616EA" w:rsidRPr="00475E67" w:rsidRDefault="004616EA" w:rsidP="004E5F17">
            <w:pPr>
              <w:spacing w:after="0"/>
              <w:jc w:val="center"/>
              <w:rPr>
                <w:rFonts w:ascii="Times New Roman" w:hAnsi="Times New Roman"/>
                <w:b/>
                <w:bCs/>
                <w:sz w:val="20"/>
                <w:szCs w:val="20"/>
              </w:rPr>
            </w:pPr>
            <w:r w:rsidRPr="00475E67">
              <w:rPr>
                <w:rFonts w:ascii="Times New Roman" w:hAnsi="Times New Roman"/>
                <w:b/>
                <w:bCs/>
                <w:sz w:val="20"/>
                <w:szCs w:val="20"/>
              </w:rPr>
              <w:t>653 364,0</w:t>
            </w:r>
          </w:p>
        </w:tc>
        <w:tc>
          <w:tcPr>
            <w:tcW w:w="697" w:type="pct"/>
            <w:vAlign w:val="center"/>
          </w:tcPr>
          <w:p w:rsidR="004616EA" w:rsidRPr="00475E67" w:rsidRDefault="004616EA" w:rsidP="004E5F17">
            <w:pPr>
              <w:spacing w:after="0"/>
              <w:jc w:val="center"/>
              <w:rPr>
                <w:rFonts w:ascii="Times New Roman" w:hAnsi="Times New Roman"/>
                <w:b/>
                <w:sz w:val="20"/>
                <w:szCs w:val="20"/>
              </w:rPr>
            </w:pPr>
            <w:r w:rsidRPr="00475E67">
              <w:rPr>
                <w:rFonts w:ascii="Times New Roman" w:hAnsi="Times New Roman"/>
                <w:b/>
                <w:sz w:val="20"/>
                <w:szCs w:val="20"/>
              </w:rPr>
              <w:t>89,8</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tcPr>
          <w:p w:rsidR="004616EA" w:rsidRPr="00475E67" w:rsidRDefault="004616EA" w:rsidP="004E5F17">
            <w:pPr>
              <w:rPr>
                <w:rFonts w:ascii="Times New Roman" w:hAnsi="Times New Roman"/>
                <w:sz w:val="20"/>
                <w:szCs w:val="20"/>
              </w:rPr>
            </w:pPr>
            <w:r w:rsidRPr="00475E67">
              <w:rPr>
                <w:rFonts w:ascii="Times New Roman" w:hAnsi="Times New Roman"/>
                <w:sz w:val="20"/>
                <w:szCs w:val="20"/>
              </w:rPr>
              <w:t>Привлеченные средства</w:t>
            </w:r>
          </w:p>
        </w:tc>
        <w:tc>
          <w:tcPr>
            <w:tcW w:w="1487" w:type="pct"/>
            <w:gridSpan w:val="2"/>
            <w:vAlign w:val="center"/>
          </w:tcPr>
          <w:p w:rsidR="004616EA" w:rsidRPr="00475E67" w:rsidRDefault="004616EA" w:rsidP="004E5F17">
            <w:pPr>
              <w:spacing w:after="0"/>
              <w:rPr>
                <w:rFonts w:ascii="Times New Roman" w:hAnsi="Times New Roman"/>
                <w:sz w:val="20"/>
                <w:szCs w:val="20"/>
              </w:rPr>
            </w:pPr>
          </w:p>
        </w:tc>
        <w:tc>
          <w:tcPr>
            <w:tcW w:w="671" w:type="pct"/>
            <w:vAlign w:val="center"/>
          </w:tcPr>
          <w:p w:rsidR="004616EA" w:rsidRPr="00475E67" w:rsidRDefault="004616EA" w:rsidP="004E5F17">
            <w:pPr>
              <w:spacing w:after="0"/>
              <w:jc w:val="center"/>
              <w:rPr>
                <w:rFonts w:ascii="Times New Roman" w:hAnsi="Times New Roman"/>
                <w:b/>
                <w:bCs/>
                <w:sz w:val="20"/>
                <w:szCs w:val="20"/>
              </w:rPr>
            </w:pPr>
            <w:r w:rsidRPr="00475E67">
              <w:rPr>
                <w:rFonts w:ascii="Times New Roman" w:hAnsi="Times New Roman"/>
                <w:b/>
                <w:bCs/>
                <w:sz w:val="20"/>
                <w:szCs w:val="20"/>
              </w:rPr>
              <w:t>3 477,8</w:t>
            </w:r>
          </w:p>
        </w:tc>
        <w:tc>
          <w:tcPr>
            <w:tcW w:w="719" w:type="pct"/>
            <w:vAlign w:val="center"/>
          </w:tcPr>
          <w:p w:rsidR="004616EA" w:rsidRPr="00475E67" w:rsidRDefault="004616EA" w:rsidP="004E5F17">
            <w:pPr>
              <w:spacing w:after="0"/>
              <w:jc w:val="center"/>
              <w:rPr>
                <w:rFonts w:ascii="Times New Roman" w:hAnsi="Times New Roman"/>
                <w:b/>
                <w:bCs/>
                <w:sz w:val="20"/>
                <w:szCs w:val="20"/>
              </w:rPr>
            </w:pPr>
            <w:r w:rsidRPr="00475E67">
              <w:rPr>
                <w:rFonts w:ascii="Times New Roman" w:hAnsi="Times New Roman"/>
                <w:b/>
                <w:bCs/>
                <w:sz w:val="20"/>
                <w:szCs w:val="20"/>
              </w:rPr>
              <w:t>3 477,8</w:t>
            </w:r>
          </w:p>
        </w:tc>
        <w:tc>
          <w:tcPr>
            <w:tcW w:w="697" w:type="pct"/>
            <w:vAlign w:val="center"/>
          </w:tcPr>
          <w:p w:rsidR="004616EA" w:rsidRPr="00475E67" w:rsidRDefault="004616EA" w:rsidP="004E5F17">
            <w:pPr>
              <w:spacing w:after="0"/>
              <w:jc w:val="center"/>
              <w:rPr>
                <w:rFonts w:ascii="Times New Roman" w:hAnsi="Times New Roman"/>
                <w:b/>
                <w:sz w:val="20"/>
                <w:szCs w:val="20"/>
              </w:rPr>
            </w:pPr>
            <w:r w:rsidRPr="00475E67">
              <w:rPr>
                <w:rFonts w:ascii="Times New Roman" w:hAnsi="Times New Roman"/>
                <w:b/>
                <w:sz w:val="20"/>
                <w:szCs w:val="20"/>
              </w:rPr>
              <w:t>100,0</w:t>
            </w:r>
          </w:p>
        </w:tc>
      </w:tr>
    </w:tbl>
    <w:p w:rsidR="004616EA" w:rsidRPr="00475E67" w:rsidRDefault="004616EA" w:rsidP="00ED7283">
      <w:pPr>
        <w:jc w:val="both"/>
        <w:rPr>
          <w:rFonts w:ascii="Times New Roman" w:hAnsi="Times New Roman"/>
          <w:sz w:val="16"/>
          <w:szCs w:val="16"/>
        </w:rPr>
      </w:pPr>
    </w:p>
    <w:p w:rsidR="004616EA" w:rsidRPr="00475E67" w:rsidRDefault="004616EA" w:rsidP="00ED7283">
      <w:pPr>
        <w:jc w:val="both"/>
        <w:rPr>
          <w:rFonts w:ascii="Times New Roman" w:hAnsi="Times New Roman"/>
          <w:sz w:val="24"/>
          <w:szCs w:val="24"/>
        </w:rPr>
        <w:sectPr w:rsidR="004616EA" w:rsidRPr="00475E67" w:rsidSect="00CA4050">
          <w:type w:val="continuous"/>
          <w:pgSz w:w="16838" w:h="11906" w:orient="landscape"/>
          <w:pgMar w:top="567" w:right="567" w:bottom="2552" w:left="567" w:header="709" w:footer="709" w:gutter="0"/>
          <w:cols w:space="708"/>
          <w:docGrid w:linePitch="360"/>
        </w:sectPr>
      </w:pPr>
    </w:p>
    <w:p w:rsidR="004616EA" w:rsidRPr="00D03F73" w:rsidRDefault="004616EA" w:rsidP="00D03F73">
      <w:pPr>
        <w:pStyle w:val="1"/>
        <w:spacing w:before="0" w:after="0"/>
        <w:rPr>
          <w:sz w:val="26"/>
          <w:szCs w:val="26"/>
        </w:rPr>
      </w:pPr>
      <w:bookmarkStart w:id="426" w:name="_Toc405805570"/>
      <w:r w:rsidRPr="00D03F73">
        <w:rPr>
          <w:sz w:val="26"/>
          <w:szCs w:val="26"/>
        </w:rPr>
        <w:t>ПРИЛОЖЕНИЕ Г</w:t>
      </w:r>
      <w:bookmarkEnd w:id="426"/>
    </w:p>
    <w:p w:rsidR="004616EA" w:rsidRPr="00D03F73" w:rsidRDefault="004616EA" w:rsidP="00D03F73">
      <w:pPr>
        <w:spacing w:after="0" w:line="240" w:lineRule="auto"/>
        <w:jc w:val="both"/>
        <w:rPr>
          <w:rFonts w:ascii="Times New Roman" w:hAnsi="Times New Roman"/>
          <w:sz w:val="26"/>
          <w:szCs w:val="26"/>
        </w:rPr>
      </w:pPr>
      <w:r w:rsidRPr="00D03F73">
        <w:rPr>
          <w:rFonts w:ascii="Times New Roman" w:hAnsi="Times New Roman"/>
          <w:sz w:val="26"/>
          <w:szCs w:val="26"/>
        </w:rPr>
        <w:t>Таблица Г.1 - Основные показатели реализации инерционного сценария социально-экономического развития городского округа город Когалым до 2030 г.</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25"/>
        <w:gridCol w:w="2684"/>
        <w:gridCol w:w="1032"/>
        <w:gridCol w:w="1146"/>
        <w:gridCol w:w="1035"/>
        <w:gridCol w:w="1057"/>
        <w:gridCol w:w="1102"/>
        <w:gridCol w:w="1191"/>
        <w:gridCol w:w="1191"/>
        <w:gridCol w:w="1191"/>
        <w:gridCol w:w="1191"/>
        <w:gridCol w:w="1191"/>
        <w:gridCol w:w="1184"/>
      </w:tblGrid>
      <w:tr w:rsidR="004616EA" w:rsidRPr="00283B39" w:rsidTr="00D03F73">
        <w:trPr>
          <w:trHeight w:val="301"/>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i/>
                <w:sz w:val="20"/>
                <w:szCs w:val="20"/>
              </w:rPr>
            </w:pPr>
            <w:r w:rsidRPr="00283B39">
              <w:rPr>
                <w:rFonts w:ascii="Times New Roman" w:hAnsi="Times New Roman"/>
                <w:i/>
                <w:sz w:val="20"/>
                <w:szCs w:val="20"/>
              </w:rPr>
              <w:t>№ п/п</w:t>
            </w:r>
          </w:p>
        </w:tc>
        <w:tc>
          <w:tcPr>
            <w:tcW w:w="843" w:type="pct"/>
            <w:tcMar>
              <w:left w:w="108" w:type="dxa"/>
              <w:right w:w="108" w:type="dxa"/>
            </w:tcMar>
          </w:tcPr>
          <w:p w:rsidR="004616EA" w:rsidRPr="00283B39" w:rsidRDefault="004616EA" w:rsidP="001704D9">
            <w:pPr>
              <w:spacing w:line="240" w:lineRule="auto"/>
              <w:rPr>
                <w:rFonts w:ascii="Times New Roman" w:hAnsi="Times New Roman"/>
                <w:i/>
                <w:sz w:val="20"/>
                <w:szCs w:val="20"/>
              </w:rPr>
            </w:pPr>
            <w:r w:rsidRPr="00283B39">
              <w:rPr>
                <w:rFonts w:ascii="Times New Roman" w:hAnsi="Times New Roman"/>
                <w:i/>
                <w:sz w:val="20"/>
                <w:szCs w:val="20"/>
              </w:rPr>
              <w:t>Наименования показателей и их групп</w:t>
            </w:r>
          </w:p>
        </w:tc>
        <w:tc>
          <w:tcPr>
            <w:tcW w:w="32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2010 год</w:t>
            </w:r>
          </w:p>
        </w:tc>
        <w:tc>
          <w:tcPr>
            <w:tcW w:w="360"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2011 год</w:t>
            </w:r>
          </w:p>
        </w:tc>
        <w:tc>
          <w:tcPr>
            <w:tcW w:w="325"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2012 год</w:t>
            </w:r>
          </w:p>
        </w:tc>
        <w:tc>
          <w:tcPr>
            <w:tcW w:w="332"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2013 год</w:t>
            </w:r>
          </w:p>
        </w:tc>
        <w:tc>
          <w:tcPr>
            <w:tcW w:w="346"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2014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(оценка)</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2015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2016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2018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2020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 xml:space="preserve"> 2025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2"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2030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r>
      <w:tr w:rsidR="004616EA" w:rsidRPr="00283B39" w:rsidTr="00D03F73">
        <w:trPr>
          <w:trHeight w:val="70"/>
          <w:jc w:val="center"/>
        </w:trPr>
        <w:tc>
          <w:tcPr>
            <w:tcW w:w="228"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w:t>
            </w:r>
          </w:p>
        </w:tc>
        <w:tc>
          <w:tcPr>
            <w:tcW w:w="843"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w:t>
            </w:r>
          </w:p>
        </w:tc>
        <w:tc>
          <w:tcPr>
            <w:tcW w:w="32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3</w:t>
            </w:r>
          </w:p>
        </w:tc>
        <w:tc>
          <w:tcPr>
            <w:tcW w:w="360"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4</w:t>
            </w:r>
          </w:p>
        </w:tc>
        <w:tc>
          <w:tcPr>
            <w:tcW w:w="325"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5</w:t>
            </w:r>
          </w:p>
        </w:tc>
        <w:tc>
          <w:tcPr>
            <w:tcW w:w="332"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6</w:t>
            </w:r>
          </w:p>
        </w:tc>
        <w:tc>
          <w:tcPr>
            <w:tcW w:w="346"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7</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8</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9</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10</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11</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12</w:t>
            </w:r>
          </w:p>
        </w:tc>
        <w:tc>
          <w:tcPr>
            <w:tcW w:w="372"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13</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Демографические показатели</w:t>
            </w:r>
          </w:p>
        </w:tc>
        <w:tc>
          <w:tcPr>
            <w:tcW w:w="32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6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25"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32"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46"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2"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r>
      <w:tr w:rsidR="004616EA" w:rsidRPr="00283B39" w:rsidTr="00D03F73">
        <w:trPr>
          <w:trHeight w:val="38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Численность постоянного населения (среднегодовая) тыс. чел.</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58,5</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59,5</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60,6</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val="en-US" w:eastAsia="ru-RU"/>
              </w:rPr>
              <w:t>61</w:t>
            </w:r>
            <w:r w:rsidRPr="00283B39">
              <w:rPr>
                <w:rFonts w:ascii="Times New Roman" w:hAnsi="Times New Roman"/>
                <w:sz w:val="20"/>
                <w:szCs w:val="20"/>
                <w:lang w:eastAsia="ru-RU"/>
              </w:rPr>
              <w:t>,</w:t>
            </w:r>
            <w:r w:rsidRPr="00283B39">
              <w:rPr>
                <w:rFonts w:ascii="Times New Roman" w:hAnsi="Times New Roman"/>
                <w:sz w:val="20"/>
                <w:szCs w:val="20"/>
                <w:lang w:val="en-US" w:eastAsia="ru-RU"/>
              </w:rPr>
              <w:t>68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63,63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65,5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67,0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68,8</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70,0</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Численность постоянного населения (на конец года) тыс. чел.</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58,6</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58,9</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60,1</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61,1</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63,2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64,07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65,8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67,2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69,0</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70,1</w:t>
            </w:r>
          </w:p>
        </w:tc>
      </w:tr>
      <w:tr w:rsidR="004616EA" w:rsidRPr="00283B39" w:rsidTr="00D03F73">
        <w:trPr>
          <w:trHeight w:val="461"/>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Коэффициент рождаемости на 1000 человек среднегодового населения</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16,5</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16,5</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17,0</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16,4</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15,6</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15,5</w:t>
            </w: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Коэффициент общей смертности на 1000 человек среднегодового населения</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4,0</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3,7</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3,6</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3,6</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3,6</w:t>
            </w: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Коэффициент естественного прироста (убыли) населения (на 1000 чел.), промилле</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12,6</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13,4</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13,4</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12,9</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12,0</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12,0</w:t>
            </w:r>
          </w:p>
        </w:tc>
      </w:tr>
      <w:tr w:rsidR="004616EA" w:rsidRPr="00283B39" w:rsidTr="00D03F73">
        <w:trPr>
          <w:trHeight w:val="34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Коэффициент миграционного прироста (на 1000 человек), промилле</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3,0</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4,0</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w:t>
            </w:r>
          </w:p>
        </w:tc>
      </w:tr>
    </w:tbl>
    <w:p w:rsidR="004616EA" w:rsidRDefault="004616EA">
      <w:pPr>
        <w:sectPr w:rsidR="004616EA" w:rsidSect="00CA4050">
          <w:pgSz w:w="16838" w:h="11906" w:orient="landscape"/>
          <w:pgMar w:top="2552" w:right="567" w:bottom="567"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25"/>
        <w:gridCol w:w="2684"/>
        <w:gridCol w:w="1032"/>
        <w:gridCol w:w="1146"/>
        <w:gridCol w:w="1035"/>
        <w:gridCol w:w="1057"/>
        <w:gridCol w:w="1102"/>
        <w:gridCol w:w="1191"/>
        <w:gridCol w:w="1191"/>
        <w:gridCol w:w="1191"/>
        <w:gridCol w:w="1191"/>
        <w:gridCol w:w="1191"/>
        <w:gridCol w:w="1184"/>
      </w:tblGrid>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Численность населения, младше трудоспособного возраста (на конец года), тыс. чел.</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val="en-US" w:eastAsia="ru-RU"/>
              </w:rPr>
              <w:t>12</w:t>
            </w:r>
            <w:r w:rsidRPr="00283B39">
              <w:rPr>
                <w:rFonts w:ascii="Times New Roman" w:hAnsi="Times New Roman"/>
                <w:sz w:val="20"/>
                <w:szCs w:val="20"/>
                <w:lang w:eastAsia="ru-RU"/>
              </w:rPr>
              <w:t>,4</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12,5</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12,8</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13,2</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16,6</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16,9</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Численность детей школьного возраста 7-18 лет (на конец года), тыс. чел.</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7,9</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7,9</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8,1</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8,2</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11,0</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11,4</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Численность детей дошкольного возраста 0-7 лет (на конец года), тыс. чел.</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5,8</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5,9</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7,5</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7,6</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2.</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Повышение комфортности окружающей среды города</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2.1</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Стабилизация и улучшение экологической обстановки</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Объемы накопления ТБО, тыс. тонн/год</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37,92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38,44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39,48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40,32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41,4</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42,06</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Площадь кладбищ, га</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14,1</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14,1</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14,4</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14,7</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14,</w:t>
            </w:r>
            <w:r w:rsidRPr="00283B39">
              <w:rPr>
                <w:rFonts w:ascii="Times New Roman" w:hAnsi="Times New Roman"/>
                <w:sz w:val="20"/>
                <w:szCs w:val="20"/>
                <w:lang w:val="en-US"/>
              </w:rPr>
              <w:t>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15,1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15,3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15,7</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16,1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16,</w:t>
            </w:r>
            <w:r w:rsidRPr="00283B39">
              <w:rPr>
                <w:rFonts w:ascii="Times New Roman" w:hAnsi="Times New Roman"/>
                <w:sz w:val="20"/>
                <w:szCs w:val="20"/>
                <w:lang w:val="en-US"/>
              </w:rPr>
              <w:t>5</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16,8</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3.</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реального сектора экономики</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3.1.</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промышленного сектора МО</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6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инвестиций в основной капитал за счет всех источников финансирования, млн рублей (в действующих ценах каждого года)</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11135,4</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12994,43</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17856,7</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15086,6</w:t>
            </w:r>
          </w:p>
        </w:tc>
        <w:tc>
          <w:tcPr>
            <w:tcW w:w="34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14191,2</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14698,5</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15289,4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16476,6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17794,7</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19396,3</w:t>
            </w:r>
          </w:p>
        </w:tc>
        <w:tc>
          <w:tcPr>
            <w:tcW w:w="372"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20948,0</w:t>
            </w:r>
          </w:p>
        </w:tc>
      </w:tr>
    </w:tbl>
    <w:p w:rsidR="004616EA" w:rsidRDefault="004616EA">
      <w:pPr>
        <w:sectPr w:rsidR="004616EA" w:rsidSect="00CA4050">
          <w:type w:val="continuous"/>
          <w:pgSz w:w="16838" w:h="11906" w:orient="landscape"/>
          <w:pgMar w:top="567" w:right="567" w:bottom="2552"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25"/>
        <w:gridCol w:w="2684"/>
        <w:gridCol w:w="1032"/>
        <w:gridCol w:w="1146"/>
        <w:gridCol w:w="1035"/>
        <w:gridCol w:w="1057"/>
        <w:gridCol w:w="1102"/>
        <w:gridCol w:w="1191"/>
        <w:gridCol w:w="1191"/>
        <w:gridCol w:w="1191"/>
        <w:gridCol w:w="1191"/>
        <w:gridCol w:w="1191"/>
        <w:gridCol w:w="1184"/>
      </w:tblGrid>
      <w:tr w:rsidR="004616EA" w:rsidRPr="00283B39" w:rsidTr="00D03F73">
        <w:trPr>
          <w:trHeight w:val="15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EF42E4">
            <w:pPr>
              <w:spacing w:line="240" w:lineRule="auto"/>
              <w:rPr>
                <w:rFonts w:ascii="Times New Roman" w:hAnsi="Times New Roman"/>
                <w:sz w:val="20"/>
                <w:szCs w:val="20"/>
              </w:rPr>
            </w:pPr>
            <w:r w:rsidRPr="00283B39">
              <w:rPr>
                <w:rFonts w:ascii="Times New Roman" w:hAnsi="Times New Roman"/>
                <w:sz w:val="20"/>
                <w:szCs w:val="20"/>
              </w:rPr>
              <w:t xml:space="preserve">Объем отгруженных товаров собственного производства, выполненных работ и услуг собственными силами по основным видам экономической деятельности по </w:t>
            </w:r>
            <w:r>
              <w:rPr>
                <w:rFonts w:ascii="Times New Roman" w:hAnsi="Times New Roman"/>
                <w:sz w:val="20"/>
                <w:szCs w:val="20"/>
              </w:rPr>
              <w:t>полному круга предприятий</w:t>
            </w:r>
            <w:r w:rsidRPr="00283B39">
              <w:rPr>
                <w:rFonts w:ascii="Times New Roman" w:hAnsi="Times New Roman"/>
                <w:sz w:val="20"/>
                <w:szCs w:val="20"/>
              </w:rPr>
              <w:t>, млн руб. (в действующих ценах каждого года)</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41924,1</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57785,3</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56219,4</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25425,1</w:t>
            </w:r>
          </w:p>
        </w:tc>
        <w:tc>
          <w:tcPr>
            <w:tcW w:w="34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27382,3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28930,1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30803,2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32905,0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34041,1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36014,0</w:t>
            </w:r>
          </w:p>
        </w:tc>
        <w:tc>
          <w:tcPr>
            <w:tcW w:w="372"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38028,5</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добыча полезных ископаемых</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23724,3</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43565,0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42105,8</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11636,7</w:t>
            </w:r>
          </w:p>
        </w:tc>
        <w:tc>
          <w:tcPr>
            <w:tcW w:w="34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11171,3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11204,8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11613,6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11870,4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12107,8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12471,1</w:t>
            </w:r>
          </w:p>
        </w:tc>
        <w:tc>
          <w:tcPr>
            <w:tcW w:w="372"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12845,2</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обрабатывающее производство</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5087,0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5788,6</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6177,32</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5398,6</w:t>
            </w:r>
          </w:p>
        </w:tc>
        <w:tc>
          <w:tcPr>
            <w:tcW w:w="34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5625,3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5878,5</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6137,1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6778,3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7320,6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8491,9</w:t>
            </w:r>
          </w:p>
        </w:tc>
        <w:tc>
          <w:tcPr>
            <w:tcW w:w="372"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9680,7</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производство и распределение электроэнергии, газа и воды</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13112,8</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8431,7</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7936,3</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8389,8</w:t>
            </w:r>
          </w:p>
        </w:tc>
        <w:tc>
          <w:tcPr>
            <w:tcW w:w="34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10585,7</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11846,9</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13052,6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14256,3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14612,7</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15051,0</w:t>
            </w:r>
          </w:p>
        </w:tc>
        <w:tc>
          <w:tcPr>
            <w:tcW w:w="372"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15502,6</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3.2.</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агропромышленного комплекса</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производства продукции сельского хозяйства, млн руб.</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25,8</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40,2</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29,0</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31,1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31,8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32,2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32,8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33,5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35,2</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36,6</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4.</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сектора услуг, потребительского рынка</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4.1.</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потребительского рынка</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p w:rsidR="004616EA" w:rsidRDefault="004616EA"/>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25"/>
        <w:gridCol w:w="2684"/>
        <w:gridCol w:w="1032"/>
        <w:gridCol w:w="1146"/>
        <w:gridCol w:w="1035"/>
        <w:gridCol w:w="1057"/>
        <w:gridCol w:w="1102"/>
        <w:gridCol w:w="1191"/>
        <w:gridCol w:w="1191"/>
        <w:gridCol w:w="1191"/>
        <w:gridCol w:w="1191"/>
        <w:gridCol w:w="1191"/>
        <w:gridCol w:w="1184"/>
      </w:tblGrid>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Магазины, кв. м торговой площади</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17883</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18214</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18991</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18214</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19340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20642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21942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24638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27300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33418</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39480</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Рынки, кв. м торговой площади</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4560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5410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4842</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4842</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5538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6256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6343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6514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6653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6831</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6940</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Оборот розничной торговли, млн руб.</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9625,1</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9173,2</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10217,5</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11451,8</w:t>
            </w:r>
          </w:p>
        </w:tc>
        <w:tc>
          <w:tcPr>
            <w:tcW w:w="346"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12681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13353,1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14247,8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15902,7</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17492,9</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19941,9</w:t>
            </w:r>
          </w:p>
        </w:tc>
        <w:tc>
          <w:tcPr>
            <w:tcW w:w="372"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22335,0</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платных услуг населению, млн руб.</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2555,6</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2690,4</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2894,4</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3163,3</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3394,2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3580,9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3788,6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4212,7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4549,7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5095,7</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5707,2</w:t>
            </w:r>
          </w:p>
        </w:tc>
      </w:tr>
      <w:tr w:rsidR="004616EA" w:rsidRPr="00283B39" w:rsidTr="00D03F73">
        <w:trPr>
          <w:trHeight w:val="99"/>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4.2.</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Обеспечение благоприятных условий для развития малого и среднего предпринимательства и повышение социально-экономической эффективности его деятельности</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Удельный вес занятых в малом бизнесе от всех занятых в городской экономике, %</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24</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23</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25</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24</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5.</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жилищной сферы</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5.1.</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Модернизация жилищного фонда</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Общая площадь жилых помещений в ветхих и аварийных жилых домах, 1000 кв. м</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90,45</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86,6</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85,02</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77,6</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67,3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57,0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46,7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21,5</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7,5</w:t>
            </w:r>
          </w:p>
        </w:tc>
      </w:tr>
    </w:tbl>
    <w:p w:rsidR="004616EA" w:rsidRDefault="004616EA">
      <w:pPr>
        <w:sectPr w:rsidR="004616EA" w:rsidSect="00CA4050">
          <w:type w:val="continuous"/>
          <w:pgSz w:w="16838" w:h="11906" w:orient="landscape"/>
          <w:pgMar w:top="567" w:right="567" w:bottom="2552" w:left="567" w:header="709" w:footer="709" w:gutter="0"/>
          <w:cols w:space="708"/>
          <w:docGrid w:linePitch="360"/>
        </w:sectPr>
      </w:pPr>
    </w:p>
    <w:p w:rsidR="004616EA" w:rsidRDefault="004616EA"/>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25"/>
        <w:gridCol w:w="2684"/>
        <w:gridCol w:w="1032"/>
        <w:gridCol w:w="1146"/>
        <w:gridCol w:w="1035"/>
        <w:gridCol w:w="1057"/>
        <w:gridCol w:w="1102"/>
        <w:gridCol w:w="1191"/>
        <w:gridCol w:w="1191"/>
        <w:gridCol w:w="1191"/>
        <w:gridCol w:w="1191"/>
        <w:gridCol w:w="1191"/>
        <w:gridCol w:w="1184"/>
      </w:tblGrid>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Число проживающих в ветхих и аварийных жилых домах, тыс. человек</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6,08</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5,78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5,66</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5,08</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4,40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3,72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3,05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2,68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2,31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1,39</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0,47</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5.2.</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жилищного строительства</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Общая площадь жилых помещений, тыс. кв. м</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981,29</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990,5</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1024,04</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1016,1</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1057,3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1097,5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1136,9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1217,0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1293,3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1457,5</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1612,3</w:t>
            </w:r>
          </w:p>
        </w:tc>
      </w:tr>
      <w:tr w:rsidR="004616EA" w:rsidRPr="00283B39" w:rsidTr="00D03F73">
        <w:trPr>
          <w:trHeight w:val="382"/>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DD0642" w:rsidRDefault="004616EA" w:rsidP="001704D9">
            <w:pPr>
              <w:spacing w:line="240" w:lineRule="auto"/>
              <w:rPr>
                <w:rFonts w:ascii="Times New Roman" w:hAnsi="Times New Roman"/>
                <w:sz w:val="20"/>
                <w:szCs w:val="20"/>
              </w:rPr>
            </w:pPr>
            <w:r w:rsidRPr="00DD0642">
              <w:rPr>
                <w:rFonts w:ascii="Times New Roman" w:hAnsi="Times New Roman"/>
                <w:sz w:val="20"/>
                <w:szCs w:val="20"/>
              </w:rPr>
              <w:t>Общая площадь жилых помещений, приходящаяся в среднем на одного жителя, кв. м на человека</w:t>
            </w:r>
          </w:p>
        </w:tc>
        <w:tc>
          <w:tcPr>
            <w:tcW w:w="32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16,7</w:t>
            </w:r>
          </w:p>
        </w:tc>
        <w:tc>
          <w:tcPr>
            <w:tcW w:w="360"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16,8</w:t>
            </w:r>
          </w:p>
        </w:tc>
        <w:tc>
          <w:tcPr>
            <w:tcW w:w="325"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17,0</w:t>
            </w:r>
          </w:p>
        </w:tc>
        <w:tc>
          <w:tcPr>
            <w:tcW w:w="332"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16,6</w:t>
            </w:r>
          </w:p>
        </w:tc>
        <w:tc>
          <w:tcPr>
            <w:tcW w:w="346"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17,0</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17,4</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17,7</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18,5</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19,2</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21,1</w:t>
            </w:r>
          </w:p>
        </w:tc>
        <w:tc>
          <w:tcPr>
            <w:tcW w:w="372"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23,0</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DD0642" w:rsidRDefault="004616EA" w:rsidP="001704D9">
            <w:pPr>
              <w:spacing w:line="240" w:lineRule="auto"/>
              <w:rPr>
                <w:rFonts w:ascii="Times New Roman" w:hAnsi="Times New Roman"/>
                <w:sz w:val="20"/>
                <w:szCs w:val="20"/>
              </w:rPr>
            </w:pPr>
            <w:r w:rsidRPr="00DD0642">
              <w:rPr>
                <w:rFonts w:ascii="Times New Roman" w:hAnsi="Times New Roman"/>
                <w:sz w:val="20"/>
                <w:szCs w:val="20"/>
              </w:rPr>
              <w:t>Общий годовой объем ввода жилья, тыс. кв. м</w:t>
            </w:r>
          </w:p>
        </w:tc>
        <w:tc>
          <w:tcPr>
            <w:tcW w:w="32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3,765</w:t>
            </w:r>
          </w:p>
        </w:tc>
        <w:tc>
          <w:tcPr>
            <w:tcW w:w="360"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12,523</w:t>
            </w:r>
          </w:p>
        </w:tc>
        <w:tc>
          <w:tcPr>
            <w:tcW w:w="325"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16,66</w:t>
            </w:r>
          </w:p>
        </w:tc>
        <w:tc>
          <w:tcPr>
            <w:tcW w:w="332"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10,7</w:t>
            </w:r>
          </w:p>
        </w:tc>
        <w:tc>
          <w:tcPr>
            <w:tcW w:w="346"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51,5</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50,5</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49,6</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51,1</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46,9</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37,0</w:t>
            </w:r>
          </w:p>
        </w:tc>
        <w:tc>
          <w:tcPr>
            <w:tcW w:w="372"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33,6</w:t>
            </w:r>
          </w:p>
        </w:tc>
      </w:tr>
      <w:tr w:rsidR="004616EA" w:rsidRPr="00283B39" w:rsidTr="00D03F73">
        <w:trPr>
          <w:trHeight w:val="9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DD0642" w:rsidRDefault="004616EA" w:rsidP="001704D9">
            <w:pPr>
              <w:spacing w:line="240" w:lineRule="auto"/>
              <w:rPr>
                <w:rFonts w:ascii="Times New Roman" w:hAnsi="Times New Roman"/>
                <w:sz w:val="20"/>
                <w:szCs w:val="20"/>
              </w:rPr>
            </w:pPr>
            <w:r w:rsidRPr="00DD0642">
              <w:rPr>
                <w:rFonts w:ascii="Times New Roman" w:hAnsi="Times New Roman"/>
                <w:sz w:val="20"/>
                <w:szCs w:val="20"/>
              </w:rPr>
              <w:t>Доступность приобретения жилья (соотношение среднемесячной заработной платы и средней стоимости одного квадратного метра жилья)</w:t>
            </w:r>
          </w:p>
        </w:tc>
        <w:tc>
          <w:tcPr>
            <w:tcW w:w="324" w:type="pct"/>
            <w:tcMar>
              <w:left w:w="108" w:type="dxa"/>
              <w:right w:w="108" w:type="dxa"/>
            </w:tcMar>
            <w:vAlign w:val="center"/>
          </w:tcPr>
          <w:p w:rsidR="004616EA" w:rsidRPr="00DD0642" w:rsidRDefault="004616EA" w:rsidP="001704D9">
            <w:pPr>
              <w:jc w:val="center"/>
              <w:rPr>
                <w:rFonts w:ascii="Times New Roman" w:hAnsi="Times New Roman"/>
                <w:sz w:val="20"/>
                <w:szCs w:val="20"/>
              </w:rPr>
            </w:pPr>
            <w:r w:rsidRPr="00DD0642">
              <w:rPr>
                <w:rFonts w:ascii="Times New Roman" w:hAnsi="Times New Roman"/>
                <w:sz w:val="20"/>
                <w:szCs w:val="20"/>
                <w:lang w:eastAsia="ru-RU"/>
              </w:rPr>
              <w:t>3,0</w:t>
            </w:r>
          </w:p>
        </w:tc>
        <w:tc>
          <w:tcPr>
            <w:tcW w:w="360" w:type="pct"/>
            <w:tcMar>
              <w:left w:w="108" w:type="dxa"/>
              <w:right w:w="108" w:type="dxa"/>
            </w:tcMar>
            <w:vAlign w:val="center"/>
          </w:tcPr>
          <w:p w:rsidR="004616EA" w:rsidRPr="00DD0642" w:rsidRDefault="004616EA" w:rsidP="001704D9">
            <w:pPr>
              <w:jc w:val="center"/>
              <w:rPr>
                <w:rFonts w:ascii="Times New Roman" w:hAnsi="Times New Roman"/>
                <w:sz w:val="20"/>
                <w:szCs w:val="20"/>
              </w:rPr>
            </w:pPr>
            <w:r w:rsidRPr="00DD0642">
              <w:rPr>
                <w:rFonts w:ascii="Times New Roman" w:hAnsi="Times New Roman"/>
                <w:sz w:val="20"/>
                <w:szCs w:val="20"/>
                <w:lang w:eastAsia="ru-RU"/>
              </w:rPr>
              <w:t>2,7</w:t>
            </w:r>
          </w:p>
        </w:tc>
        <w:tc>
          <w:tcPr>
            <w:tcW w:w="325" w:type="pct"/>
            <w:tcMar>
              <w:left w:w="108" w:type="dxa"/>
              <w:right w:w="108" w:type="dxa"/>
            </w:tcMar>
            <w:vAlign w:val="center"/>
          </w:tcPr>
          <w:p w:rsidR="004616EA" w:rsidRPr="00DD0642" w:rsidRDefault="004616EA" w:rsidP="001704D9">
            <w:pPr>
              <w:jc w:val="center"/>
              <w:rPr>
                <w:rFonts w:ascii="Times New Roman" w:hAnsi="Times New Roman"/>
                <w:sz w:val="20"/>
                <w:szCs w:val="20"/>
              </w:rPr>
            </w:pPr>
            <w:r w:rsidRPr="00DD0642">
              <w:rPr>
                <w:rFonts w:ascii="Times New Roman" w:hAnsi="Times New Roman"/>
                <w:sz w:val="20"/>
                <w:szCs w:val="20"/>
                <w:lang w:eastAsia="ru-RU"/>
              </w:rPr>
              <w:t>2,8</w:t>
            </w:r>
          </w:p>
        </w:tc>
        <w:tc>
          <w:tcPr>
            <w:tcW w:w="332" w:type="pct"/>
            <w:tcMar>
              <w:left w:w="108" w:type="dxa"/>
              <w:right w:w="108" w:type="dxa"/>
            </w:tcMar>
            <w:vAlign w:val="center"/>
          </w:tcPr>
          <w:p w:rsidR="004616EA" w:rsidRPr="00DD0642" w:rsidRDefault="004616EA" w:rsidP="001704D9">
            <w:pPr>
              <w:jc w:val="center"/>
              <w:rPr>
                <w:rFonts w:ascii="Times New Roman" w:hAnsi="Times New Roman"/>
                <w:sz w:val="20"/>
                <w:szCs w:val="20"/>
              </w:rPr>
            </w:pPr>
            <w:r w:rsidRPr="00DD0642">
              <w:rPr>
                <w:rFonts w:ascii="Times New Roman" w:hAnsi="Times New Roman"/>
                <w:sz w:val="20"/>
                <w:szCs w:val="20"/>
                <w:lang w:eastAsia="ru-RU"/>
              </w:rPr>
              <w:t>3,5</w:t>
            </w:r>
          </w:p>
        </w:tc>
        <w:tc>
          <w:tcPr>
            <w:tcW w:w="346"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3,3</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3,1</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3,0</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2,7</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2,6</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2,6</w:t>
            </w:r>
          </w:p>
        </w:tc>
        <w:tc>
          <w:tcPr>
            <w:tcW w:w="372"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2,5</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DD0642" w:rsidRDefault="004616EA" w:rsidP="001704D9">
            <w:pPr>
              <w:spacing w:line="240" w:lineRule="auto"/>
              <w:rPr>
                <w:rFonts w:ascii="Times New Roman" w:hAnsi="Times New Roman"/>
                <w:sz w:val="20"/>
                <w:szCs w:val="20"/>
              </w:rPr>
            </w:pPr>
            <w:r w:rsidRPr="00DD0642">
              <w:rPr>
                <w:rFonts w:ascii="Times New Roman" w:hAnsi="Times New Roman"/>
                <w:sz w:val="20"/>
                <w:szCs w:val="20"/>
              </w:rPr>
              <w:t>Число семей, состоящих на учете на получение жилья</w:t>
            </w:r>
          </w:p>
        </w:tc>
        <w:tc>
          <w:tcPr>
            <w:tcW w:w="324" w:type="pct"/>
            <w:tcMar>
              <w:left w:w="108" w:type="dxa"/>
              <w:right w:w="108" w:type="dxa"/>
            </w:tcMar>
            <w:vAlign w:val="center"/>
          </w:tcPr>
          <w:p w:rsidR="004616EA" w:rsidRPr="00DD0642" w:rsidRDefault="004616EA" w:rsidP="001704D9">
            <w:pPr>
              <w:jc w:val="center"/>
              <w:rPr>
                <w:rFonts w:ascii="Times New Roman" w:hAnsi="Times New Roman"/>
                <w:sz w:val="20"/>
                <w:szCs w:val="20"/>
              </w:rPr>
            </w:pPr>
            <w:r w:rsidRPr="00DD0642">
              <w:rPr>
                <w:rFonts w:ascii="Times New Roman" w:hAnsi="Times New Roman"/>
                <w:sz w:val="20"/>
                <w:szCs w:val="20"/>
                <w:lang w:eastAsia="ru-RU"/>
              </w:rPr>
              <w:t>3910</w:t>
            </w:r>
          </w:p>
        </w:tc>
        <w:tc>
          <w:tcPr>
            <w:tcW w:w="360" w:type="pct"/>
            <w:tcMar>
              <w:left w:w="108" w:type="dxa"/>
              <w:right w:w="108" w:type="dxa"/>
            </w:tcMar>
            <w:vAlign w:val="center"/>
          </w:tcPr>
          <w:p w:rsidR="004616EA" w:rsidRPr="00DD0642" w:rsidRDefault="004616EA" w:rsidP="001704D9">
            <w:pPr>
              <w:jc w:val="center"/>
              <w:rPr>
                <w:rFonts w:ascii="Times New Roman" w:hAnsi="Times New Roman"/>
                <w:sz w:val="20"/>
                <w:szCs w:val="20"/>
              </w:rPr>
            </w:pPr>
            <w:r w:rsidRPr="00DD0642">
              <w:rPr>
                <w:rFonts w:ascii="Times New Roman" w:hAnsi="Times New Roman"/>
                <w:sz w:val="20"/>
                <w:szCs w:val="20"/>
                <w:lang w:eastAsia="ru-RU"/>
              </w:rPr>
              <w:t>2474</w:t>
            </w:r>
          </w:p>
        </w:tc>
        <w:tc>
          <w:tcPr>
            <w:tcW w:w="325" w:type="pct"/>
            <w:tcMar>
              <w:left w:w="108" w:type="dxa"/>
              <w:right w:w="108" w:type="dxa"/>
            </w:tcMar>
            <w:vAlign w:val="center"/>
          </w:tcPr>
          <w:p w:rsidR="004616EA" w:rsidRPr="00DD0642" w:rsidRDefault="004616EA" w:rsidP="001704D9">
            <w:pPr>
              <w:jc w:val="center"/>
              <w:rPr>
                <w:rFonts w:ascii="Times New Roman" w:hAnsi="Times New Roman"/>
                <w:sz w:val="20"/>
                <w:szCs w:val="20"/>
              </w:rPr>
            </w:pPr>
            <w:r w:rsidRPr="00DD0642">
              <w:rPr>
                <w:rFonts w:ascii="Times New Roman" w:hAnsi="Times New Roman"/>
                <w:sz w:val="20"/>
                <w:szCs w:val="20"/>
                <w:lang w:eastAsia="ru-RU"/>
              </w:rPr>
              <w:t>2407</w:t>
            </w:r>
          </w:p>
        </w:tc>
        <w:tc>
          <w:tcPr>
            <w:tcW w:w="332"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2309</w:t>
            </w:r>
          </w:p>
        </w:tc>
        <w:tc>
          <w:tcPr>
            <w:tcW w:w="346"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2135</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2030</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1907</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2419</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2216</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1831</w:t>
            </w:r>
          </w:p>
        </w:tc>
        <w:tc>
          <w:tcPr>
            <w:tcW w:w="372"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1803</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6.</w:t>
            </w:r>
          </w:p>
        </w:tc>
        <w:tc>
          <w:tcPr>
            <w:tcW w:w="843" w:type="pct"/>
            <w:tcMar>
              <w:left w:w="108" w:type="dxa"/>
              <w:right w:w="108" w:type="dxa"/>
            </w:tcMar>
          </w:tcPr>
          <w:p w:rsidR="004616EA" w:rsidRPr="00DD0642" w:rsidRDefault="004616EA" w:rsidP="001704D9">
            <w:pPr>
              <w:spacing w:line="240" w:lineRule="auto"/>
              <w:rPr>
                <w:rFonts w:ascii="Times New Roman" w:hAnsi="Times New Roman"/>
                <w:sz w:val="20"/>
                <w:szCs w:val="20"/>
              </w:rPr>
            </w:pPr>
            <w:r w:rsidRPr="00DD0642">
              <w:rPr>
                <w:rFonts w:ascii="Times New Roman" w:hAnsi="Times New Roman"/>
                <w:sz w:val="20"/>
                <w:szCs w:val="20"/>
              </w:rPr>
              <w:t>Развитие образования</w:t>
            </w:r>
          </w:p>
        </w:tc>
        <w:tc>
          <w:tcPr>
            <w:tcW w:w="324"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r>
      <w:tr w:rsidR="004616EA" w:rsidRPr="00283B39" w:rsidTr="00D03F73">
        <w:trPr>
          <w:trHeight w:val="573"/>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6.1.</w:t>
            </w:r>
          </w:p>
        </w:tc>
        <w:tc>
          <w:tcPr>
            <w:tcW w:w="843" w:type="pct"/>
            <w:tcMar>
              <w:left w:w="108" w:type="dxa"/>
              <w:right w:w="108" w:type="dxa"/>
            </w:tcMar>
          </w:tcPr>
          <w:p w:rsidR="004616EA" w:rsidRPr="00DD0642" w:rsidRDefault="004616EA" w:rsidP="001704D9">
            <w:pPr>
              <w:spacing w:line="240" w:lineRule="auto"/>
              <w:rPr>
                <w:rFonts w:ascii="Times New Roman" w:hAnsi="Times New Roman"/>
                <w:sz w:val="20"/>
                <w:szCs w:val="20"/>
              </w:rPr>
            </w:pPr>
            <w:r w:rsidRPr="00DD0642">
              <w:rPr>
                <w:rFonts w:ascii="Times New Roman" w:hAnsi="Times New Roman"/>
                <w:sz w:val="20"/>
                <w:szCs w:val="20"/>
              </w:rPr>
              <w:t>Повышение качества и доступности образования, обеспечение инновационного развития системы образования</w:t>
            </w:r>
          </w:p>
        </w:tc>
        <w:tc>
          <w:tcPr>
            <w:tcW w:w="324"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25"/>
        <w:gridCol w:w="2684"/>
        <w:gridCol w:w="1032"/>
        <w:gridCol w:w="1146"/>
        <w:gridCol w:w="1035"/>
        <w:gridCol w:w="1057"/>
        <w:gridCol w:w="1102"/>
        <w:gridCol w:w="1191"/>
        <w:gridCol w:w="1191"/>
        <w:gridCol w:w="1191"/>
        <w:gridCol w:w="1191"/>
        <w:gridCol w:w="1191"/>
        <w:gridCol w:w="1184"/>
      </w:tblGrid>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vAlign w:val="center"/>
          </w:tcPr>
          <w:p w:rsidR="004616EA" w:rsidRPr="00DD0642" w:rsidRDefault="004616EA" w:rsidP="001704D9">
            <w:pPr>
              <w:spacing w:after="0" w:line="240" w:lineRule="auto"/>
              <w:jc w:val="both"/>
              <w:rPr>
                <w:rFonts w:ascii="Times New Roman" w:hAnsi="Times New Roman"/>
                <w:sz w:val="20"/>
                <w:szCs w:val="20"/>
                <w:lang w:eastAsia="ru-RU"/>
              </w:rPr>
            </w:pPr>
            <w:r w:rsidRPr="00DD0642">
              <w:rPr>
                <w:rFonts w:ascii="Times New Roman" w:hAnsi="Times New Roman"/>
                <w:sz w:val="20"/>
                <w:szCs w:val="20"/>
                <w:lang w:eastAsia="ru-RU"/>
              </w:rPr>
              <w:t>Дошкольные образовательные организации, ед./мест</w:t>
            </w:r>
          </w:p>
        </w:tc>
        <w:tc>
          <w:tcPr>
            <w:tcW w:w="32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13/3824</w:t>
            </w:r>
          </w:p>
        </w:tc>
        <w:tc>
          <w:tcPr>
            <w:tcW w:w="360"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13/3824</w:t>
            </w:r>
          </w:p>
        </w:tc>
        <w:tc>
          <w:tcPr>
            <w:tcW w:w="325"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13/3824</w:t>
            </w:r>
          </w:p>
        </w:tc>
        <w:tc>
          <w:tcPr>
            <w:tcW w:w="332"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13/3824</w:t>
            </w:r>
          </w:p>
        </w:tc>
        <w:tc>
          <w:tcPr>
            <w:tcW w:w="346"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14/4191</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14/4191</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14/4191</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15/4511</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15/4511</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15/4511</w:t>
            </w:r>
          </w:p>
        </w:tc>
        <w:tc>
          <w:tcPr>
            <w:tcW w:w="372"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15/4511</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vAlign w:val="center"/>
          </w:tcPr>
          <w:p w:rsidR="004616EA" w:rsidRPr="00DD0642" w:rsidRDefault="004616EA" w:rsidP="001704D9">
            <w:pPr>
              <w:spacing w:after="0" w:line="240" w:lineRule="auto"/>
              <w:jc w:val="both"/>
              <w:rPr>
                <w:rFonts w:ascii="Times New Roman" w:hAnsi="Times New Roman"/>
                <w:sz w:val="20"/>
                <w:szCs w:val="20"/>
                <w:lang w:eastAsia="ru-RU"/>
              </w:rPr>
            </w:pPr>
            <w:r w:rsidRPr="00DD0642">
              <w:rPr>
                <w:rFonts w:ascii="Times New Roman" w:hAnsi="Times New Roman"/>
                <w:sz w:val="20"/>
                <w:szCs w:val="20"/>
                <w:lang w:eastAsia="ru-RU"/>
              </w:rPr>
              <w:t>Общеобразовательные организации, ед./мест</w:t>
            </w:r>
          </w:p>
        </w:tc>
        <w:tc>
          <w:tcPr>
            <w:tcW w:w="32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8/5528</w:t>
            </w:r>
          </w:p>
        </w:tc>
        <w:tc>
          <w:tcPr>
            <w:tcW w:w="360" w:type="pct"/>
            <w:tcMar>
              <w:left w:w="108" w:type="dxa"/>
              <w:right w:w="108" w:type="dxa"/>
            </w:tcMar>
            <w:vAlign w:val="center"/>
          </w:tcPr>
          <w:p w:rsidR="004616EA" w:rsidRPr="00DD0642" w:rsidRDefault="004616EA" w:rsidP="001704D9">
            <w:pPr>
              <w:spacing w:after="0"/>
              <w:jc w:val="center"/>
              <w:rPr>
                <w:rFonts w:ascii="Times New Roman" w:hAnsi="Times New Roman"/>
                <w:sz w:val="20"/>
                <w:szCs w:val="20"/>
                <w:lang w:eastAsia="ru-RU"/>
              </w:rPr>
            </w:pPr>
            <w:r w:rsidRPr="00DD0642">
              <w:rPr>
                <w:rFonts w:ascii="Times New Roman" w:hAnsi="Times New Roman"/>
                <w:sz w:val="20"/>
                <w:szCs w:val="20"/>
                <w:lang w:eastAsia="ru-RU"/>
              </w:rPr>
              <w:t>8/5528</w:t>
            </w:r>
          </w:p>
        </w:tc>
        <w:tc>
          <w:tcPr>
            <w:tcW w:w="325"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8/5528</w:t>
            </w:r>
          </w:p>
        </w:tc>
        <w:tc>
          <w:tcPr>
            <w:tcW w:w="332"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7/5528</w:t>
            </w:r>
          </w:p>
        </w:tc>
        <w:tc>
          <w:tcPr>
            <w:tcW w:w="346" w:type="pct"/>
            <w:tcMar>
              <w:left w:w="108" w:type="dxa"/>
              <w:right w:w="108" w:type="dxa"/>
            </w:tcMar>
            <w:vAlign w:val="center"/>
          </w:tcPr>
          <w:p w:rsidR="004616EA" w:rsidRPr="00DD0642" w:rsidRDefault="004616EA" w:rsidP="001704D9">
            <w:pPr>
              <w:spacing w:after="0"/>
              <w:jc w:val="center"/>
              <w:rPr>
                <w:rFonts w:ascii="Times New Roman" w:hAnsi="Times New Roman"/>
                <w:sz w:val="20"/>
                <w:szCs w:val="20"/>
                <w:lang w:eastAsia="ru-RU"/>
              </w:rPr>
            </w:pPr>
            <w:r w:rsidRPr="00DD0642">
              <w:rPr>
                <w:rFonts w:ascii="Times New Roman" w:hAnsi="Times New Roman"/>
                <w:sz w:val="20"/>
                <w:szCs w:val="20"/>
                <w:lang w:eastAsia="ru-RU"/>
              </w:rPr>
              <w:t>7/5528</w:t>
            </w:r>
          </w:p>
        </w:tc>
        <w:tc>
          <w:tcPr>
            <w:tcW w:w="374" w:type="pct"/>
            <w:tcMar>
              <w:left w:w="108" w:type="dxa"/>
              <w:right w:w="108" w:type="dxa"/>
            </w:tcMar>
            <w:vAlign w:val="center"/>
          </w:tcPr>
          <w:p w:rsidR="004616EA" w:rsidRPr="00DD0642" w:rsidRDefault="004616EA" w:rsidP="001704D9">
            <w:pPr>
              <w:spacing w:after="0"/>
              <w:jc w:val="center"/>
              <w:rPr>
                <w:rFonts w:ascii="Times New Roman" w:hAnsi="Times New Roman"/>
                <w:sz w:val="20"/>
                <w:szCs w:val="20"/>
                <w:lang w:eastAsia="ru-RU"/>
              </w:rPr>
            </w:pPr>
            <w:r w:rsidRPr="00DD0642">
              <w:rPr>
                <w:rFonts w:ascii="Times New Roman" w:hAnsi="Times New Roman"/>
                <w:sz w:val="20"/>
                <w:szCs w:val="20"/>
                <w:lang w:eastAsia="ru-RU"/>
              </w:rPr>
              <w:t>7/5528</w:t>
            </w:r>
          </w:p>
        </w:tc>
        <w:tc>
          <w:tcPr>
            <w:tcW w:w="374" w:type="pct"/>
            <w:tcMar>
              <w:left w:w="108" w:type="dxa"/>
              <w:right w:w="108" w:type="dxa"/>
            </w:tcMar>
            <w:vAlign w:val="center"/>
          </w:tcPr>
          <w:p w:rsidR="004616EA" w:rsidRPr="00DD0642" w:rsidRDefault="004616EA" w:rsidP="001704D9">
            <w:pPr>
              <w:spacing w:after="0"/>
              <w:jc w:val="center"/>
              <w:rPr>
                <w:rFonts w:ascii="Times New Roman" w:hAnsi="Times New Roman"/>
                <w:sz w:val="20"/>
                <w:szCs w:val="20"/>
                <w:lang w:eastAsia="ru-RU"/>
              </w:rPr>
            </w:pPr>
            <w:r w:rsidRPr="00DD0642">
              <w:rPr>
                <w:rFonts w:ascii="Times New Roman" w:hAnsi="Times New Roman"/>
                <w:sz w:val="20"/>
                <w:szCs w:val="20"/>
                <w:lang w:eastAsia="ru-RU"/>
              </w:rPr>
              <w:t>7/5528</w:t>
            </w:r>
          </w:p>
        </w:tc>
        <w:tc>
          <w:tcPr>
            <w:tcW w:w="374" w:type="pct"/>
            <w:tcMar>
              <w:left w:w="108" w:type="dxa"/>
              <w:right w:w="108" w:type="dxa"/>
            </w:tcMar>
            <w:vAlign w:val="center"/>
          </w:tcPr>
          <w:p w:rsidR="004616EA" w:rsidRPr="00DD0642" w:rsidRDefault="004616EA" w:rsidP="001704D9">
            <w:pPr>
              <w:spacing w:after="0"/>
              <w:jc w:val="center"/>
              <w:rPr>
                <w:rFonts w:ascii="Times New Roman" w:hAnsi="Times New Roman"/>
                <w:sz w:val="20"/>
                <w:szCs w:val="20"/>
                <w:lang w:eastAsia="ru-RU"/>
              </w:rPr>
            </w:pPr>
            <w:r w:rsidRPr="00DD0642">
              <w:rPr>
                <w:rFonts w:ascii="Times New Roman" w:hAnsi="Times New Roman"/>
                <w:sz w:val="20"/>
                <w:szCs w:val="20"/>
                <w:lang w:eastAsia="ru-RU"/>
              </w:rPr>
              <w:t>8/6528</w:t>
            </w:r>
          </w:p>
        </w:tc>
        <w:tc>
          <w:tcPr>
            <w:tcW w:w="374" w:type="pct"/>
            <w:tcMar>
              <w:left w:w="108" w:type="dxa"/>
              <w:right w:w="108" w:type="dxa"/>
            </w:tcMar>
            <w:vAlign w:val="center"/>
          </w:tcPr>
          <w:p w:rsidR="004616EA" w:rsidRPr="00DD0642" w:rsidRDefault="004616EA" w:rsidP="001704D9">
            <w:pPr>
              <w:spacing w:after="0"/>
              <w:jc w:val="center"/>
              <w:rPr>
                <w:rFonts w:ascii="Times New Roman" w:hAnsi="Times New Roman"/>
                <w:sz w:val="20"/>
                <w:szCs w:val="20"/>
                <w:lang w:eastAsia="ru-RU"/>
              </w:rPr>
            </w:pPr>
            <w:r w:rsidRPr="00DD0642">
              <w:rPr>
                <w:rFonts w:ascii="Times New Roman" w:hAnsi="Times New Roman"/>
                <w:sz w:val="20"/>
                <w:szCs w:val="20"/>
                <w:lang w:eastAsia="ru-RU"/>
              </w:rPr>
              <w:t>8/6528</w:t>
            </w:r>
          </w:p>
        </w:tc>
        <w:tc>
          <w:tcPr>
            <w:tcW w:w="374" w:type="pct"/>
            <w:tcMar>
              <w:left w:w="108" w:type="dxa"/>
              <w:right w:w="108" w:type="dxa"/>
            </w:tcMar>
            <w:vAlign w:val="center"/>
          </w:tcPr>
          <w:p w:rsidR="004616EA" w:rsidRPr="00DD0642" w:rsidRDefault="004616EA" w:rsidP="001704D9">
            <w:pPr>
              <w:spacing w:after="0"/>
              <w:jc w:val="center"/>
              <w:rPr>
                <w:rFonts w:ascii="Times New Roman" w:hAnsi="Times New Roman"/>
                <w:sz w:val="20"/>
                <w:szCs w:val="20"/>
                <w:lang w:eastAsia="ru-RU"/>
              </w:rPr>
            </w:pPr>
            <w:r w:rsidRPr="00DD0642">
              <w:rPr>
                <w:rFonts w:ascii="Times New Roman" w:hAnsi="Times New Roman"/>
                <w:sz w:val="20"/>
                <w:szCs w:val="20"/>
                <w:lang w:eastAsia="ru-RU"/>
              </w:rPr>
              <w:t>9/7500</w:t>
            </w:r>
          </w:p>
        </w:tc>
        <w:tc>
          <w:tcPr>
            <w:tcW w:w="372" w:type="pct"/>
            <w:tcMar>
              <w:left w:w="108" w:type="dxa"/>
              <w:right w:w="108" w:type="dxa"/>
            </w:tcMar>
            <w:vAlign w:val="center"/>
          </w:tcPr>
          <w:p w:rsidR="004616EA" w:rsidRPr="00DD0642" w:rsidRDefault="004616EA" w:rsidP="001704D9">
            <w:pPr>
              <w:spacing w:after="0"/>
              <w:jc w:val="center"/>
              <w:rPr>
                <w:rFonts w:ascii="Times New Roman" w:hAnsi="Times New Roman"/>
                <w:sz w:val="20"/>
                <w:szCs w:val="20"/>
                <w:lang w:eastAsia="ru-RU"/>
              </w:rPr>
            </w:pPr>
            <w:r w:rsidRPr="00DD0642">
              <w:rPr>
                <w:rFonts w:ascii="Times New Roman" w:hAnsi="Times New Roman"/>
                <w:sz w:val="20"/>
                <w:szCs w:val="20"/>
                <w:lang w:eastAsia="ru-RU"/>
              </w:rPr>
              <w:t>10/8500</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DD0642" w:rsidRDefault="004616EA" w:rsidP="0090134D">
            <w:pPr>
              <w:spacing w:line="240" w:lineRule="auto"/>
              <w:rPr>
                <w:rFonts w:ascii="Times New Roman" w:hAnsi="Times New Roman"/>
                <w:sz w:val="20"/>
                <w:szCs w:val="20"/>
              </w:rPr>
            </w:pPr>
            <w:r w:rsidRPr="00DD0642">
              <w:rPr>
                <w:rFonts w:ascii="Times New Roman" w:hAnsi="Times New Roman"/>
                <w:sz w:val="20"/>
                <w:szCs w:val="20"/>
                <w:lang w:eastAsia="ru-RU"/>
              </w:rPr>
              <w:t>Организации дополнительного образования, ед./мест</w:t>
            </w:r>
            <w:r>
              <w:rPr>
                <w:rFonts w:ascii="Times New Roman" w:hAnsi="Times New Roman"/>
                <w:sz w:val="20"/>
                <w:szCs w:val="20"/>
                <w:lang w:eastAsia="ru-RU"/>
              </w:rPr>
              <w:t xml:space="preserve"> с учётом сменности</w:t>
            </w:r>
          </w:p>
        </w:tc>
        <w:tc>
          <w:tcPr>
            <w:tcW w:w="32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2/1501</w:t>
            </w:r>
          </w:p>
        </w:tc>
        <w:tc>
          <w:tcPr>
            <w:tcW w:w="360"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2/1501</w:t>
            </w:r>
          </w:p>
        </w:tc>
        <w:tc>
          <w:tcPr>
            <w:tcW w:w="325"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2/1501</w:t>
            </w:r>
          </w:p>
        </w:tc>
        <w:tc>
          <w:tcPr>
            <w:tcW w:w="332"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2/1501</w:t>
            </w:r>
          </w:p>
        </w:tc>
        <w:tc>
          <w:tcPr>
            <w:tcW w:w="346"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2/1502</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2/1502</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2/1502</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2/1502</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3/2300</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4/3100</w:t>
            </w:r>
          </w:p>
        </w:tc>
        <w:tc>
          <w:tcPr>
            <w:tcW w:w="372"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5/3960</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Государственные профессиональные образовательные организации (за исключением филиалов), ед./студентов</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60"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25"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1/460</w:t>
            </w:r>
          </w:p>
        </w:tc>
        <w:tc>
          <w:tcPr>
            <w:tcW w:w="33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1/440</w:t>
            </w:r>
          </w:p>
        </w:tc>
        <w:tc>
          <w:tcPr>
            <w:tcW w:w="346"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1/446</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1/440</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1/440</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1/440</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1/440</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1/440</w:t>
            </w:r>
          </w:p>
        </w:tc>
        <w:tc>
          <w:tcPr>
            <w:tcW w:w="37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1/440</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7.</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здравоохранения</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9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7.1.</w:t>
            </w:r>
          </w:p>
        </w:tc>
        <w:tc>
          <w:tcPr>
            <w:tcW w:w="843" w:type="pct"/>
            <w:tcMar>
              <w:left w:w="108" w:type="dxa"/>
              <w:right w:w="108" w:type="dxa"/>
            </w:tcMar>
          </w:tcPr>
          <w:p w:rsidR="004616EA" w:rsidRPr="00DD0642" w:rsidRDefault="004616EA" w:rsidP="001704D9">
            <w:pPr>
              <w:spacing w:line="240" w:lineRule="auto"/>
              <w:rPr>
                <w:rFonts w:ascii="Times New Roman" w:hAnsi="Times New Roman"/>
                <w:sz w:val="20"/>
                <w:szCs w:val="20"/>
              </w:rPr>
            </w:pPr>
            <w:r w:rsidRPr="00DD0642">
              <w:rPr>
                <w:rFonts w:ascii="Times New Roman" w:hAnsi="Times New Roman"/>
                <w:sz w:val="20"/>
                <w:szCs w:val="20"/>
              </w:rPr>
              <w:t>Создание условий для обеспечения деятельности учреждений здравоохранения, повышение качества и доступности медицинских услуг</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DD0642" w:rsidRDefault="004616EA" w:rsidP="001704D9">
            <w:pPr>
              <w:spacing w:line="240" w:lineRule="auto"/>
              <w:rPr>
                <w:rFonts w:ascii="Times New Roman" w:hAnsi="Times New Roman"/>
                <w:sz w:val="20"/>
                <w:szCs w:val="20"/>
              </w:rPr>
            </w:pPr>
            <w:r w:rsidRPr="00DD0642">
              <w:rPr>
                <w:rFonts w:ascii="Times New Roman" w:hAnsi="Times New Roman"/>
                <w:sz w:val="20"/>
                <w:szCs w:val="20"/>
              </w:rPr>
              <w:t>Обеспеченность врачами на 10 тыс. чел.</w:t>
            </w:r>
          </w:p>
        </w:tc>
        <w:tc>
          <w:tcPr>
            <w:tcW w:w="32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39,5</w:t>
            </w:r>
          </w:p>
        </w:tc>
        <w:tc>
          <w:tcPr>
            <w:tcW w:w="360"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37,2</w:t>
            </w:r>
          </w:p>
        </w:tc>
        <w:tc>
          <w:tcPr>
            <w:tcW w:w="325"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38,2</w:t>
            </w:r>
          </w:p>
        </w:tc>
        <w:tc>
          <w:tcPr>
            <w:tcW w:w="33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42,2</w:t>
            </w:r>
          </w:p>
        </w:tc>
        <w:tc>
          <w:tcPr>
            <w:tcW w:w="346"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35,7</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35,1</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34,6</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34,1</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34,1</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34,1</w:t>
            </w:r>
          </w:p>
        </w:tc>
        <w:tc>
          <w:tcPr>
            <w:tcW w:w="37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34,1</w:t>
            </w:r>
          </w:p>
        </w:tc>
      </w:tr>
      <w:tr w:rsidR="004616EA" w:rsidRPr="00283B39" w:rsidTr="00D03F73">
        <w:trPr>
          <w:trHeight w:val="28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DD0642" w:rsidRDefault="004616EA" w:rsidP="001704D9">
            <w:pPr>
              <w:spacing w:line="240" w:lineRule="auto"/>
              <w:rPr>
                <w:rFonts w:ascii="Times New Roman" w:hAnsi="Times New Roman"/>
                <w:sz w:val="20"/>
                <w:szCs w:val="20"/>
              </w:rPr>
            </w:pPr>
            <w:r w:rsidRPr="00DD0642">
              <w:rPr>
                <w:rFonts w:ascii="Times New Roman" w:hAnsi="Times New Roman"/>
                <w:sz w:val="20"/>
                <w:szCs w:val="20"/>
              </w:rPr>
              <w:t>Обеспеченность средним медицинским персоналом на 10 тыс. чел.</w:t>
            </w:r>
          </w:p>
        </w:tc>
        <w:tc>
          <w:tcPr>
            <w:tcW w:w="32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104,32</w:t>
            </w:r>
          </w:p>
        </w:tc>
        <w:tc>
          <w:tcPr>
            <w:tcW w:w="360"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101,5</w:t>
            </w:r>
          </w:p>
        </w:tc>
        <w:tc>
          <w:tcPr>
            <w:tcW w:w="325"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100,9</w:t>
            </w:r>
          </w:p>
        </w:tc>
        <w:tc>
          <w:tcPr>
            <w:tcW w:w="33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100,6</w:t>
            </w:r>
          </w:p>
        </w:tc>
        <w:tc>
          <w:tcPr>
            <w:tcW w:w="346"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98,9</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95,7</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94,3</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93,0</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93,0</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93,0</w:t>
            </w:r>
          </w:p>
        </w:tc>
        <w:tc>
          <w:tcPr>
            <w:tcW w:w="37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93,0</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vAlign w:val="center"/>
          </w:tcPr>
          <w:p w:rsidR="004616EA" w:rsidRPr="00DD0642" w:rsidRDefault="004616EA" w:rsidP="001704D9">
            <w:pPr>
              <w:spacing w:after="0" w:line="240" w:lineRule="auto"/>
              <w:jc w:val="both"/>
              <w:rPr>
                <w:rFonts w:ascii="Times New Roman" w:hAnsi="Times New Roman"/>
                <w:sz w:val="20"/>
                <w:szCs w:val="20"/>
                <w:lang w:eastAsia="ru-RU"/>
              </w:rPr>
            </w:pPr>
            <w:r w:rsidRPr="00DD0642">
              <w:rPr>
                <w:rFonts w:ascii="Times New Roman" w:hAnsi="Times New Roman"/>
                <w:sz w:val="20"/>
                <w:szCs w:val="20"/>
                <w:lang w:eastAsia="ru-RU"/>
              </w:rPr>
              <w:t>Лечебно-профилактические медицинские организации, оказывающие медицинскую помощь в стационарных условиях, коек</w:t>
            </w:r>
          </w:p>
        </w:tc>
        <w:tc>
          <w:tcPr>
            <w:tcW w:w="32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320</w:t>
            </w:r>
          </w:p>
        </w:tc>
        <w:tc>
          <w:tcPr>
            <w:tcW w:w="360"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320</w:t>
            </w:r>
          </w:p>
        </w:tc>
        <w:tc>
          <w:tcPr>
            <w:tcW w:w="325"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320</w:t>
            </w:r>
          </w:p>
        </w:tc>
        <w:tc>
          <w:tcPr>
            <w:tcW w:w="33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320</w:t>
            </w:r>
          </w:p>
        </w:tc>
        <w:tc>
          <w:tcPr>
            <w:tcW w:w="346"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315</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315</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315</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315</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315</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315</w:t>
            </w:r>
          </w:p>
        </w:tc>
        <w:tc>
          <w:tcPr>
            <w:tcW w:w="37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315</w:t>
            </w:r>
          </w:p>
        </w:tc>
      </w:tr>
    </w:tbl>
    <w:p w:rsidR="004616EA" w:rsidRDefault="004616EA">
      <w:pPr>
        <w:sectPr w:rsidR="004616EA" w:rsidSect="00CA4050">
          <w:type w:val="continuous"/>
          <w:pgSz w:w="16838" w:h="11906" w:orient="landscape"/>
          <w:pgMar w:top="567" w:right="567" w:bottom="2336"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25"/>
        <w:gridCol w:w="2684"/>
        <w:gridCol w:w="1032"/>
        <w:gridCol w:w="1146"/>
        <w:gridCol w:w="1035"/>
        <w:gridCol w:w="1057"/>
        <w:gridCol w:w="1102"/>
        <w:gridCol w:w="1191"/>
        <w:gridCol w:w="1191"/>
        <w:gridCol w:w="1191"/>
        <w:gridCol w:w="1191"/>
        <w:gridCol w:w="1191"/>
        <w:gridCol w:w="1184"/>
      </w:tblGrid>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vAlign w:val="center"/>
          </w:tcPr>
          <w:p w:rsidR="004616EA" w:rsidRPr="00DD0642" w:rsidRDefault="004616EA" w:rsidP="001704D9">
            <w:pPr>
              <w:spacing w:after="0" w:line="240" w:lineRule="auto"/>
              <w:jc w:val="both"/>
              <w:rPr>
                <w:rFonts w:ascii="Times New Roman" w:hAnsi="Times New Roman"/>
                <w:sz w:val="20"/>
                <w:szCs w:val="20"/>
                <w:lang w:eastAsia="ru-RU"/>
              </w:rPr>
            </w:pPr>
            <w:r w:rsidRPr="00DD0642">
              <w:rPr>
                <w:rFonts w:ascii="Times New Roman" w:hAnsi="Times New Roman"/>
                <w:sz w:val="20"/>
                <w:szCs w:val="20"/>
                <w:lang w:eastAsia="ru-RU"/>
              </w:rPr>
              <w:t>Лечебно-профилактические медицинские организации, оказывающие медицинскую помощь в амбулаторных условиях, посещений в смену</w:t>
            </w:r>
          </w:p>
        </w:tc>
        <w:tc>
          <w:tcPr>
            <w:tcW w:w="32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1598</w:t>
            </w:r>
          </w:p>
        </w:tc>
        <w:tc>
          <w:tcPr>
            <w:tcW w:w="360"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1598</w:t>
            </w:r>
          </w:p>
        </w:tc>
        <w:tc>
          <w:tcPr>
            <w:tcW w:w="325"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1598</w:t>
            </w:r>
          </w:p>
        </w:tc>
        <w:tc>
          <w:tcPr>
            <w:tcW w:w="33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1598</w:t>
            </w:r>
          </w:p>
        </w:tc>
        <w:tc>
          <w:tcPr>
            <w:tcW w:w="346"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1598</w:t>
            </w:r>
          </w:p>
        </w:tc>
        <w:tc>
          <w:tcPr>
            <w:tcW w:w="374" w:type="pct"/>
            <w:tcMar>
              <w:left w:w="108" w:type="dxa"/>
              <w:right w:w="108" w:type="dxa"/>
            </w:tcMar>
            <w:vAlign w:val="center"/>
          </w:tcPr>
          <w:p w:rsidR="004616EA" w:rsidRPr="004D7446" w:rsidRDefault="004616EA" w:rsidP="001704D9">
            <w:pPr>
              <w:spacing w:after="0"/>
              <w:jc w:val="center"/>
              <w:rPr>
                <w:rFonts w:ascii="Times New Roman" w:hAnsi="Times New Roman"/>
                <w:sz w:val="20"/>
                <w:szCs w:val="20"/>
                <w:lang w:eastAsia="ru-RU"/>
              </w:rPr>
            </w:pPr>
            <w:r w:rsidRPr="004D7446">
              <w:rPr>
                <w:rFonts w:ascii="Times New Roman" w:hAnsi="Times New Roman"/>
                <w:sz w:val="20"/>
                <w:szCs w:val="20"/>
                <w:lang w:eastAsia="ru-RU"/>
              </w:rPr>
              <w:t>1848</w:t>
            </w:r>
          </w:p>
        </w:tc>
        <w:tc>
          <w:tcPr>
            <w:tcW w:w="374" w:type="pct"/>
            <w:tcMar>
              <w:left w:w="108" w:type="dxa"/>
              <w:right w:w="108" w:type="dxa"/>
            </w:tcMar>
            <w:vAlign w:val="center"/>
          </w:tcPr>
          <w:p w:rsidR="004616EA" w:rsidRPr="004D7446" w:rsidRDefault="004616EA" w:rsidP="001704D9">
            <w:pPr>
              <w:spacing w:after="0"/>
              <w:jc w:val="center"/>
              <w:rPr>
                <w:rFonts w:ascii="Times New Roman" w:hAnsi="Times New Roman"/>
                <w:sz w:val="20"/>
                <w:szCs w:val="20"/>
                <w:lang w:eastAsia="ru-RU"/>
              </w:rPr>
            </w:pPr>
            <w:r w:rsidRPr="004D7446">
              <w:rPr>
                <w:rFonts w:ascii="Times New Roman" w:hAnsi="Times New Roman"/>
                <w:sz w:val="20"/>
                <w:szCs w:val="20"/>
                <w:lang w:eastAsia="ru-RU"/>
              </w:rPr>
              <w:t>1848</w:t>
            </w:r>
          </w:p>
        </w:tc>
        <w:tc>
          <w:tcPr>
            <w:tcW w:w="374" w:type="pct"/>
            <w:tcMar>
              <w:left w:w="108" w:type="dxa"/>
              <w:right w:w="108" w:type="dxa"/>
            </w:tcMar>
            <w:vAlign w:val="center"/>
          </w:tcPr>
          <w:p w:rsidR="004616EA" w:rsidRPr="004D7446" w:rsidRDefault="004616EA" w:rsidP="001704D9">
            <w:pPr>
              <w:spacing w:after="0"/>
              <w:jc w:val="center"/>
              <w:rPr>
                <w:rFonts w:ascii="Times New Roman" w:hAnsi="Times New Roman"/>
                <w:sz w:val="20"/>
                <w:szCs w:val="20"/>
                <w:lang w:eastAsia="ru-RU"/>
              </w:rPr>
            </w:pPr>
            <w:r w:rsidRPr="004D7446">
              <w:rPr>
                <w:rFonts w:ascii="Times New Roman" w:hAnsi="Times New Roman"/>
                <w:sz w:val="20"/>
                <w:szCs w:val="20"/>
                <w:lang w:eastAsia="ru-RU"/>
              </w:rPr>
              <w:t>1848</w:t>
            </w:r>
          </w:p>
        </w:tc>
        <w:tc>
          <w:tcPr>
            <w:tcW w:w="374" w:type="pct"/>
            <w:tcMar>
              <w:left w:w="108" w:type="dxa"/>
              <w:right w:w="108" w:type="dxa"/>
            </w:tcMar>
            <w:vAlign w:val="center"/>
          </w:tcPr>
          <w:p w:rsidR="004616EA" w:rsidRPr="004D7446" w:rsidRDefault="004616EA" w:rsidP="001704D9">
            <w:pPr>
              <w:spacing w:after="0"/>
              <w:jc w:val="center"/>
              <w:rPr>
                <w:rFonts w:ascii="Times New Roman" w:hAnsi="Times New Roman"/>
                <w:sz w:val="20"/>
                <w:szCs w:val="20"/>
                <w:lang w:eastAsia="ru-RU"/>
              </w:rPr>
            </w:pPr>
            <w:r w:rsidRPr="004D7446">
              <w:rPr>
                <w:rFonts w:ascii="Times New Roman" w:hAnsi="Times New Roman"/>
                <w:sz w:val="20"/>
                <w:szCs w:val="20"/>
                <w:lang w:eastAsia="ru-RU"/>
              </w:rPr>
              <w:t>1848</w:t>
            </w:r>
          </w:p>
        </w:tc>
        <w:tc>
          <w:tcPr>
            <w:tcW w:w="374" w:type="pct"/>
            <w:tcMar>
              <w:left w:w="108" w:type="dxa"/>
              <w:right w:w="108" w:type="dxa"/>
            </w:tcMar>
            <w:vAlign w:val="center"/>
          </w:tcPr>
          <w:p w:rsidR="004616EA" w:rsidRPr="004D7446" w:rsidRDefault="004616EA" w:rsidP="001704D9">
            <w:pPr>
              <w:spacing w:after="0"/>
              <w:jc w:val="center"/>
              <w:rPr>
                <w:rFonts w:ascii="Times New Roman" w:hAnsi="Times New Roman"/>
                <w:sz w:val="20"/>
                <w:szCs w:val="20"/>
                <w:lang w:eastAsia="ru-RU"/>
              </w:rPr>
            </w:pPr>
            <w:r w:rsidRPr="004D7446">
              <w:rPr>
                <w:rFonts w:ascii="Times New Roman" w:hAnsi="Times New Roman"/>
                <w:sz w:val="20"/>
                <w:szCs w:val="20"/>
                <w:lang w:eastAsia="ru-RU"/>
              </w:rPr>
              <w:t>1848</w:t>
            </w:r>
          </w:p>
        </w:tc>
        <w:tc>
          <w:tcPr>
            <w:tcW w:w="372" w:type="pct"/>
            <w:tcMar>
              <w:left w:w="108" w:type="dxa"/>
              <w:right w:w="108" w:type="dxa"/>
            </w:tcMar>
            <w:vAlign w:val="center"/>
          </w:tcPr>
          <w:p w:rsidR="004616EA" w:rsidRPr="004D7446" w:rsidRDefault="004616EA" w:rsidP="001704D9">
            <w:pPr>
              <w:spacing w:after="0"/>
              <w:jc w:val="center"/>
              <w:rPr>
                <w:rFonts w:ascii="Times New Roman" w:hAnsi="Times New Roman"/>
                <w:sz w:val="20"/>
                <w:szCs w:val="20"/>
                <w:lang w:eastAsia="ru-RU"/>
              </w:rPr>
            </w:pPr>
            <w:r w:rsidRPr="004D7446">
              <w:rPr>
                <w:rFonts w:ascii="Times New Roman" w:hAnsi="Times New Roman"/>
                <w:sz w:val="20"/>
                <w:szCs w:val="20"/>
                <w:lang w:eastAsia="ru-RU"/>
              </w:rPr>
              <w:t>1848</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Станции скорой медицинской помощи, автомобилей</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7.2.</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Информатизация здравоохранения</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Введение системы электронной истории болезни и индивидуальной карты амбулаторного больного, %</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100</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8.</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культурной сферы</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8.1.</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Создание условий для обеспечения деятельности учреждений культуры</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Кинотеатры, объект</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Библиотеки, объект</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Учреждения культурно-досугового типа, мест</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1492</w:t>
            </w:r>
          </w:p>
        </w:tc>
        <w:tc>
          <w:tcPr>
            <w:tcW w:w="360"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val="en-US" w:eastAsia="ru-RU"/>
              </w:rPr>
            </w:pPr>
            <w:r w:rsidRPr="00283B39">
              <w:rPr>
                <w:rFonts w:ascii="Times New Roman" w:hAnsi="Times New Roman"/>
                <w:sz w:val="20"/>
                <w:szCs w:val="20"/>
                <w:lang w:val="en-US" w:eastAsia="ru-RU"/>
              </w:rPr>
              <w:t>1374</w:t>
            </w:r>
          </w:p>
        </w:tc>
        <w:tc>
          <w:tcPr>
            <w:tcW w:w="325"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val="en-US" w:eastAsia="ru-RU"/>
              </w:rPr>
            </w:pPr>
            <w:r w:rsidRPr="00283B39">
              <w:rPr>
                <w:rFonts w:ascii="Times New Roman" w:hAnsi="Times New Roman"/>
                <w:sz w:val="20"/>
                <w:szCs w:val="20"/>
                <w:lang w:val="en-US" w:eastAsia="ru-RU"/>
              </w:rPr>
              <w:t>1374</w:t>
            </w:r>
          </w:p>
        </w:tc>
        <w:tc>
          <w:tcPr>
            <w:tcW w:w="33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val="en-US" w:eastAsia="ru-RU"/>
              </w:rPr>
            </w:pPr>
            <w:r w:rsidRPr="00283B39">
              <w:rPr>
                <w:rFonts w:ascii="Times New Roman" w:hAnsi="Times New Roman"/>
                <w:sz w:val="20"/>
                <w:szCs w:val="20"/>
                <w:lang w:val="en-US" w:eastAsia="ru-RU"/>
              </w:rPr>
              <w:t>1374</w:t>
            </w:r>
          </w:p>
        </w:tc>
        <w:tc>
          <w:tcPr>
            <w:tcW w:w="346"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1374</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1374</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1374</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1374</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1374</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1374</w:t>
            </w:r>
          </w:p>
        </w:tc>
        <w:tc>
          <w:tcPr>
            <w:tcW w:w="372"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1374</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Музеи, объект</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2</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p w:rsidR="004616EA" w:rsidRDefault="004616EA"/>
    <w:p w:rsidR="004616EA" w:rsidRDefault="004616EA"/>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25"/>
        <w:gridCol w:w="2684"/>
        <w:gridCol w:w="1032"/>
        <w:gridCol w:w="1146"/>
        <w:gridCol w:w="1035"/>
        <w:gridCol w:w="1057"/>
        <w:gridCol w:w="1102"/>
        <w:gridCol w:w="1191"/>
        <w:gridCol w:w="1191"/>
        <w:gridCol w:w="1191"/>
        <w:gridCol w:w="1191"/>
        <w:gridCol w:w="1191"/>
        <w:gridCol w:w="1184"/>
      </w:tblGrid>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9.</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физической культуры и массового спорта</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1458"/>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9.1.</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Создание условий для максимального вовлечения населения в систематические занятия физической культурой и спортом</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DD0642" w:rsidRDefault="004616EA" w:rsidP="001704D9">
            <w:pPr>
              <w:spacing w:line="240" w:lineRule="auto"/>
              <w:rPr>
                <w:rFonts w:ascii="Times New Roman" w:hAnsi="Times New Roman"/>
                <w:sz w:val="20"/>
                <w:szCs w:val="20"/>
              </w:rPr>
            </w:pPr>
            <w:r w:rsidRPr="00DD0642">
              <w:rPr>
                <w:rFonts w:ascii="Times New Roman" w:hAnsi="Times New Roman"/>
                <w:sz w:val="20"/>
                <w:szCs w:val="20"/>
              </w:rPr>
              <w:t>Спортивные залы, кв. м площади пола</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16798,9</w:t>
            </w:r>
          </w:p>
        </w:tc>
        <w:tc>
          <w:tcPr>
            <w:tcW w:w="360"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16798,9</w:t>
            </w:r>
          </w:p>
        </w:tc>
        <w:tc>
          <w:tcPr>
            <w:tcW w:w="325"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17339</w:t>
            </w:r>
          </w:p>
        </w:tc>
        <w:tc>
          <w:tcPr>
            <w:tcW w:w="33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17635</w:t>
            </w:r>
          </w:p>
        </w:tc>
        <w:tc>
          <w:tcPr>
            <w:tcW w:w="346"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17635</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17635</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17635</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17635</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18283</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18859</w:t>
            </w:r>
          </w:p>
        </w:tc>
        <w:tc>
          <w:tcPr>
            <w:tcW w:w="37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19435</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vAlign w:val="center"/>
          </w:tcPr>
          <w:p w:rsidR="004616EA" w:rsidRPr="00DD0642" w:rsidRDefault="004616EA" w:rsidP="001704D9">
            <w:pPr>
              <w:spacing w:after="0" w:line="240" w:lineRule="auto"/>
              <w:jc w:val="both"/>
              <w:rPr>
                <w:rFonts w:ascii="Times New Roman" w:hAnsi="Times New Roman"/>
                <w:sz w:val="20"/>
                <w:szCs w:val="20"/>
                <w:lang w:eastAsia="ru-RU"/>
              </w:rPr>
            </w:pPr>
            <w:r w:rsidRPr="00DD0642">
              <w:rPr>
                <w:rFonts w:ascii="Times New Roman" w:hAnsi="Times New Roman"/>
                <w:sz w:val="20"/>
                <w:szCs w:val="20"/>
                <w:lang w:eastAsia="ru-RU"/>
              </w:rPr>
              <w:t>Плавательные бассейны, кв. м зеркала воды</w:t>
            </w:r>
          </w:p>
        </w:tc>
        <w:tc>
          <w:tcPr>
            <w:tcW w:w="32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494</w:t>
            </w:r>
          </w:p>
        </w:tc>
        <w:tc>
          <w:tcPr>
            <w:tcW w:w="360"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494</w:t>
            </w:r>
          </w:p>
        </w:tc>
        <w:tc>
          <w:tcPr>
            <w:tcW w:w="325"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494</w:t>
            </w:r>
          </w:p>
        </w:tc>
        <w:tc>
          <w:tcPr>
            <w:tcW w:w="33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494</w:t>
            </w:r>
          </w:p>
        </w:tc>
        <w:tc>
          <w:tcPr>
            <w:tcW w:w="346"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494</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494</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494</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494</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1744</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1744</w:t>
            </w:r>
          </w:p>
        </w:tc>
        <w:tc>
          <w:tcPr>
            <w:tcW w:w="37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1744</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vAlign w:val="center"/>
          </w:tcPr>
          <w:p w:rsidR="004616EA" w:rsidRPr="00DD0642" w:rsidRDefault="004616EA" w:rsidP="001704D9">
            <w:pPr>
              <w:spacing w:after="0" w:line="240" w:lineRule="auto"/>
              <w:jc w:val="both"/>
              <w:rPr>
                <w:rFonts w:ascii="Times New Roman" w:hAnsi="Times New Roman"/>
                <w:sz w:val="20"/>
                <w:szCs w:val="20"/>
                <w:lang w:eastAsia="ru-RU"/>
              </w:rPr>
            </w:pPr>
            <w:r w:rsidRPr="00DD0642">
              <w:rPr>
                <w:rFonts w:ascii="Times New Roman" w:hAnsi="Times New Roman"/>
                <w:sz w:val="20"/>
                <w:szCs w:val="20"/>
                <w:lang w:eastAsia="ru-RU"/>
              </w:rPr>
              <w:t>Плоскостные сооружения, кв. м</w:t>
            </w:r>
          </w:p>
        </w:tc>
        <w:tc>
          <w:tcPr>
            <w:tcW w:w="32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44229</w:t>
            </w:r>
          </w:p>
        </w:tc>
        <w:tc>
          <w:tcPr>
            <w:tcW w:w="360"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44229</w:t>
            </w:r>
          </w:p>
        </w:tc>
        <w:tc>
          <w:tcPr>
            <w:tcW w:w="325"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44989</w:t>
            </w:r>
          </w:p>
        </w:tc>
        <w:tc>
          <w:tcPr>
            <w:tcW w:w="33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44989</w:t>
            </w:r>
          </w:p>
        </w:tc>
        <w:tc>
          <w:tcPr>
            <w:tcW w:w="346"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45043</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45190</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45632</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46859</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47472</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49680</w:t>
            </w:r>
          </w:p>
        </w:tc>
        <w:tc>
          <w:tcPr>
            <w:tcW w:w="37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51594</w:t>
            </w:r>
          </w:p>
        </w:tc>
      </w:tr>
      <w:tr w:rsidR="004616EA" w:rsidRPr="00283B39" w:rsidTr="00D03F73">
        <w:trPr>
          <w:trHeight w:val="56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 коммунальной, энергетической и коммуникационной инфраструктур</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4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10.1.</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системы теплоснабжения</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Теплопотребление, млн Гкал/год</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0,589</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0,546</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0,524</w:t>
            </w:r>
          </w:p>
        </w:tc>
        <w:tc>
          <w:tcPr>
            <w:tcW w:w="332"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0,513</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0,705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0,715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0,724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0,735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0,747</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0,754</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0,759</w:t>
            </w: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Обеспеченность жилья централизованным теплоснабжением, % от общей площади</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32"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4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72"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Износ тепловых сетей, %</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lang w:val="en-US"/>
              </w:rPr>
            </w:pPr>
            <w:r w:rsidRPr="00283B39">
              <w:rPr>
                <w:rFonts w:ascii="Times New Roman" w:hAnsi="Times New Roman"/>
                <w:sz w:val="20"/>
                <w:szCs w:val="20"/>
                <w:lang w:val="en-US" w:eastAsia="ru-RU"/>
              </w:rPr>
              <w:t>62</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lang w:val="en-US"/>
              </w:rPr>
            </w:pPr>
            <w:r w:rsidRPr="00283B39">
              <w:rPr>
                <w:rFonts w:ascii="Times New Roman" w:hAnsi="Times New Roman"/>
                <w:sz w:val="20"/>
                <w:szCs w:val="20"/>
                <w:lang w:val="en-US" w:eastAsia="ru-RU"/>
              </w:rPr>
              <w:t>60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lang w:val="en-US"/>
              </w:rPr>
            </w:pPr>
            <w:r w:rsidRPr="00283B39">
              <w:rPr>
                <w:rFonts w:ascii="Times New Roman" w:hAnsi="Times New Roman"/>
                <w:sz w:val="20"/>
                <w:szCs w:val="20"/>
                <w:lang w:val="en-US" w:eastAsia="ru-RU"/>
              </w:rPr>
              <w:t>58,7</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57,6</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55,6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45</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40</w:t>
            </w:r>
          </w:p>
        </w:tc>
      </w:tr>
    </w:tbl>
    <w:p w:rsidR="004616EA" w:rsidRDefault="004616EA">
      <w:pPr>
        <w:sectPr w:rsidR="004616EA" w:rsidSect="00CA4050">
          <w:type w:val="continuous"/>
          <w:pgSz w:w="16838" w:h="11906" w:orient="landscape"/>
          <w:pgMar w:top="567" w:right="567" w:bottom="1977"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25"/>
        <w:gridCol w:w="2684"/>
        <w:gridCol w:w="1032"/>
        <w:gridCol w:w="1146"/>
        <w:gridCol w:w="1035"/>
        <w:gridCol w:w="1057"/>
        <w:gridCol w:w="1102"/>
        <w:gridCol w:w="1191"/>
        <w:gridCol w:w="1191"/>
        <w:gridCol w:w="1191"/>
        <w:gridCol w:w="1191"/>
        <w:gridCol w:w="1191"/>
        <w:gridCol w:w="1184"/>
      </w:tblGrid>
      <w:tr w:rsidR="004616EA" w:rsidRPr="00283B39" w:rsidTr="00D03F73">
        <w:trPr>
          <w:trHeight w:val="34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10.2.</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системы электроснабжения</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Электропотребление, млн кВт. ч./год</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56,45</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eastAsia="ru-RU"/>
              </w:rPr>
              <w:t>н/д</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5</w:t>
            </w:r>
            <w:r w:rsidRPr="00283B39">
              <w:rPr>
                <w:rFonts w:ascii="Times New Roman" w:hAnsi="Times New Roman"/>
                <w:sz w:val="20"/>
                <w:szCs w:val="20"/>
                <w:lang w:val="en-US"/>
              </w:rPr>
              <w:t>7</w:t>
            </w:r>
            <w:r w:rsidRPr="00283B39">
              <w:rPr>
                <w:rFonts w:ascii="Times New Roman" w:hAnsi="Times New Roman"/>
                <w:sz w:val="20"/>
                <w:szCs w:val="20"/>
              </w:rPr>
              <w:t>,</w:t>
            </w:r>
            <w:r w:rsidRPr="00283B39">
              <w:rPr>
                <w:rFonts w:ascii="Times New Roman" w:hAnsi="Times New Roman"/>
                <w:sz w:val="20"/>
                <w:szCs w:val="20"/>
                <w:lang w:val="en-US"/>
              </w:rPr>
              <w:t>11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58,</w:t>
            </w:r>
            <w:r w:rsidRPr="00283B39">
              <w:rPr>
                <w:rFonts w:ascii="Times New Roman" w:hAnsi="Times New Roman"/>
                <w:sz w:val="20"/>
                <w:szCs w:val="20"/>
                <w:lang w:val="en-US"/>
              </w:rPr>
              <w:t>7</w:t>
            </w:r>
            <w:r w:rsidRPr="00283B39">
              <w:rPr>
                <w:rFonts w:ascii="Times New Roman" w:hAnsi="Times New Roman"/>
                <w:sz w:val="20"/>
                <w:szCs w:val="20"/>
              </w:rPr>
              <w:t>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60</w:t>
            </w:r>
            <w:r w:rsidRPr="00283B39">
              <w:rPr>
                <w:rFonts w:ascii="Times New Roman" w:hAnsi="Times New Roman"/>
                <w:sz w:val="20"/>
                <w:szCs w:val="20"/>
              </w:rPr>
              <w:t>,</w:t>
            </w:r>
            <w:r w:rsidRPr="00283B39">
              <w:rPr>
                <w:rFonts w:ascii="Times New Roman" w:hAnsi="Times New Roman"/>
                <w:sz w:val="20"/>
                <w:szCs w:val="20"/>
                <w:lang w:val="en-US"/>
              </w:rPr>
              <w:t>58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6</w:t>
            </w:r>
            <w:r w:rsidRPr="00283B39">
              <w:rPr>
                <w:rFonts w:ascii="Times New Roman" w:hAnsi="Times New Roman"/>
                <w:sz w:val="20"/>
                <w:szCs w:val="20"/>
                <w:lang w:val="en-US"/>
              </w:rPr>
              <w:t>4</w:t>
            </w:r>
            <w:r w:rsidRPr="00283B39">
              <w:rPr>
                <w:rFonts w:ascii="Times New Roman" w:hAnsi="Times New Roman"/>
                <w:sz w:val="20"/>
                <w:szCs w:val="20"/>
              </w:rPr>
              <w:t>,</w:t>
            </w:r>
            <w:r w:rsidRPr="00283B39">
              <w:rPr>
                <w:rFonts w:ascii="Times New Roman" w:hAnsi="Times New Roman"/>
                <w:sz w:val="20"/>
                <w:szCs w:val="20"/>
                <w:lang w:val="en-US"/>
              </w:rPr>
              <w:t>22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6</w:t>
            </w:r>
            <w:r w:rsidRPr="00283B39">
              <w:rPr>
                <w:rFonts w:ascii="Times New Roman" w:hAnsi="Times New Roman"/>
                <w:sz w:val="20"/>
                <w:szCs w:val="20"/>
                <w:lang w:val="en-US"/>
              </w:rPr>
              <w:t>7</w:t>
            </w:r>
            <w:r w:rsidRPr="00283B39">
              <w:rPr>
                <w:rFonts w:ascii="Times New Roman" w:hAnsi="Times New Roman"/>
                <w:sz w:val="20"/>
                <w:szCs w:val="20"/>
              </w:rPr>
              <w:t>,</w:t>
            </w:r>
            <w:r w:rsidRPr="00283B39">
              <w:rPr>
                <w:rFonts w:ascii="Times New Roman" w:hAnsi="Times New Roman"/>
                <w:sz w:val="20"/>
                <w:szCs w:val="20"/>
                <w:lang w:val="en-US"/>
              </w:rPr>
              <w:t>63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7</w:t>
            </w:r>
            <w:r w:rsidRPr="00283B39">
              <w:rPr>
                <w:rFonts w:ascii="Times New Roman" w:hAnsi="Times New Roman"/>
                <w:sz w:val="20"/>
                <w:szCs w:val="20"/>
                <w:lang w:val="en-US"/>
              </w:rPr>
              <w:t>3</w:t>
            </w:r>
            <w:r w:rsidRPr="00283B39">
              <w:rPr>
                <w:rFonts w:ascii="Times New Roman" w:hAnsi="Times New Roman"/>
                <w:sz w:val="20"/>
                <w:szCs w:val="20"/>
              </w:rPr>
              <w:t>,</w:t>
            </w:r>
            <w:r w:rsidRPr="00283B39">
              <w:rPr>
                <w:rFonts w:ascii="Times New Roman" w:hAnsi="Times New Roman"/>
                <w:sz w:val="20"/>
                <w:szCs w:val="20"/>
                <w:lang w:val="en-US"/>
              </w:rPr>
              <w:t>65</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79,</w:t>
            </w:r>
            <w:r w:rsidRPr="00283B39">
              <w:rPr>
                <w:rFonts w:ascii="Times New Roman" w:hAnsi="Times New Roman"/>
                <w:sz w:val="20"/>
                <w:szCs w:val="20"/>
                <w:lang w:val="en-US"/>
              </w:rPr>
              <w:t>1</w:t>
            </w:r>
            <w:r w:rsidRPr="00283B39">
              <w:rPr>
                <w:rFonts w:ascii="Times New Roman" w:hAnsi="Times New Roman"/>
                <w:sz w:val="20"/>
                <w:szCs w:val="20"/>
              </w:rPr>
              <w:t>0</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Техническое состояние линий электроснабжения</w:t>
            </w:r>
            <w:r w:rsidRPr="00283B39">
              <w:rPr>
                <w:rFonts w:ascii="Arial" w:hAnsi="Arial" w:cs="Arial"/>
                <w:sz w:val="20"/>
                <w:szCs w:val="20"/>
                <w:vertAlign w:val="superscript"/>
              </w:rPr>
              <w:footnoteReference w:id="1"/>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хорошее</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хорошее</w:t>
            </w:r>
          </w:p>
        </w:tc>
        <w:tc>
          <w:tcPr>
            <w:tcW w:w="372"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хорошее</w:t>
            </w: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объектов жилищного фонда, обеспеченных централизованным электроснабжением, % от общей площади</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4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10.3.</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системы водоснабжения</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водопотребления, тыс. м3/сут.</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18,2</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16,3</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14,4</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13,4</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18</w:t>
            </w:r>
            <w:r w:rsidRPr="00283B39">
              <w:rPr>
                <w:rFonts w:ascii="Times New Roman" w:hAnsi="Times New Roman"/>
                <w:sz w:val="20"/>
                <w:szCs w:val="20"/>
              </w:rPr>
              <w:t>,</w:t>
            </w:r>
            <w:r w:rsidRPr="00283B39">
              <w:rPr>
                <w:rFonts w:ascii="Times New Roman" w:hAnsi="Times New Roman"/>
                <w:sz w:val="20"/>
                <w:szCs w:val="20"/>
                <w:lang w:val="en-US"/>
              </w:rPr>
              <w:t>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18,9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20,8</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21,1</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Износ водопроводной сети, %</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47</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49</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50</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50</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38</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36</w:t>
            </w: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объектов жилищного фонда, обеспеченных централизованным водоснабжением, % от общей площади</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38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10.4.</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системы водоотведения</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25"/>
        <w:gridCol w:w="2684"/>
        <w:gridCol w:w="1032"/>
        <w:gridCol w:w="1146"/>
        <w:gridCol w:w="1035"/>
        <w:gridCol w:w="1057"/>
        <w:gridCol w:w="1102"/>
        <w:gridCol w:w="1191"/>
        <w:gridCol w:w="1191"/>
        <w:gridCol w:w="1191"/>
        <w:gridCol w:w="1191"/>
        <w:gridCol w:w="1191"/>
        <w:gridCol w:w="1184"/>
      </w:tblGrid>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водоотведения, тыс. м3/сут.</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15,4</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14,5</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12,8</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11,7</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16,2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16,7</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16,9</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Износ канализационной сети, %</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55</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55</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60</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63</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5</w:t>
            </w:r>
            <w:r w:rsidRPr="00283B39">
              <w:rPr>
                <w:rFonts w:ascii="Times New Roman" w:hAnsi="Times New Roman"/>
                <w:sz w:val="20"/>
                <w:szCs w:val="20"/>
                <w:lang w:val="en-US"/>
              </w:rPr>
              <w:t>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56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40</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35</w:t>
            </w: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объектов жилищного фонда, обеспеченных централизованным водоотведением, % от общей площади</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100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100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100</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объектов жилищного фонда, обеспеченных централизованным водоотведением (частный сектор за р. Кирилл-Высьягун), %</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66</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71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76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34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10.5.</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системы газоснабжения</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Обеспеченность жилья централизованным газоснабжением, % от общей площади</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0,44</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Обеспеченность жилья централизованным газоснабжением (частный сектор за р. Кирилл-Высьягун), %</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Газопотребление, млн м3/год</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98,652</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83,57</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81,779</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81,121</w:t>
            </w:r>
          </w:p>
        </w:tc>
        <w:tc>
          <w:tcPr>
            <w:tcW w:w="34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88,1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89,4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90,5</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91,9</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93,4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94,3</w:t>
            </w:r>
          </w:p>
        </w:tc>
        <w:tc>
          <w:tcPr>
            <w:tcW w:w="372"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94,9</w:t>
            </w:r>
          </w:p>
        </w:tc>
      </w:tr>
    </w:tbl>
    <w:p w:rsidR="004616EA" w:rsidRDefault="004616EA">
      <w:pPr>
        <w:sectPr w:rsidR="004616EA" w:rsidSect="00CA4050">
          <w:type w:val="continuous"/>
          <w:pgSz w:w="16838" w:h="11906" w:orient="landscape"/>
          <w:pgMar w:top="567" w:right="567" w:bottom="2552" w:left="567" w:header="709" w:footer="709" w:gutter="0"/>
          <w:cols w:space="708"/>
          <w:docGrid w:linePitch="360"/>
        </w:sectPr>
      </w:pPr>
    </w:p>
    <w:p w:rsidR="004616EA" w:rsidRDefault="004616EA"/>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25"/>
        <w:gridCol w:w="2684"/>
        <w:gridCol w:w="1032"/>
        <w:gridCol w:w="1146"/>
        <w:gridCol w:w="1035"/>
        <w:gridCol w:w="1057"/>
        <w:gridCol w:w="1102"/>
        <w:gridCol w:w="1191"/>
        <w:gridCol w:w="1191"/>
        <w:gridCol w:w="1191"/>
        <w:gridCol w:w="1191"/>
        <w:gridCol w:w="1191"/>
        <w:gridCol w:w="1184"/>
      </w:tblGrid>
      <w:tr w:rsidR="004616EA" w:rsidRPr="00283B39" w:rsidTr="00D03F73">
        <w:trPr>
          <w:trHeight w:val="600"/>
          <w:jc w:val="center"/>
        </w:trPr>
        <w:tc>
          <w:tcPr>
            <w:tcW w:w="228" w:type="pct"/>
            <w:tcMar>
              <w:left w:w="108" w:type="dxa"/>
              <w:right w:w="108" w:type="dxa"/>
            </w:tcMar>
          </w:tcPr>
          <w:p w:rsidR="004616EA" w:rsidRPr="00283B39" w:rsidRDefault="004616EA" w:rsidP="00131310">
            <w:pPr>
              <w:spacing w:line="240" w:lineRule="auto"/>
              <w:rPr>
                <w:rFonts w:ascii="Times New Roman" w:hAnsi="Times New Roman"/>
                <w:sz w:val="20"/>
                <w:szCs w:val="20"/>
              </w:rPr>
            </w:pPr>
            <w:r w:rsidRPr="00283B39">
              <w:rPr>
                <w:rFonts w:ascii="Times New Roman" w:hAnsi="Times New Roman"/>
                <w:sz w:val="20"/>
                <w:szCs w:val="20"/>
              </w:rPr>
              <w:t>10.</w:t>
            </w:r>
            <w:r>
              <w:rPr>
                <w:rFonts w:ascii="Times New Roman" w:hAnsi="Times New Roman"/>
                <w:sz w:val="20"/>
                <w:szCs w:val="20"/>
              </w:rPr>
              <w:t>6</w:t>
            </w:r>
            <w:r w:rsidRPr="00283B39">
              <w:rPr>
                <w:rFonts w:ascii="Times New Roman" w:hAnsi="Times New Roman"/>
                <w:sz w:val="20"/>
                <w:szCs w:val="20"/>
              </w:rPr>
              <w:t>.</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объектов, используемых для захоронения и уничтожения отходов производства и потребления</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Площадь участка полигона ТБО, га</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32"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4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0,8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2,4</w:t>
            </w:r>
          </w:p>
        </w:tc>
        <w:tc>
          <w:tcPr>
            <w:tcW w:w="372"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3,2</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11.</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транспортной инфраструктуры</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Обеспеченность светофорными объектами, шт.</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Совершенствование и развитие сети автомобильных дорог на территории городского округа, км</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50,5</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58,5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66,1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73,3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80,1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86,5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92,5</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98,1</w:t>
            </w: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Протяженность автомобильных дорог общего пользования местного значения (магистральных улиц и дорог), км</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1</w:t>
            </w:r>
            <w:r w:rsidRPr="00283B39">
              <w:rPr>
                <w:rFonts w:ascii="Times New Roman" w:hAnsi="Times New Roman"/>
                <w:sz w:val="20"/>
                <w:szCs w:val="20"/>
              </w:rPr>
              <w:t>4,0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1</w:t>
            </w:r>
            <w:r w:rsidRPr="00283B39">
              <w:rPr>
                <w:rFonts w:ascii="Times New Roman" w:hAnsi="Times New Roman"/>
                <w:sz w:val="20"/>
                <w:szCs w:val="20"/>
              </w:rPr>
              <w:t>4,0</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1</w:t>
            </w:r>
            <w:r w:rsidRPr="00283B39">
              <w:rPr>
                <w:rFonts w:ascii="Times New Roman" w:hAnsi="Times New Roman"/>
                <w:sz w:val="20"/>
                <w:szCs w:val="20"/>
              </w:rPr>
              <w:t>5,5</w:t>
            </w:r>
          </w:p>
        </w:tc>
      </w:tr>
      <w:tr w:rsidR="004616EA" w:rsidRPr="00283B39" w:rsidTr="00D03F73">
        <w:trPr>
          <w:trHeight w:val="92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D03F73">
            <w:pPr>
              <w:spacing w:after="0" w:line="240" w:lineRule="auto"/>
              <w:rPr>
                <w:rFonts w:ascii="Times New Roman" w:hAnsi="Times New Roman"/>
                <w:sz w:val="20"/>
                <w:szCs w:val="20"/>
              </w:rPr>
            </w:pPr>
            <w:r w:rsidRPr="00283B39">
              <w:rPr>
                <w:rFonts w:ascii="Times New Roman" w:hAnsi="Times New Roman"/>
                <w:sz w:val="20"/>
                <w:szCs w:val="20"/>
              </w:rPr>
              <w:t xml:space="preserve">Доля протяженности автомобильных дорог общего пользования местного значения с твердым покрытием в общей протяженности автомобильных дорог </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25"/>
        <w:gridCol w:w="2684"/>
        <w:gridCol w:w="1032"/>
        <w:gridCol w:w="1146"/>
        <w:gridCol w:w="1035"/>
        <w:gridCol w:w="1057"/>
        <w:gridCol w:w="1102"/>
        <w:gridCol w:w="1191"/>
        <w:gridCol w:w="1191"/>
        <w:gridCol w:w="1191"/>
        <w:gridCol w:w="1191"/>
        <w:gridCol w:w="1191"/>
        <w:gridCol w:w="1184"/>
      </w:tblGrid>
      <w:tr w:rsidR="004616EA" w:rsidRPr="00283B39" w:rsidTr="00D03F73">
        <w:trPr>
          <w:trHeight w:val="92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p>
        </w:tc>
        <w:tc>
          <w:tcPr>
            <w:tcW w:w="843" w:type="pct"/>
            <w:tcMar>
              <w:left w:w="108" w:type="dxa"/>
              <w:right w:w="108" w:type="dxa"/>
            </w:tcMar>
          </w:tcPr>
          <w:p w:rsidR="004616EA" w:rsidRPr="00283B39" w:rsidRDefault="004616EA" w:rsidP="00D03F73">
            <w:pPr>
              <w:spacing w:after="0" w:line="240" w:lineRule="auto"/>
              <w:rPr>
                <w:rFonts w:ascii="Times New Roman" w:hAnsi="Times New Roman"/>
                <w:sz w:val="20"/>
                <w:szCs w:val="20"/>
              </w:rPr>
            </w:pPr>
            <w:r w:rsidRPr="00283B39">
              <w:rPr>
                <w:rFonts w:ascii="Times New Roman" w:hAnsi="Times New Roman"/>
                <w:sz w:val="20"/>
                <w:szCs w:val="20"/>
              </w:rPr>
              <w:t>общего пользования местного значения, %</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Количество личного автотранспорта на 1000 чел. населения, ед.</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290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275</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300</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305</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val="en-US"/>
              </w:rPr>
              <w:t>3</w:t>
            </w:r>
            <w:r w:rsidRPr="00283B39">
              <w:rPr>
                <w:rFonts w:ascii="Times New Roman" w:hAnsi="Times New Roman"/>
                <w:sz w:val="20"/>
                <w:szCs w:val="20"/>
              </w:rPr>
              <w:t>15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3</w:t>
            </w:r>
            <w:r w:rsidRPr="00283B39">
              <w:rPr>
                <w:rFonts w:ascii="Times New Roman" w:hAnsi="Times New Roman"/>
                <w:sz w:val="20"/>
                <w:szCs w:val="20"/>
              </w:rPr>
              <w:t>2</w:t>
            </w:r>
            <w:r w:rsidRPr="00283B39">
              <w:rPr>
                <w:rFonts w:ascii="Times New Roman" w:hAnsi="Times New Roman"/>
                <w:sz w:val="20"/>
                <w:szCs w:val="20"/>
                <w:lang w:val="en-US"/>
              </w:rPr>
              <w:t>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val="en-US"/>
              </w:rPr>
              <w:t>3</w:t>
            </w:r>
            <w:r w:rsidRPr="00283B39">
              <w:rPr>
                <w:rFonts w:ascii="Times New Roman" w:hAnsi="Times New Roman"/>
                <w:sz w:val="20"/>
                <w:szCs w:val="20"/>
              </w:rPr>
              <w:t>35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3</w:t>
            </w:r>
            <w:r w:rsidRPr="00283B39">
              <w:rPr>
                <w:rFonts w:ascii="Times New Roman" w:hAnsi="Times New Roman"/>
                <w:sz w:val="20"/>
                <w:szCs w:val="20"/>
              </w:rPr>
              <w:t>4</w:t>
            </w:r>
            <w:r w:rsidRPr="00283B39">
              <w:rPr>
                <w:rFonts w:ascii="Times New Roman" w:hAnsi="Times New Roman"/>
                <w:sz w:val="20"/>
                <w:szCs w:val="20"/>
                <w:lang w:val="en-US"/>
              </w:rPr>
              <w:t>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3</w:t>
            </w:r>
            <w:r w:rsidRPr="00283B39">
              <w:rPr>
                <w:rFonts w:ascii="Times New Roman" w:hAnsi="Times New Roman"/>
                <w:sz w:val="20"/>
                <w:szCs w:val="20"/>
              </w:rPr>
              <w:t>6</w:t>
            </w:r>
            <w:r w:rsidRPr="00283B39">
              <w:rPr>
                <w:rFonts w:ascii="Times New Roman" w:hAnsi="Times New Roman"/>
                <w:sz w:val="20"/>
                <w:szCs w:val="20"/>
                <w:lang w:val="en-US"/>
              </w:rPr>
              <w:t>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38</w:t>
            </w:r>
            <w:r w:rsidRPr="00283B39">
              <w:rPr>
                <w:rFonts w:ascii="Times New Roman" w:hAnsi="Times New Roman"/>
                <w:sz w:val="20"/>
                <w:szCs w:val="20"/>
                <w:lang w:val="en-US"/>
              </w:rPr>
              <w:t>0</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4</w:t>
            </w:r>
            <w:r w:rsidRPr="00283B39">
              <w:rPr>
                <w:rFonts w:ascii="Times New Roman" w:hAnsi="Times New Roman"/>
                <w:sz w:val="20"/>
                <w:szCs w:val="20"/>
              </w:rPr>
              <w:t>0</w:t>
            </w:r>
            <w:r w:rsidRPr="00283B39">
              <w:rPr>
                <w:rFonts w:ascii="Times New Roman" w:hAnsi="Times New Roman"/>
                <w:sz w:val="20"/>
                <w:szCs w:val="20"/>
                <w:lang w:val="en-US"/>
              </w:rPr>
              <w:t>0</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12.</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социальной защиты населения, рынка труда</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2"/>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12.1.</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Укрепление института семьи</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Соотношение количества браков и разводов (число разводов на 100 браков)</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93</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88</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64</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68</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68</w:t>
            </w: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12.2.</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Совершенствование условий жизнедеятельности жителей с ограниченными возможностями</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светофоров со звуковой сигнализацией, %</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32</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32</w:t>
            </w: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12.3.</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Создание условий для повышения уровня занятости</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31310">
            <w:pPr>
              <w:spacing w:line="240" w:lineRule="auto"/>
              <w:rPr>
                <w:rFonts w:ascii="Times New Roman" w:hAnsi="Times New Roman"/>
                <w:sz w:val="20"/>
                <w:szCs w:val="20"/>
              </w:rPr>
            </w:pPr>
            <w:r w:rsidRPr="00283B39">
              <w:rPr>
                <w:rFonts w:ascii="Times New Roman" w:hAnsi="Times New Roman"/>
                <w:sz w:val="20"/>
                <w:szCs w:val="20"/>
              </w:rPr>
              <w:t xml:space="preserve">Уровень официально зарегистрированной безработицы, % </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0,6</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0,7</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0,5</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0,39</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0,37</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0,37</w:t>
            </w:r>
          </w:p>
        </w:tc>
      </w:tr>
      <w:tr w:rsidR="004616EA" w:rsidRPr="00283B39" w:rsidTr="00D03F73">
        <w:trPr>
          <w:trHeight w:val="300"/>
          <w:jc w:val="center"/>
        </w:trPr>
        <w:tc>
          <w:tcPr>
            <w:tcW w:w="228" w:type="pct"/>
            <w:tcMar>
              <w:left w:w="108" w:type="dxa"/>
              <w:right w:w="108" w:type="dxa"/>
            </w:tcMar>
          </w:tcPr>
          <w:p w:rsidR="004616EA" w:rsidRPr="00D873F5" w:rsidRDefault="004616EA" w:rsidP="00D873F5">
            <w:pPr>
              <w:spacing w:line="240" w:lineRule="auto"/>
              <w:rPr>
                <w:rFonts w:ascii="Times New Roman" w:hAnsi="Times New Roman"/>
                <w:sz w:val="20"/>
                <w:szCs w:val="20"/>
              </w:rPr>
            </w:pPr>
            <w:r w:rsidRPr="00D873F5">
              <w:rPr>
                <w:rFonts w:ascii="Times New Roman" w:hAnsi="Times New Roman"/>
                <w:sz w:val="20"/>
                <w:szCs w:val="20"/>
              </w:rPr>
              <w:t> </w:t>
            </w:r>
          </w:p>
        </w:tc>
        <w:tc>
          <w:tcPr>
            <w:tcW w:w="843" w:type="pct"/>
            <w:tcMar>
              <w:left w:w="108" w:type="dxa"/>
              <w:right w:w="108" w:type="dxa"/>
            </w:tcMar>
          </w:tcPr>
          <w:p w:rsidR="004616EA" w:rsidRPr="00D873F5" w:rsidRDefault="004616EA" w:rsidP="00D873F5">
            <w:pPr>
              <w:spacing w:line="240" w:lineRule="auto"/>
              <w:rPr>
                <w:rFonts w:ascii="Times New Roman" w:hAnsi="Times New Roman"/>
                <w:sz w:val="20"/>
                <w:szCs w:val="20"/>
              </w:rPr>
            </w:pPr>
            <w:r w:rsidRPr="00D873F5">
              <w:rPr>
                <w:rFonts w:ascii="Times New Roman" w:hAnsi="Times New Roman"/>
                <w:sz w:val="20"/>
                <w:szCs w:val="20"/>
              </w:rPr>
              <w:t>Среднегодовая численность занятых в экономике, тыс. чел.</w:t>
            </w:r>
          </w:p>
        </w:tc>
        <w:tc>
          <w:tcPr>
            <w:tcW w:w="324"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40,0</w:t>
            </w:r>
          </w:p>
        </w:tc>
        <w:tc>
          <w:tcPr>
            <w:tcW w:w="360"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36,4</w:t>
            </w:r>
          </w:p>
        </w:tc>
        <w:tc>
          <w:tcPr>
            <w:tcW w:w="325"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36,1</w:t>
            </w:r>
          </w:p>
        </w:tc>
        <w:tc>
          <w:tcPr>
            <w:tcW w:w="332"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35,68</w:t>
            </w:r>
          </w:p>
        </w:tc>
        <w:tc>
          <w:tcPr>
            <w:tcW w:w="346"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36,2</w:t>
            </w:r>
          </w:p>
        </w:tc>
        <w:tc>
          <w:tcPr>
            <w:tcW w:w="374"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36,2</w:t>
            </w:r>
          </w:p>
        </w:tc>
        <w:tc>
          <w:tcPr>
            <w:tcW w:w="374"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36,3</w:t>
            </w:r>
          </w:p>
        </w:tc>
        <w:tc>
          <w:tcPr>
            <w:tcW w:w="374"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36,4</w:t>
            </w:r>
          </w:p>
        </w:tc>
        <w:tc>
          <w:tcPr>
            <w:tcW w:w="374"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36,5</w:t>
            </w:r>
          </w:p>
        </w:tc>
        <w:tc>
          <w:tcPr>
            <w:tcW w:w="374"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36,5</w:t>
            </w:r>
          </w:p>
        </w:tc>
        <w:tc>
          <w:tcPr>
            <w:tcW w:w="372"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36,5</w:t>
            </w:r>
          </w:p>
        </w:tc>
      </w:tr>
    </w:tbl>
    <w:p w:rsidR="004616EA" w:rsidRDefault="004616EA">
      <w:pPr>
        <w:sectPr w:rsidR="004616EA" w:rsidSect="00CA4050">
          <w:type w:val="continuous"/>
          <w:pgSz w:w="16838" w:h="11906" w:orient="landscape"/>
          <w:pgMar w:top="567" w:right="567" w:bottom="2336"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25"/>
        <w:gridCol w:w="2684"/>
        <w:gridCol w:w="1032"/>
        <w:gridCol w:w="1146"/>
        <w:gridCol w:w="1035"/>
        <w:gridCol w:w="1057"/>
        <w:gridCol w:w="1102"/>
        <w:gridCol w:w="1191"/>
        <w:gridCol w:w="1191"/>
        <w:gridCol w:w="1191"/>
        <w:gridCol w:w="1191"/>
        <w:gridCol w:w="1191"/>
        <w:gridCol w:w="1184"/>
      </w:tblGrid>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Среднемесячная номинальная начисленная заработная плата работников организаций, руб.</w:t>
            </w:r>
          </w:p>
        </w:tc>
        <w:tc>
          <w:tcPr>
            <w:tcW w:w="32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44173,6</w:t>
            </w:r>
          </w:p>
        </w:tc>
        <w:tc>
          <w:tcPr>
            <w:tcW w:w="360"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45762,7</w:t>
            </w:r>
          </w:p>
        </w:tc>
        <w:tc>
          <w:tcPr>
            <w:tcW w:w="325"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48318,6</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51415,4</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54990,1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58209,5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62241,6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69993,9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74193,6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81612,9</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89774,2</w:t>
            </w:r>
          </w:p>
        </w:tc>
      </w:tr>
    </w:tbl>
    <w:p w:rsidR="004616EA" w:rsidRDefault="004616EA">
      <w:pPr>
        <w:rPr>
          <w:rFonts w:ascii="Times New Roman" w:hAnsi="Times New Roman"/>
          <w:sz w:val="24"/>
          <w:szCs w:val="24"/>
        </w:rPr>
      </w:pPr>
    </w:p>
    <w:p w:rsidR="004616EA" w:rsidRPr="00475E67" w:rsidRDefault="004616EA">
      <w:pPr>
        <w:rPr>
          <w:rFonts w:ascii="Times New Roman" w:hAnsi="Times New Roman"/>
          <w:sz w:val="24"/>
          <w:szCs w:val="24"/>
        </w:rPr>
      </w:pPr>
    </w:p>
    <w:p w:rsidR="004616EA" w:rsidRPr="00475E67" w:rsidRDefault="004616EA">
      <w:pPr>
        <w:rPr>
          <w:rFonts w:ascii="Times New Roman" w:hAnsi="Times New Roman"/>
          <w:sz w:val="24"/>
          <w:szCs w:val="24"/>
        </w:rPr>
        <w:sectPr w:rsidR="004616EA" w:rsidRPr="00475E67" w:rsidSect="00CA4050">
          <w:type w:val="continuous"/>
          <w:pgSz w:w="16838" w:h="11906" w:orient="landscape"/>
          <w:pgMar w:top="2552" w:right="567" w:bottom="567" w:left="567" w:header="709" w:footer="709" w:gutter="0"/>
          <w:cols w:space="708"/>
          <w:docGrid w:linePitch="360"/>
        </w:sectPr>
      </w:pPr>
    </w:p>
    <w:p w:rsidR="004616EA" w:rsidRPr="00475E67" w:rsidRDefault="004616EA" w:rsidP="00D03F73">
      <w:pPr>
        <w:pStyle w:val="1"/>
        <w:spacing w:before="0" w:after="0"/>
      </w:pPr>
      <w:bookmarkStart w:id="427" w:name="_Toc405805571"/>
      <w:r w:rsidRPr="00475E67">
        <w:t>ПРИЛОЖЕНИЕ Д</w:t>
      </w:r>
      <w:bookmarkEnd w:id="427"/>
    </w:p>
    <w:p w:rsidR="004616EA" w:rsidRPr="00475E67" w:rsidRDefault="004616EA" w:rsidP="00D03F73">
      <w:pPr>
        <w:spacing w:after="0" w:line="240" w:lineRule="auto"/>
        <w:jc w:val="both"/>
        <w:rPr>
          <w:rFonts w:ascii="Times New Roman" w:hAnsi="Times New Roman"/>
          <w:sz w:val="24"/>
          <w:szCs w:val="24"/>
        </w:rPr>
      </w:pPr>
      <w:r w:rsidRPr="00475E67">
        <w:rPr>
          <w:rFonts w:ascii="Times New Roman" w:hAnsi="Times New Roman"/>
          <w:sz w:val="24"/>
          <w:szCs w:val="24"/>
        </w:rPr>
        <w:t>Таблица Д.1 - Основные показатели реализации инвестиционного сценария социально-экономического развития городского округа город Когалым до 2030 г.</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28"/>
        <w:gridCol w:w="2687"/>
        <w:gridCol w:w="1038"/>
        <w:gridCol w:w="1146"/>
        <w:gridCol w:w="1035"/>
        <w:gridCol w:w="1035"/>
        <w:gridCol w:w="1105"/>
        <w:gridCol w:w="1191"/>
        <w:gridCol w:w="1191"/>
        <w:gridCol w:w="1191"/>
        <w:gridCol w:w="1191"/>
        <w:gridCol w:w="1191"/>
        <w:gridCol w:w="1191"/>
      </w:tblGrid>
      <w:tr w:rsidR="004616EA" w:rsidRPr="00283B39" w:rsidTr="00D03F73">
        <w:trPr>
          <w:trHeight w:val="301"/>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i/>
                <w:sz w:val="20"/>
                <w:szCs w:val="20"/>
              </w:rPr>
            </w:pPr>
            <w:r w:rsidRPr="00283B39">
              <w:rPr>
                <w:rFonts w:ascii="Times New Roman" w:hAnsi="Times New Roman"/>
                <w:i/>
                <w:sz w:val="20"/>
                <w:szCs w:val="20"/>
              </w:rPr>
              <w:t>№ п/п</w:t>
            </w:r>
          </w:p>
        </w:tc>
        <w:tc>
          <w:tcPr>
            <w:tcW w:w="844" w:type="pct"/>
            <w:tcMar>
              <w:left w:w="108" w:type="dxa"/>
              <w:right w:w="108" w:type="dxa"/>
            </w:tcMar>
          </w:tcPr>
          <w:p w:rsidR="004616EA" w:rsidRPr="00283B39" w:rsidRDefault="004616EA" w:rsidP="001704D9">
            <w:pPr>
              <w:spacing w:line="240" w:lineRule="auto"/>
              <w:rPr>
                <w:rFonts w:ascii="Times New Roman" w:hAnsi="Times New Roman"/>
                <w:i/>
                <w:sz w:val="20"/>
                <w:szCs w:val="20"/>
              </w:rPr>
            </w:pPr>
            <w:r w:rsidRPr="00283B39">
              <w:rPr>
                <w:rFonts w:ascii="Times New Roman" w:hAnsi="Times New Roman"/>
                <w:i/>
                <w:sz w:val="20"/>
                <w:szCs w:val="20"/>
              </w:rPr>
              <w:t>Наименования показателей и их групп</w:t>
            </w:r>
          </w:p>
        </w:tc>
        <w:tc>
          <w:tcPr>
            <w:tcW w:w="326"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2010 год</w:t>
            </w:r>
          </w:p>
        </w:tc>
        <w:tc>
          <w:tcPr>
            <w:tcW w:w="360"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2011 год</w:t>
            </w:r>
          </w:p>
        </w:tc>
        <w:tc>
          <w:tcPr>
            <w:tcW w:w="325"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2012 год</w:t>
            </w:r>
          </w:p>
        </w:tc>
        <w:tc>
          <w:tcPr>
            <w:tcW w:w="325"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2013 год</w:t>
            </w:r>
          </w:p>
        </w:tc>
        <w:tc>
          <w:tcPr>
            <w:tcW w:w="347"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2014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(оценка)</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2015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2016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2018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2020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 xml:space="preserve"> 2025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2030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r>
      <w:tr w:rsidR="004616EA" w:rsidRPr="00283B39" w:rsidTr="00D03F73">
        <w:trPr>
          <w:trHeight w:val="70"/>
          <w:jc w:val="center"/>
        </w:trPr>
        <w:tc>
          <w:tcPr>
            <w:tcW w:w="229"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w:t>
            </w:r>
          </w:p>
        </w:tc>
        <w:tc>
          <w:tcPr>
            <w:tcW w:w="84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w:t>
            </w:r>
          </w:p>
        </w:tc>
        <w:tc>
          <w:tcPr>
            <w:tcW w:w="326"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3</w:t>
            </w:r>
          </w:p>
        </w:tc>
        <w:tc>
          <w:tcPr>
            <w:tcW w:w="360"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4</w:t>
            </w:r>
          </w:p>
        </w:tc>
        <w:tc>
          <w:tcPr>
            <w:tcW w:w="325"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5</w:t>
            </w:r>
          </w:p>
        </w:tc>
        <w:tc>
          <w:tcPr>
            <w:tcW w:w="325"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6</w:t>
            </w:r>
          </w:p>
        </w:tc>
        <w:tc>
          <w:tcPr>
            <w:tcW w:w="347"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7</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8</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9</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10</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11</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12</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13</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Демографические показатели</w:t>
            </w:r>
          </w:p>
        </w:tc>
        <w:tc>
          <w:tcPr>
            <w:tcW w:w="326"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6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25"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25"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47"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r>
      <w:tr w:rsidR="004616EA" w:rsidRPr="00283B39" w:rsidTr="00D03F73">
        <w:trPr>
          <w:trHeight w:val="38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Численность постоянного населения (среднегодовая) тыс. чел.</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58,5</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59,5</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60,6</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61,68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62,76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63,87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65,92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67,6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69,9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71,6</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Численность постоянного населения (на конец года) тыс. чел.</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58,6</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58,9</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60,1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61,1</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63,3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64,4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66,3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67,9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70,1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71,7</w:t>
            </w:r>
          </w:p>
        </w:tc>
      </w:tr>
      <w:tr w:rsidR="004616EA" w:rsidRPr="00283B39" w:rsidTr="00D03F73">
        <w:trPr>
          <w:trHeight w:val="461"/>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Коэффициент рождаемости на 1000 человек среднегодового населения</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16,5</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16,5</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17,0</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16,2</w:t>
            </w:r>
          </w:p>
        </w:tc>
        <w:tc>
          <w:tcPr>
            <w:tcW w:w="347"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16,3</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16,1</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16,0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15,7</w:t>
            </w: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Коэффициент общей смертности на 1000 человек среднегодового населения</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4,0</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3,7</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3,4</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eastAsia="ru-RU"/>
              </w:rPr>
              <w:t>3,4</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eastAsia="ru-RU"/>
              </w:rPr>
              <w:t>3,4</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eastAsia="ru-RU"/>
              </w:rPr>
              <w:t>3,4</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eastAsia="ru-RU"/>
              </w:rPr>
              <w:t>3,4</w:t>
            </w: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Коэффициент естественного прироста (убыли) населения (на 1000 чел.), промилле</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12,6</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13,4</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13,4</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12,9</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12,7</w:t>
            </w:r>
          </w:p>
        </w:tc>
      </w:tr>
      <w:tr w:rsidR="004616EA" w:rsidRPr="00283B39" w:rsidTr="00D03F73">
        <w:trPr>
          <w:trHeight w:val="34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Коэффициент миграционного прироста (на 1000 человек), промилле</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3,0</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4,0</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4,9</w:t>
            </w:r>
          </w:p>
        </w:tc>
      </w:tr>
    </w:tbl>
    <w:p w:rsidR="004616EA" w:rsidRDefault="004616EA">
      <w:pPr>
        <w:sectPr w:rsidR="004616EA" w:rsidSect="00CA4050">
          <w:pgSz w:w="16838" w:h="11906" w:orient="landscape"/>
          <w:pgMar w:top="567" w:right="567" w:bottom="2552" w:left="567" w:header="709" w:footer="709" w:gutter="0"/>
          <w:cols w:space="708"/>
          <w:docGrid w:linePitch="360"/>
        </w:sectPr>
      </w:pPr>
    </w:p>
    <w:p w:rsidR="004616EA" w:rsidRDefault="004616EA"/>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28"/>
        <w:gridCol w:w="2687"/>
        <w:gridCol w:w="1038"/>
        <w:gridCol w:w="1146"/>
        <w:gridCol w:w="1035"/>
        <w:gridCol w:w="1035"/>
        <w:gridCol w:w="1105"/>
        <w:gridCol w:w="1191"/>
        <w:gridCol w:w="1191"/>
        <w:gridCol w:w="1191"/>
        <w:gridCol w:w="1191"/>
        <w:gridCol w:w="1191"/>
        <w:gridCol w:w="1191"/>
      </w:tblGrid>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Численность населения, младше трудоспособного возраста (на конец года), тыс. чел.</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val="en-US" w:eastAsia="ru-RU"/>
              </w:rPr>
              <w:t>12</w:t>
            </w:r>
            <w:r w:rsidRPr="00283B39">
              <w:rPr>
                <w:rFonts w:ascii="Times New Roman" w:hAnsi="Times New Roman"/>
                <w:sz w:val="20"/>
                <w:szCs w:val="20"/>
                <w:lang w:eastAsia="ru-RU"/>
              </w:rPr>
              <w:t>,4</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12,5</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13,2</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17,4</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xml:space="preserve">Численность детей школьного возраста </w:t>
            </w:r>
            <w:r w:rsidRPr="00283B39">
              <w:rPr>
                <w:rFonts w:ascii="Times New Roman" w:hAnsi="Times New Roman"/>
                <w:sz w:val="20"/>
                <w:szCs w:val="24"/>
              </w:rPr>
              <w:t>7-18 лет</w:t>
            </w:r>
            <w:r w:rsidRPr="00283B39">
              <w:rPr>
                <w:rFonts w:ascii="Times New Roman" w:hAnsi="Times New Roman"/>
                <w:sz w:val="18"/>
                <w:szCs w:val="20"/>
              </w:rPr>
              <w:t xml:space="preserve"> </w:t>
            </w:r>
            <w:r w:rsidRPr="00283B39">
              <w:rPr>
                <w:rFonts w:ascii="Times New Roman" w:hAnsi="Times New Roman"/>
                <w:sz w:val="20"/>
                <w:szCs w:val="20"/>
              </w:rPr>
              <w:t>(на конец года), тыс. чел.</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7,9</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7,9</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8,2</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11,6</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Численность детей дошкольного возраста 0-7 (на конец года), тыс. чел.</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5,8</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5,9</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7,8</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Повышение комфортности окружающей среды города</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2.1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Стабилизация и улучшение экологической обстановки</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Объемы накопления ТБО, тыс. тонн/год</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37,98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38,64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39,78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40,74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42,1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43,02</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Площадь кладбищ, га</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14,1</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14,1</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14,4</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14,7</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15,</w:t>
            </w:r>
            <w:r w:rsidRPr="00283B39">
              <w:rPr>
                <w:rFonts w:ascii="Times New Roman" w:hAnsi="Times New Roman"/>
                <w:sz w:val="20"/>
                <w:szCs w:val="20"/>
                <w:lang w:val="en-US"/>
              </w:rPr>
              <w:t>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16,2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16,8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17,2</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3.</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реального сектора экономики</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3.1.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промышленного сектора МО</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6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инвестиций в основной капитал за счет всех источников финансирования, млн рублей (в действующих ценах каждого года)</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11135,4</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12994,43</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17856,7</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15086,6</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14191,2</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14990,6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16146,4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17947,5</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19383,3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22872,4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26989,4</w:t>
            </w: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28"/>
        <w:gridCol w:w="2687"/>
        <w:gridCol w:w="1038"/>
        <w:gridCol w:w="1146"/>
        <w:gridCol w:w="1035"/>
        <w:gridCol w:w="1035"/>
        <w:gridCol w:w="1105"/>
        <w:gridCol w:w="1191"/>
        <w:gridCol w:w="1191"/>
        <w:gridCol w:w="1191"/>
        <w:gridCol w:w="1191"/>
        <w:gridCol w:w="1191"/>
        <w:gridCol w:w="1191"/>
      </w:tblGrid>
      <w:tr w:rsidR="004616EA" w:rsidRPr="00283B39" w:rsidTr="00D03F73">
        <w:trPr>
          <w:trHeight w:val="15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BA4B52">
            <w:pPr>
              <w:spacing w:line="240" w:lineRule="auto"/>
              <w:rPr>
                <w:rFonts w:ascii="Times New Roman" w:hAnsi="Times New Roman"/>
                <w:sz w:val="20"/>
                <w:szCs w:val="20"/>
              </w:rPr>
            </w:pPr>
            <w:r w:rsidRPr="00283B39">
              <w:rPr>
                <w:rFonts w:ascii="Times New Roman" w:hAnsi="Times New Roman"/>
                <w:sz w:val="20"/>
                <w:szCs w:val="20"/>
              </w:rPr>
              <w:t xml:space="preserve">Объем отгруженных товаров собственного производства, выполненных работ и услуг собственными силами по основным видам экономической деятельности по </w:t>
            </w:r>
            <w:r>
              <w:rPr>
                <w:rFonts w:ascii="Times New Roman" w:hAnsi="Times New Roman"/>
                <w:sz w:val="20"/>
                <w:szCs w:val="20"/>
              </w:rPr>
              <w:t>полному кругу предприятий</w:t>
            </w:r>
            <w:r w:rsidRPr="00283B39">
              <w:rPr>
                <w:rFonts w:ascii="Times New Roman" w:hAnsi="Times New Roman"/>
                <w:sz w:val="20"/>
                <w:szCs w:val="20"/>
              </w:rPr>
              <w:t>, млн руб. (в действующих ценах каждого года)</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41924,1</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57785,3</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56219,4</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25425,1</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27382,3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29489,7</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31848,6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34439,4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35623,9</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37673,6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39766,7</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добыча полезных ископаемых</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23724,3</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43565,0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42105,8</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11636,7</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11171,3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11300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11763,3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12148,8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12391,8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12763,6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13146,5</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обрабатывающее производство</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5087,0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5788,6</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6177,32</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5398,6</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5625,3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6013,46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6368,25</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6987,2</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7546,2</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8753,6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9979,1</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производство и распределение электроэнергии, газа и воды</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13112,8</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8431,7</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7936,3</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8389,8</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10585,7</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12176,28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13717,09</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15303,3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15685,9</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16156,5</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16641,2</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3.2.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агропромышленного комплекса</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производства продукции сельского хозяйства, млн руб.</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15,0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25,8</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40,2</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29,0</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31,1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32,7</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33,8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34,3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35,0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36,0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37,1</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4.</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сектора услуг, потребительского рынка</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4.1.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потребительского рынка</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Магазины, кв. м торговой площади</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17883</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18214</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18991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18214</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19935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21550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23229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26556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29918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37911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45960</w:t>
            </w:r>
          </w:p>
        </w:tc>
      </w:tr>
    </w:tbl>
    <w:p w:rsidR="004616EA" w:rsidRDefault="004616EA">
      <w:pPr>
        <w:sectPr w:rsidR="004616EA" w:rsidSect="00CA4050">
          <w:type w:val="continuous"/>
          <w:pgSz w:w="16838" w:h="11906" w:orient="landscape"/>
          <w:pgMar w:top="567" w:right="567" w:bottom="2552"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28"/>
        <w:gridCol w:w="2687"/>
        <w:gridCol w:w="1038"/>
        <w:gridCol w:w="1146"/>
        <w:gridCol w:w="1035"/>
        <w:gridCol w:w="1035"/>
        <w:gridCol w:w="1105"/>
        <w:gridCol w:w="1191"/>
        <w:gridCol w:w="1191"/>
        <w:gridCol w:w="1191"/>
        <w:gridCol w:w="1191"/>
        <w:gridCol w:w="1191"/>
        <w:gridCol w:w="1191"/>
      </w:tblGrid>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Рынки, кв. м торговой площади</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4560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5410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4842</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4842</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5538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6267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6380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6564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6722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6939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7098</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Оборот розничной торговли, млн руб.</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9625,1</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9173,2</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10217,5</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11451,8</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12681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13403,82</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14315,28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15993,0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17592,3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21110,7</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25332,9</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платных услуг населению, млн руб.</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2555,6</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2690,4</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2894,4</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3163,3</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3394,2</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3608,06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3831,76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4276,8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4619,0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5173,2</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5794,0</w:t>
            </w:r>
          </w:p>
        </w:tc>
      </w:tr>
      <w:tr w:rsidR="004616EA" w:rsidRPr="00283B39" w:rsidTr="00D03F73">
        <w:trPr>
          <w:trHeight w:val="9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4.2.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Обеспечение благоприятных условий для развития малого и среднего предпринимательства и повышение социально-экономической эффективности его деятельности</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Удельный вес занятых в малом бизнесе от всех занятых в городской экономике, %</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24</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23</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28</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5.</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жилищной сферы</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5.1.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Модернизация жилищного фонда</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Общая площадь жилых помещений в ветхих и аварийных жилых домах, 1000 кв. м</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90,45</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86,6</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85,02</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77,6</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67,3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46,7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37,1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27,5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Число проживающих в ветхих и аварийных жилых домах, тыс. человек</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6,08</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5,78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5,66</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5,08</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4,40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3,72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3,05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2,42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1,78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0,21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0,00</w:t>
            </w: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28"/>
        <w:gridCol w:w="2687"/>
        <w:gridCol w:w="1038"/>
        <w:gridCol w:w="1146"/>
        <w:gridCol w:w="1035"/>
        <w:gridCol w:w="1035"/>
        <w:gridCol w:w="1105"/>
        <w:gridCol w:w="1191"/>
        <w:gridCol w:w="1191"/>
        <w:gridCol w:w="1191"/>
        <w:gridCol w:w="1191"/>
        <w:gridCol w:w="1191"/>
        <w:gridCol w:w="1191"/>
      </w:tblGrid>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5.2.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жилищного строительства</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Общая площадь жилых помещений, тыс. кв. м</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981,29</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990,5</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1024,04</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1016,1</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1071,9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1129,2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1188,9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1304,2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1418,6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1678,6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1935,9</w:t>
            </w: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Общая площадь жилых помещений, приходящаяся в среднем на одного жителя, кв. м на человека</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16,7</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17,0</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16,6</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17,2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17,8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18,4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19,7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20,9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23,9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27,0</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Общий годовой объем ввода жилья, тыс. кв. м</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3,765</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12,523</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16,66</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10,7</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66,1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67,6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70,0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60,5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56,4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56,9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53,9</w:t>
            </w:r>
          </w:p>
        </w:tc>
      </w:tr>
      <w:tr w:rsidR="004616EA" w:rsidRPr="00283B39" w:rsidTr="00D03F73">
        <w:trPr>
          <w:trHeight w:val="9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Доступность приобретения жилья (соотношение среднемесячной заработной платы и средней стоимости одного квадратного метра жилья)</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3,0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2,7</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2,8</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3,5</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2,5</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Число семей, состоящих на учете на получение жилья</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2233</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2081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1998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1971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1938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1893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1808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1673</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6.</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образования</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45"/>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6.1.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Повышение качества и доступности образования, обеспечение инновационного развития системы образования</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vAlign w:val="center"/>
          </w:tcPr>
          <w:p w:rsidR="004616EA" w:rsidRPr="00376E3E" w:rsidRDefault="004616EA" w:rsidP="001704D9">
            <w:pPr>
              <w:spacing w:after="0" w:line="240" w:lineRule="auto"/>
              <w:jc w:val="both"/>
              <w:rPr>
                <w:rFonts w:ascii="Times New Roman" w:hAnsi="Times New Roman"/>
                <w:sz w:val="20"/>
                <w:szCs w:val="20"/>
                <w:lang w:eastAsia="ru-RU"/>
              </w:rPr>
            </w:pPr>
            <w:r w:rsidRPr="00376E3E">
              <w:rPr>
                <w:rFonts w:ascii="Times New Roman" w:hAnsi="Times New Roman"/>
                <w:sz w:val="20"/>
                <w:szCs w:val="20"/>
                <w:lang w:eastAsia="ru-RU"/>
              </w:rPr>
              <w:t>Дошкольные образовательные организации, ед./мест</w:t>
            </w:r>
          </w:p>
        </w:tc>
        <w:tc>
          <w:tcPr>
            <w:tcW w:w="326"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13/3824</w:t>
            </w:r>
          </w:p>
        </w:tc>
        <w:tc>
          <w:tcPr>
            <w:tcW w:w="360"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13/3824</w:t>
            </w:r>
          </w:p>
        </w:tc>
        <w:tc>
          <w:tcPr>
            <w:tcW w:w="325"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13/3824</w:t>
            </w:r>
          </w:p>
        </w:tc>
        <w:tc>
          <w:tcPr>
            <w:tcW w:w="325"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13/3824</w:t>
            </w:r>
          </w:p>
        </w:tc>
        <w:tc>
          <w:tcPr>
            <w:tcW w:w="347"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14/4191</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14/4191</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14/4191</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15/4511</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15/4511</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17/5000</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19/5460</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vAlign w:val="center"/>
          </w:tcPr>
          <w:p w:rsidR="004616EA" w:rsidRPr="00376E3E" w:rsidRDefault="004616EA" w:rsidP="001704D9">
            <w:pPr>
              <w:spacing w:after="0" w:line="240" w:lineRule="auto"/>
              <w:jc w:val="both"/>
              <w:rPr>
                <w:rFonts w:ascii="Times New Roman" w:hAnsi="Times New Roman"/>
                <w:sz w:val="20"/>
                <w:szCs w:val="20"/>
                <w:lang w:eastAsia="ru-RU"/>
              </w:rPr>
            </w:pPr>
            <w:r w:rsidRPr="00376E3E">
              <w:rPr>
                <w:rFonts w:ascii="Times New Roman" w:hAnsi="Times New Roman"/>
                <w:sz w:val="20"/>
                <w:szCs w:val="20"/>
                <w:lang w:eastAsia="ru-RU"/>
              </w:rPr>
              <w:t>Общеобразовательные организации, ед./мест</w:t>
            </w:r>
          </w:p>
        </w:tc>
        <w:tc>
          <w:tcPr>
            <w:tcW w:w="326"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val="en-US" w:eastAsia="ru-RU"/>
              </w:rPr>
              <w:t>8</w:t>
            </w:r>
            <w:r w:rsidRPr="00376E3E">
              <w:rPr>
                <w:rFonts w:ascii="Times New Roman" w:hAnsi="Times New Roman"/>
                <w:sz w:val="20"/>
                <w:szCs w:val="20"/>
                <w:lang w:eastAsia="ru-RU"/>
              </w:rPr>
              <w:t>/5528</w:t>
            </w:r>
          </w:p>
        </w:tc>
        <w:tc>
          <w:tcPr>
            <w:tcW w:w="360"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val="en-US" w:eastAsia="ru-RU"/>
              </w:rPr>
              <w:t>8</w:t>
            </w:r>
            <w:r w:rsidRPr="00376E3E">
              <w:rPr>
                <w:rFonts w:ascii="Times New Roman" w:hAnsi="Times New Roman"/>
                <w:sz w:val="20"/>
                <w:szCs w:val="20"/>
                <w:lang w:eastAsia="ru-RU"/>
              </w:rPr>
              <w:t>/5528</w:t>
            </w:r>
          </w:p>
        </w:tc>
        <w:tc>
          <w:tcPr>
            <w:tcW w:w="325"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8/5528</w:t>
            </w:r>
          </w:p>
        </w:tc>
        <w:tc>
          <w:tcPr>
            <w:tcW w:w="325"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7/5528</w:t>
            </w:r>
          </w:p>
        </w:tc>
        <w:tc>
          <w:tcPr>
            <w:tcW w:w="347"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7/5528</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7/5528</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7/5528</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8/6528</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9/8000</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11/10800</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13/13580</w:t>
            </w:r>
          </w:p>
        </w:tc>
      </w:tr>
    </w:tbl>
    <w:p w:rsidR="004616EA" w:rsidRDefault="004616EA">
      <w:pPr>
        <w:sectPr w:rsidR="004616EA" w:rsidSect="00CA4050">
          <w:type w:val="continuous"/>
          <w:pgSz w:w="16838" w:h="11906" w:orient="landscape"/>
          <w:pgMar w:top="567" w:right="567" w:bottom="2552" w:left="567" w:header="709" w:footer="709" w:gutter="0"/>
          <w:cols w:space="708"/>
          <w:docGrid w:linePitch="360"/>
        </w:sectPr>
      </w:pPr>
    </w:p>
    <w:p w:rsidR="004616EA" w:rsidRDefault="004616EA"/>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28"/>
        <w:gridCol w:w="2687"/>
        <w:gridCol w:w="1038"/>
        <w:gridCol w:w="1146"/>
        <w:gridCol w:w="1035"/>
        <w:gridCol w:w="1035"/>
        <w:gridCol w:w="1105"/>
        <w:gridCol w:w="1191"/>
        <w:gridCol w:w="1191"/>
        <w:gridCol w:w="1191"/>
        <w:gridCol w:w="1191"/>
        <w:gridCol w:w="1191"/>
        <w:gridCol w:w="1191"/>
      </w:tblGrid>
      <w:tr w:rsidR="004616EA" w:rsidRPr="00283B39" w:rsidTr="00D03F73">
        <w:trPr>
          <w:trHeight w:val="99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376E3E" w:rsidRDefault="004616EA" w:rsidP="0090134D">
            <w:pPr>
              <w:spacing w:line="240" w:lineRule="auto"/>
              <w:rPr>
                <w:rFonts w:ascii="Times New Roman" w:hAnsi="Times New Roman"/>
                <w:sz w:val="20"/>
                <w:szCs w:val="20"/>
              </w:rPr>
            </w:pPr>
            <w:r w:rsidRPr="00376E3E">
              <w:rPr>
                <w:rFonts w:ascii="Times New Roman" w:hAnsi="Times New Roman"/>
                <w:sz w:val="20"/>
                <w:szCs w:val="20"/>
                <w:lang w:eastAsia="ru-RU"/>
              </w:rPr>
              <w:t>Организации дополнительного образования, ед./мест</w:t>
            </w:r>
            <w:r>
              <w:rPr>
                <w:rFonts w:ascii="Times New Roman" w:hAnsi="Times New Roman"/>
                <w:sz w:val="20"/>
                <w:szCs w:val="20"/>
                <w:lang w:eastAsia="ru-RU"/>
              </w:rPr>
              <w:t xml:space="preserve"> с учётом сменности</w:t>
            </w:r>
          </w:p>
        </w:tc>
        <w:tc>
          <w:tcPr>
            <w:tcW w:w="326"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2/1501</w:t>
            </w:r>
          </w:p>
        </w:tc>
        <w:tc>
          <w:tcPr>
            <w:tcW w:w="360"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2/1501</w:t>
            </w:r>
          </w:p>
        </w:tc>
        <w:tc>
          <w:tcPr>
            <w:tcW w:w="325"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2/1501</w:t>
            </w:r>
          </w:p>
        </w:tc>
        <w:tc>
          <w:tcPr>
            <w:tcW w:w="325"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2/1501</w:t>
            </w:r>
          </w:p>
        </w:tc>
        <w:tc>
          <w:tcPr>
            <w:tcW w:w="347"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2/1501</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2/1501</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3/1900</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4/2750</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6/3650</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10/6200</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14/9250</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Государственные профессиональные образовательные организации (за исключением филиалов), ед./студентов</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1/460</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1/440</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1/446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7.</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здравоохранения</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9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7.1.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Создание условий для обеспечения деятельности учреждений здравоохранения, повышение качества и доступности медицинских услуг</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376E3E" w:rsidRDefault="004616EA" w:rsidP="001704D9">
            <w:pPr>
              <w:spacing w:line="240" w:lineRule="auto"/>
              <w:rPr>
                <w:rFonts w:ascii="Times New Roman" w:hAnsi="Times New Roman"/>
                <w:sz w:val="20"/>
                <w:szCs w:val="20"/>
              </w:rPr>
            </w:pPr>
            <w:r w:rsidRPr="00376E3E">
              <w:rPr>
                <w:rFonts w:ascii="Times New Roman" w:hAnsi="Times New Roman"/>
                <w:sz w:val="20"/>
                <w:szCs w:val="20"/>
              </w:rPr>
              <w:t>Обеспеченность врачами на 10 тыс. чел.</w:t>
            </w:r>
          </w:p>
        </w:tc>
        <w:tc>
          <w:tcPr>
            <w:tcW w:w="326"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39,5</w:t>
            </w:r>
          </w:p>
        </w:tc>
        <w:tc>
          <w:tcPr>
            <w:tcW w:w="360"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37,2</w:t>
            </w:r>
          </w:p>
        </w:tc>
        <w:tc>
          <w:tcPr>
            <w:tcW w:w="325"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38,2</w:t>
            </w:r>
          </w:p>
        </w:tc>
        <w:tc>
          <w:tcPr>
            <w:tcW w:w="325"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42,2</w:t>
            </w:r>
          </w:p>
        </w:tc>
        <w:tc>
          <w:tcPr>
            <w:tcW w:w="347"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35,7</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35,1</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34,4</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34,4</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35,5</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38,3</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41,0</w:t>
            </w:r>
          </w:p>
        </w:tc>
      </w:tr>
      <w:tr w:rsidR="004616EA" w:rsidRPr="00283B39" w:rsidTr="00D03F73">
        <w:trPr>
          <w:trHeight w:val="28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376E3E" w:rsidRDefault="004616EA" w:rsidP="001704D9">
            <w:pPr>
              <w:spacing w:line="240" w:lineRule="auto"/>
              <w:rPr>
                <w:rFonts w:ascii="Times New Roman" w:hAnsi="Times New Roman"/>
                <w:sz w:val="20"/>
                <w:szCs w:val="20"/>
              </w:rPr>
            </w:pPr>
            <w:r w:rsidRPr="00376E3E">
              <w:rPr>
                <w:rFonts w:ascii="Times New Roman" w:hAnsi="Times New Roman"/>
                <w:sz w:val="20"/>
                <w:szCs w:val="20"/>
              </w:rPr>
              <w:t>Обеспеченность средним медицинским персоналом на 10 тыс. чел.</w:t>
            </w:r>
          </w:p>
        </w:tc>
        <w:tc>
          <w:tcPr>
            <w:tcW w:w="326"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104,32</w:t>
            </w:r>
          </w:p>
        </w:tc>
        <w:tc>
          <w:tcPr>
            <w:tcW w:w="360"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101,5</w:t>
            </w:r>
          </w:p>
        </w:tc>
        <w:tc>
          <w:tcPr>
            <w:tcW w:w="325"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100,9</w:t>
            </w:r>
          </w:p>
        </w:tc>
        <w:tc>
          <w:tcPr>
            <w:tcW w:w="325"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100,6</w:t>
            </w:r>
          </w:p>
        </w:tc>
        <w:tc>
          <w:tcPr>
            <w:tcW w:w="347"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98,9</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95,6</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93,9</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94,0</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97,4</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105,8</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114,3</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vAlign w:val="center"/>
          </w:tcPr>
          <w:p w:rsidR="004616EA" w:rsidRPr="00376E3E" w:rsidRDefault="004616EA" w:rsidP="001704D9">
            <w:pPr>
              <w:spacing w:after="0" w:line="240" w:lineRule="auto"/>
              <w:jc w:val="both"/>
              <w:rPr>
                <w:rFonts w:ascii="Times New Roman" w:hAnsi="Times New Roman"/>
                <w:sz w:val="20"/>
                <w:szCs w:val="20"/>
                <w:lang w:eastAsia="ru-RU"/>
              </w:rPr>
            </w:pPr>
            <w:r w:rsidRPr="00376E3E">
              <w:rPr>
                <w:rFonts w:ascii="Times New Roman" w:hAnsi="Times New Roman"/>
                <w:sz w:val="20"/>
                <w:szCs w:val="20"/>
                <w:lang w:eastAsia="ru-RU"/>
              </w:rPr>
              <w:t>Лечебно-профилактические медицинские организации, оказывающие медицинскую помощь в стационарных условиях, коек</w:t>
            </w:r>
          </w:p>
        </w:tc>
        <w:tc>
          <w:tcPr>
            <w:tcW w:w="326"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320</w:t>
            </w:r>
          </w:p>
        </w:tc>
        <w:tc>
          <w:tcPr>
            <w:tcW w:w="360"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320</w:t>
            </w:r>
          </w:p>
        </w:tc>
        <w:tc>
          <w:tcPr>
            <w:tcW w:w="325"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320</w:t>
            </w:r>
          </w:p>
        </w:tc>
        <w:tc>
          <w:tcPr>
            <w:tcW w:w="325"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320</w:t>
            </w:r>
          </w:p>
        </w:tc>
        <w:tc>
          <w:tcPr>
            <w:tcW w:w="347"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315</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315</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315</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315</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315</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315</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1007</w:t>
            </w: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p w:rsidR="004616EA" w:rsidRDefault="004616EA"/>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28"/>
        <w:gridCol w:w="2687"/>
        <w:gridCol w:w="1038"/>
        <w:gridCol w:w="1146"/>
        <w:gridCol w:w="1035"/>
        <w:gridCol w:w="1035"/>
        <w:gridCol w:w="1105"/>
        <w:gridCol w:w="1191"/>
        <w:gridCol w:w="1191"/>
        <w:gridCol w:w="1191"/>
        <w:gridCol w:w="1191"/>
        <w:gridCol w:w="1191"/>
        <w:gridCol w:w="1191"/>
      </w:tblGrid>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vAlign w:val="center"/>
          </w:tcPr>
          <w:p w:rsidR="004616EA" w:rsidRPr="00376E3E" w:rsidRDefault="004616EA" w:rsidP="001704D9">
            <w:pPr>
              <w:spacing w:after="0" w:line="240" w:lineRule="auto"/>
              <w:jc w:val="both"/>
              <w:rPr>
                <w:rFonts w:ascii="Times New Roman" w:hAnsi="Times New Roman"/>
                <w:sz w:val="20"/>
                <w:szCs w:val="20"/>
                <w:lang w:eastAsia="ru-RU"/>
              </w:rPr>
            </w:pPr>
            <w:r w:rsidRPr="00376E3E">
              <w:rPr>
                <w:rFonts w:ascii="Times New Roman" w:hAnsi="Times New Roman"/>
                <w:sz w:val="20"/>
                <w:szCs w:val="20"/>
                <w:lang w:eastAsia="ru-RU"/>
              </w:rPr>
              <w:t>Лечебно-профилактические медицинские организации, оказывающие медицинскую помощь в амбулаторных условиях, посещений в смену</w:t>
            </w:r>
          </w:p>
        </w:tc>
        <w:tc>
          <w:tcPr>
            <w:tcW w:w="326"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1598</w:t>
            </w:r>
          </w:p>
        </w:tc>
        <w:tc>
          <w:tcPr>
            <w:tcW w:w="360"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1598</w:t>
            </w:r>
          </w:p>
        </w:tc>
        <w:tc>
          <w:tcPr>
            <w:tcW w:w="325"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1598</w:t>
            </w:r>
          </w:p>
        </w:tc>
        <w:tc>
          <w:tcPr>
            <w:tcW w:w="325"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1598</w:t>
            </w:r>
          </w:p>
        </w:tc>
        <w:tc>
          <w:tcPr>
            <w:tcW w:w="347"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1598</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1848</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1848</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1848</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1848</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1848</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1848</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Станции скорой медицинской помощи, автомобилей</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47"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11</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7.2.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Информатизация здравоохранения</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Введение системы электронной истории болезни и индивидуальной карты амбулаторного больного, %</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100</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8.</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культурной сферы</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8.1.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Создание условий для обеспечения деятельности учреждений культуры</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Кинотеатры, объект</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Библиотеки, объект</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Учреждения культурно-досугового типа, мест</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1492</w:t>
            </w:r>
          </w:p>
        </w:tc>
        <w:tc>
          <w:tcPr>
            <w:tcW w:w="360"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1374</w:t>
            </w:r>
          </w:p>
        </w:tc>
        <w:tc>
          <w:tcPr>
            <w:tcW w:w="325"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1374</w:t>
            </w:r>
          </w:p>
        </w:tc>
        <w:tc>
          <w:tcPr>
            <w:tcW w:w="325"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1374</w:t>
            </w:r>
          </w:p>
        </w:tc>
        <w:tc>
          <w:tcPr>
            <w:tcW w:w="347"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1374</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1374</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1374</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1374</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1374</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1374</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2174</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Музеи, объект</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2</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9.</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физической культуры и массового спорта</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bl>
    <w:p w:rsidR="004616EA" w:rsidRDefault="004616EA">
      <w:pPr>
        <w:sectPr w:rsidR="004616EA" w:rsidSect="00CA4050">
          <w:type w:val="continuous"/>
          <w:pgSz w:w="16838" w:h="11906" w:orient="landscape"/>
          <w:pgMar w:top="567" w:right="567" w:bottom="2552"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28"/>
        <w:gridCol w:w="2687"/>
        <w:gridCol w:w="1038"/>
        <w:gridCol w:w="1146"/>
        <w:gridCol w:w="1035"/>
        <w:gridCol w:w="1035"/>
        <w:gridCol w:w="1105"/>
        <w:gridCol w:w="1191"/>
        <w:gridCol w:w="1191"/>
        <w:gridCol w:w="1191"/>
        <w:gridCol w:w="1191"/>
        <w:gridCol w:w="1191"/>
        <w:gridCol w:w="1191"/>
      </w:tblGrid>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9.1.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Создание условий для максимального вовлечения населения в систематические занятия физической культурой и спортом</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6B0E07">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6B0E07" w:rsidRDefault="004616EA" w:rsidP="006B0E07">
            <w:pPr>
              <w:spacing w:line="240" w:lineRule="auto"/>
              <w:rPr>
                <w:rFonts w:ascii="Times New Roman" w:hAnsi="Times New Roman"/>
                <w:sz w:val="20"/>
                <w:szCs w:val="20"/>
              </w:rPr>
            </w:pPr>
            <w:r w:rsidRPr="006B0E07">
              <w:rPr>
                <w:rFonts w:ascii="Times New Roman" w:hAnsi="Times New Roman"/>
                <w:sz w:val="20"/>
                <w:szCs w:val="20"/>
              </w:rPr>
              <w:t>Спортивные залы, кв. м площади пола</w:t>
            </w:r>
          </w:p>
        </w:tc>
        <w:tc>
          <w:tcPr>
            <w:tcW w:w="326" w:type="pct"/>
            <w:tcMar>
              <w:left w:w="108" w:type="dxa"/>
              <w:right w:w="108" w:type="dxa"/>
            </w:tcMar>
            <w:vAlign w:val="center"/>
          </w:tcPr>
          <w:p w:rsidR="004616EA" w:rsidRPr="00283B39" w:rsidRDefault="004616EA" w:rsidP="006B0E07">
            <w:pPr>
              <w:spacing w:after="0" w:line="240" w:lineRule="auto"/>
              <w:jc w:val="center"/>
              <w:rPr>
                <w:rFonts w:ascii="Times New Roman" w:hAnsi="Times New Roman"/>
                <w:sz w:val="20"/>
                <w:szCs w:val="20"/>
              </w:rPr>
            </w:pPr>
            <w:r w:rsidRPr="00283B39">
              <w:rPr>
                <w:rFonts w:ascii="Times New Roman" w:hAnsi="Times New Roman"/>
                <w:sz w:val="20"/>
                <w:szCs w:val="20"/>
              </w:rPr>
              <w:t>16798,9</w:t>
            </w:r>
          </w:p>
        </w:tc>
        <w:tc>
          <w:tcPr>
            <w:tcW w:w="360"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16798,9</w:t>
            </w:r>
          </w:p>
        </w:tc>
        <w:tc>
          <w:tcPr>
            <w:tcW w:w="325"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17339</w:t>
            </w:r>
          </w:p>
        </w:tc>
        <w:tc>
          <w:tcPr>
            <w:tcW w:w="325"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17635</w:t>
            </w:r>
          </w:p>
        </w:tc>
        <w:tc>
          <w:tcPr>
            <w:tcW w:w="347"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17635</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17635</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17635</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17635</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18283</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18859</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19435</w:t>
            </w:r>
          </w:p>
        </w:tc>
      </w:tr>
      <w:tr w:rsidR="004616EA" w:rsidRPr="00283B39" w:rsidTr="00D03F73">
        <w:trPr>
          <w:trHeight w:val="300"/>
          <w:jc w:val="center"/>
        </w:trPr>
        <w:tc>
          <w:tcPr>
            <w:tcW w:w="229" w:type="pct"/>
            <w:tcMar>
              <w:left w:w="108" w:type="dxa"/>
              <w:right w:w="108" w:type="dxa"/>
            </w:tcMar>
          </w:tcPr>
          <w:p w:rsidR="004616EA" w:rsidRPr="00283B39" w:rsidRDefault="004616EA" w:rsidP="006B0E07">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vAlign w:val="center"/>
          </w:tcPr>
          <w:p w:rsidR="004616EA" w:rsidRPr="006B0E07" w:rsidRDefault="004616EA" w:rsidP="006B0E07">
            <w:pPr>
              <w:spacing w:after="0" w:line="240" w:lineRule="auto"/>
              <w:jc w:val="both"/>
              <w:rPr>
                <w:rFonts w:ascii="Times New Roman" w:hAnsi="Times New Roman"/>
                <w:sz w:val="20"/>
                <w:szCs w:val="20"/>
                <w:lang w:eastAsia="ru-RU"/>
              </w:rPr>
            </w:pPr>
            <w:r w:rsidRPr="006B0E07">
              <w:rPr>
                <w:rFonts w:ascii="Times New Roman" w:hAnsi="Times New Roman"/>
                <w:sz w:val="20"/>
                <w:szCs w:val="20"/>
                <w:lang w:eastAsia="ru-RU"/>
              </w:rPr>
              <w:t>Плавательные бассейны, кв. м зеркала воды</w:t>
            </w:r>
          </w:p>
        </w:tc>
        <w:tc>
          <w:tcPr>
            <w:tcW w:w="326"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494</w:t>
            </w:r>
          </w:p>
        </w:tc>
        <w:tc>
          <w:tcPr>
            <w:tcW w:w="360"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494</w:t>
            </w:r>
          </w:p>
        </w:tc>
        <w:tc>
          <w:tcPr>
            <w:tcW w:w="325"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494</w:t>
            </w:r>
          </w:p>
        </w:tc>
        <w:tc>
          <w:tcPr>
            <w:tcW w:w="325"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494</w:t>
            </w:r>
          </w:p>
        </w:tc>
        <w:tc>
          <w:tcPr>
            <w:tcW w:w="347"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494</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494</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494</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494</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1744</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1744</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1744</w:t>
            </w:r>
          </w:p>
        </w:tc>
      </w:tr>
      <w:tr w:rsidR="004616EA" w:rsidRPr="00283B39" w:rsidTr="00D03F73">
        <w:trPr>
          <w:trHeight w:val="300"/>
          <w:jc w:val="center"/>
        </w:trPr>
        <w:tc>
          <w:tcPr>
            <w:tcW w:w="229" w:type="pct"/>
            <w:tcMar>
              <w:left w:w="108" w:type="dxa"/>
              <w:right w:w="108" w:type="dxa"/>
            </w:tcMar>
          </w:tcPr>
          <w:p w:rsidR="004616EA" w:rsidRPr="00283B39" w:rsidRDefault="004616EA" w:rsidP="006B0E07">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vAlign w:val="center"/>
          </w:tcPr>
          <w:p w:rsidR="004616EA" w:rsidRPr="006B0E07" w:rsidRDefault="004616EA" w:rsidP="006B0E07">
            <w:pPr>
              <w:spacing w:after="0" w:line="240" w:lineRule="auto"/>
              <w:jc w:val="both"/>
              <w:rPr>
                <w:rFonts w:ascii="Times New Roman" w:hAnsi="Times New Roman"/>
                <w:sz w:val="20"/>
                <w:szCs w:val="20"/>
                <w:lang w:eastAsia="ru-RU"/>
              </w:rPr>
            </w:pPr>
            <w:r w:rsidRPr="006B0E07">
              <w:rPr>
                <w:rFonts w:ascii="Times New Roman" w:hAnsi="Times New Roman"/>
                <w:sz w:val="20"/>
                <w:szCs w:val="20"/>
                <w:lang w:eastAsia="ru-RU"/>
              </w:rPr>
              <w:t>Плоскостные сооружения, кв. м</w:t>
            </w:r>
          </w:p>
        </w:tc>
        <w:tc>
          <w:tcPr>
            <w:tcW w:w="326"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44229</w:t>
            </w:r>
          </w:p>
        </w:tc>
        <w:tc>
          <w:tcPr>
            <w:tcW w:w="360"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44229</w:t>
            </w:r>
          </w:p>
        </w:tc>
        <w:tc>
          <w:tcPr>
            <w:tcW w:w="325"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44989</w:t>
            </w:r>
          </w:p>
        </w:tc>
        <w:tc>
          <w:tcPr>
            <w:tcW w:w="325"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44989</w:t>
            </w:r>
          </w:p>
        </w:tc>
        <w:tc>
          <w:tcPr>
            <w:tcW w:w="347"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45043</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45190</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45632</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46859</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47472</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49680</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51594</w:t>
            </w:r>
          </w:p>
        </w:tc>
      </w:tr>
      <w:tr w:rsidR="004616EA" w:rsidRPr="00283B39" w:rsidTr="00D03F73">
        <w:trPr>
          <w:trHeight w:val="56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 коммунальной, энергетической и коммуникационной инфраструктур</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4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системы теплоснабжения</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Теплопотребление, млн Гкал/год</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0,589</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0,546</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0,524</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0,513</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0,705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0,719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0,733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0,747</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0,760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0,766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0,781</w:t>
            </w: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Обеспеченность жилья централизованным теплоснабжением, % от общей площади</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xml:space="preserve">Износ тепловых сетей, % </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lang w:val="en-US"/>
              </w:rPr>
            </w:pPr>
            <w:r w:rsidRPr="00283B39">
              <w:rPr>
                <w:rFonts w:ascii="Times New Roman" w:hAnsi="Times New Roman"/>
                <w:sz w:val="20"/>
                <w:szCs w:val="20"/>
                <w:lang w:val="en-US" w:eastAsia="ru-RU"/>
              </w:rPr>
              <w:t>62</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lang w:val="en-US"/>
              </w:rPr>
            </w:pPr>
            <w:r w:rsidRPr="00283B39">
              <w:rPr>
                <w:rFonts w:ascii="Times New Roman" w:hAnsi="Times New Roman"/>
                <w:sz w:val="20"/>
                <w:szCs w:val="20"/>
                <w:lang w:val="en-US" w:eastAsia="ru-RU"/>
              </w:rPr>
              <w:t>60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lang w:val="en-US"/>
              </w:rPr>
            </w:pPr>
            <w:r w:rsidRPr="00283B39">
              <w:rPr>
                <w:rFonts w:ascii="Times New Roman" w:hAnsi="Times New Roman"/>
                <w:sz w:val="20"/>
                <w:szCs w:val="20"/>
                <w:lang w:val="en-US" w:eastAsia="ru-RU"/>
              </w:rPr>
              <w:t>58,7</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57,6</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55,6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45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40</w:t>
            </w:r>
          </w:p>
        </w:tc>
      </w:tr>
      <w:tr w:rsidR="004616EA" w:rsidRPr="00283B39" w:rsidTr="00D03F73">
        <w:trPr>
          <w:trHeight w:val="34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системы электроснабжения</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28"/>
        <w:gridCol w:w="2687"/>
        <w:gridCol w:w="1038"/>
        <w:gridCol w:w="1146"/>
        <w:gridCol w:w="1035"/>
        <w:gridCol w:w="1035"/>
        <w:gridCol w:w="1105"/>
        <w:gridCol w:w="1191"/>
        <w:gridCol w:w="1191"/>
        <w:gridCol w:w="1191"/>
        <w:gridCol w:w="1191"/>
        <w:gridCol w:w="1191"/>
        <w:gridCol w:w="1191"/>
      </w:tblGrid>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Электропотребление, млн кВт. ч./год</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56,45</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eastAsia="ru-RU"/>
              </w:rPr>
              <w:t>н/д</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57,11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6</w:t>
            </w:r>
            <w:r w:rsidRPr="00283B39">
              <w:rPr>
                <w:rFonts w:ascii="Times New Roman" w:hAnsi="Times New Roman"/>
                <w:sz w:val="20"/>
                <w:szCs w:val="20"/>
                <w:lang w:val="en-US"/>
              </w:rPr>
              <w:t>4</w:t>
            </w:r>
            <w:r w:rsidRPr="00283B39">
              <w:rPr>
                <w:rFonts w:ascii="Times New Roman" w:hAnsi="Times New Roman"/>
                <w:sz w:val="20"/>
                <w:szCs w:val="20"/>
              </w:rPr>
              <w:t>,</w:t>
            </w:r>
            <w:r w:rsidRPr="00283B39">
              <w:rPr>
                <w:rFonts w:ascii="Times New Roman" w:hAnsi="Times New Roman"/>
                <w:sz w:val="20"/>
                <w:szCs w:val="20"/>
                <w:lang w:val="en-US"/>
              </w:rPr>
              <w:t>67</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66,</w:t>
            </w:r>
            <w:r w:rsidRPr="00283B39">
              <w:rPr>
                <w:rFonts w:ascii="Times New Roman" w:hAnsi="Times New Roman"/>
                <w:sz w:val="20"/>
                <w:szCs w:val="20"/>
                <w:lang w:val="en-US"/>
              </w:rPr>
              <w:t>78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val="en-US"/>
              </w:rPr>
              <w:t>70</w:t>
            </w:r>
            <w:r w:rsidRPr="00283B39">
              <w:rPr>
                <w:rFonts w:ascii="Times New Roman" w:hAnsi="Times New Roman"/>
                <w:sz w:val="20"/>
                <w:szCs w:val="20"/>
              </w:rPr>
              <w:t>,</w:t>
            </w:r>
            <w:r w:rsidRPr="00283B39">
              <w:rPr>
                <w:rFonts w:ascii="Times New Roman" w:hAnsi="Times New Roman"/>
                <w:sz w:val="20"/>
                <w:szCs w:val="20"/>
                <w:lang w:val="en-US"/>
              </w:rPr>
              <w:t>7</w:t>
            </w:r>
            <w:r w:rsidRPr="00283B39">
              <w:rPr>
                <w:rFonts w:ascii="Times New Roman" w:hAnsi="Times New Roman"/>
                <w:sz w:val="20"/>
                <w:szCs w:val="20"/>
              </w:rPr>
              <w:t>7</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7</w:t>
            </w:r>
            <w:r w:rsidRPr="00283B39">
              <w:rPr>
                <w:rFonts w:ascii="Times New Roman" w:hAnsi="Times New Roman"/>
                <w:sz w:val="20"/>
                <w:szCs w:val="20"/>
                <w:lang w:val="en-US"/>
              </w:rPr>
              <w:t>4</w:t>
            </w:r>
            <w:r w:rsidRPr="00283B39">
              <w:rPr>
                <w:rFonts w:ascii="Times New Roman" w:hAnsi="Times New Roman"/>
                <w:sz w:val="20"/>
                <w:szCs w:val="20"/>
              </w:rPr>
              <w:t>,</w:t>
            </w:r>
            <w:r w:rsidRPr="00283B39">
              <w:rPr>
                <w:rFonts w:ascii="Times New Roman" w:hAnsi="Times New Roman"/>
                <w:sz w:val="20"/>
                <w:szCs w:val="20"/>
                <w:lang w:val="en-US"/>
              </w:rPr>
              <w:t>55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8</w:t>
            </w:r>
            <w:r w:rsidRPr="00283B39">
              <w:rPr>
                <w:rFonts w:ascii="Times New Roman" w:hAnsi="Times New Roman"/>
                <w:sz w:val="20"/>
                <w:szCs w:val="20"/>
                <w:lang w:val="en-US"/>
              </w:rPr>
              <w:t>2</w:t>
            </w:r>
            <w:r w:rsidRPr="00283B39">
              <w:rPr>
                <w:rFonts w:ascii="Times New Roman" w:hAnsi="Times New Roman"/>
                <w:sz w:val="20"/>
                <w:szCs w:val="20"/>
              </w:rPr>
              <w:t>,</w:t>
            </w:r>
            <w:r w:rsidRPr="00283B39">
              <w:rPr>
                <w:rFonts w:ascii="Times New Roman" w:hAnsi="Times New Roman"/>
                <w:sz w:val="20"/>
                <w:szCs w:val="20"/>
                <w:lang w:val="en-US"/>
              </w:rPr>
              <w:t>25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87</w:t>
            </w:r>
            <w:r w:rsidRPr="00283B39">
              <w:rPr>
                <w:rFonts w:ascii="Times New Roman" w:hAnsi="Times New Roman"/>
                <w:sz w:val="20"/>
                <w:szCs w:val="20"/>
              </w:rPr>
              <w:t>,</w:t>
            </w:r>
            <w:r w:rsidRPr="00283B39">
              <w:rPr>
                <w:rFonts w:ascii="Times New Roman" w:hAnsi="Times New Roman"/>
                <w:sz w:val="20"/>
                <w:szCs w:val="20"/>
                <w:lang w:val="en-US"/>
              </w:rPr>
              <w:t>47</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Техническое состояние линий электроснабжения</w:t>
            </w:r>
            <w:r w:rsidRPr="00283B39">
              <w:rPr>
                <w:rFonts w:ascii="Times New Roman" w:hAnsi="Times New Roman"/>
                <w:sz w:val="20"/>
                <w:szCs w:val="20"/>
                <w:vertAlign w:val="superscript"/>
              </w:rPr>
              <w:footnoteReference w:id="2"/>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хорошее</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хорошее</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хорошее</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хорошее</w:t>
            </w: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объектов жилищного фонда, обеспеченных централизованным электроснабжением, % от общей площади</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4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10.3.</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системы водоснабжения</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водопотребления, тыс. м3/сут.</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18,2</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16,3</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14,4</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13,4</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18,6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18,9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20,4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21,1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21,6</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Износ водопроводной сети, %</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47</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49</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48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46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42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40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38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36</w:t>
            </w: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объектов жилищного фонда, обеспеченных централизованным водоснабжением, % от общей площади</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38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10.4.</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системы водоотведения</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водоотведения, тыс. м3/сут.</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15,4</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14,5</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12,8</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11,7</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16,4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16,9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17,3</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Износ канализационной сети, %</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55</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55</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60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63</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5</w:t>
            </w:r>
            <w:r w:rsidRPr="00283B39">
              <w:rPr>
                <w:rFonts w:ascii="Times New Roman" w:hAnsi="Times New Roman"/>
                <w:sz w:val="20"/>
                <w:szCs w:val="20"/>
                <w:lang w:val="en-US"/>
              </w:rPr>
              <w:t>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56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52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48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40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35</w:t>
            </w:r>
          </w:p>
        </w:tc>
      </w:tr>
    </w:tbl>
    <w:p w:rsidR="004616EA" w:rsidRDefault="004616EA">
      <w:pPr>
        <w:sectPr w:rsidR="004616EA" w:rsidSect="00CA4050">
          <w:type w:val="continuous"/>
          <w:pgSz w:w="16838" w:h="11906" w:orient="landscape"/>
          <w:pgMar w:top="567" w:right="567" w:bottom="2552"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28"/>
        <w:gridCol w:w="2687"/>
        <w:gridCol w:w="1038"/>
        <w:gridCol w:w="1146"/>
        <w:gridCol w:w="1035"/>
        <w:gridCol w:w="1035"/>
        <w:gridCol w:w="1105"/>
        <w:gridCol w:w="1191"/>
        <w:gridCol w:w="1191"/>
        <w:gridCol w:w="1191"/>
        <w:gridCol w:w="1191"/>
        <w:gridCol w:w="1191"/>
        <w:gridCol w:w="1191"/>
      </w:tblGrid>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объектов жилищного фонда, обеспеченных централизованным водоотведением, % от общей площади</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объектов жилищного фонда, обеспеченных централизованным водоотведением (частный сектор за р. Кирилл-Высьягун), %</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66</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73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34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10.5.</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системы газоснабжения</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Обеспеченность жилья централизованным газоснабжением</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0,44</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Обеспеченность жилья централизованным газоснабжением (частный сектор за р. Кирилл-Высьягун), %</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Газопотребление, млн м3/год</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98,6</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83,5</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81,7</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81,1</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88,1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89,9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91,6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93,4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95,8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97,6</w:t>
            </w:r>
          </w:p>
        </w:tc>
      </w:tr>
      <w:tr w:rsidR="004616EA" w:rsidRPr="00283B39" w:rsidTr="00D03F73">
        <w:trPr>
          <w:trHeight w:val="600"/>
          <w:jc w:val="center"/>
        </w:trPr>
        <w:tc>
          <w:tcPr>
            <w:tcW w:w="229" w:type="pct"/>
            <w:tcMar>
              <w:left w:w="108" w:type="dxa"/>
              <w:right w:w="108" w:type="dxa"/>
            </w:tcMar>
          </w:tcPr>
          <w:p w:rsidR="004616EA" w:rsidRPr="00283B39" w:rsidRDefault="004616EA" w:rsidP="00131310">
            <w:pPr>
              <w:spacing w:line="240" w:lineRule="auto"/>
              <w:rPr>
                <w:rFonts w:ascii="Times New Roman" w:hAnsi="Times New Roman"/>
                <w:sz w:val="20"/>
                <w:szCs w:val="20"/>
              </w:rPr>
            </w:pPr>
            <w:r w:rsidRPr="00283B39">
              <w:rPr>
                <w:rFonts w:ascii="Times New Roman" w:hAnsi="Times New Roman"/>
                <w:sz w:val="20"/>
                <w:szCs w:val="20"/>
              </w:rPr>
              <w:t>10.</w:t>
            </w:r>
            <w:r>
              <w:rPr>
                <w:rFonts w:ascii="Times New Roman" w:hAnsi="Times New Roman"/>
                <w:sz w:val="20"/>
                <w:szCs w:val="20"/>
              </w:rPr>
              <w:t>6</w:t>
            </w:r>
            <w:r w:rsidRPr="00283B39">
              <w:rPr>
                <w:rFonts w:ascii="Times New Roman" w:hAnsi="Times New Roman"/>
                <w:sz w:val="20"/>
                <w:szCs w:val="20"/>
              </w:rPr>
              <w:t>.</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объектов, используемых для захоронения и уничтожения отходов производства и потребления</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p w:rsidR="004616EA" w:rsidRDefault="004616EA"/>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28"/>
        <w:gridCol w:w="2687"/>
        <w:gridCol w:w="1038"/>
        <w:gridCol w:w="1146"/>
        <w:gridCol w:w="1035"/>
        <w:gridCol w:w="1035"/>
        <w:gridCol w:w="1105"/>
        <w:gridCol w:w="1191"/>
        <w:gridCol w:w="1191"/>
        <w:gridCol w:w="1191"/>
        <w:gridCol w:w="1191"/>
        <w:gridCol w:w="1191"/>
        <w:gridCol w:w="1191"/>
      </w:tblGrid>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Площадь участка полигона ТБО, га</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0,8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3,3</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транспортной инфраструктуры</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Обеспеченность светофорными объектами, шт.</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22</w:t>
            </w: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AF5D64">
              <w:rPr>
                <w:rFonts w:ascii="Times New Roman" w:hAnsi="Times New Roman"/>
                <w:sz w:val="20"/>
                <w:szCs w:val="20"/>
              </w:rPr>
              <w:t>Совершенствование и развитие сети автомобильных дорог на территории городского округа, км</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50,5</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60,6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70,4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89,4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98,6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107,6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116,4</w:t>
            </w: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Протяженность автомобильных дорог общего пользования местного значения (магистральных улиц и дорог), км</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1</w:t>
            </w:r>
            <w:r w:rsidRPr="00283B39">
              <w:rPr>
                <w:rFonts w:ascii="Times New Roman" w:hAnsi="Times New Roman"/>
                <w:sz w:val="20"/>
                <w:szCs w:val="20"/>
              </w:rPr>
              <w:t>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1</w:t>
            </w:r>
            <w:r w:rsidRPr="00283B39">
              <w:rPr>
                <w:rFonts w:ascii="Times New Roman" w:hAnsi="Times New Roman"/>
                <w:sz w:val="20"/>
                <w:szCs w:val="20"/>
              </w:rPr>
              <w:t>9,5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val="en-US"/>
              </w:rPr>
              <w:t>119</w:t>
            </w:r>
            <w:r w:rsidRPr="00283B39">
              <w:rPr>
                <w:rFonts w:ascii="Times New Roman" w:hAnsi="Times New Roman"/>
                <w:sz w:val="20"/>
                <w:szCs w:val="20"/>
              </w:rPr>
              <w:t>,5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1</w:t>
            </w:r>
            <w:r w:rsidRPr="00283B39">
              <w:rPr>
                <w:rFonts w:ascii="Times New Roman" w:hAnsi="Times New Roman"/>
                <w:sz w:val="20"/>
                <w:szCs w:val="20"/>
              </w:rPr>
              <w:t>9,5</w:t>
            </w:r>
          </w:p>
        </w:tc>
      </w:tr>
      <w:tr w:rsidR="004616EA" w:rsidRPr="00283B39" w:rsidTr="00D03F73">
        <w:trPr>
          <w:trHeight w:val="92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протяженности автомобильных дорог общего пользования местного значения с твердым покрытием в общей протяженности автомобильных дорог общего пользования местного значения, %</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AF5D64">
              <w:rPr>
                <w:rFonts w:ascii="Times New Roman" w:hAnsi="Times New Roman"/>
                <w:sz w:val="20"/>
                <w:szCs w:val="20"/>
              </w:rPr>
              <w:t>Количество личного автотранспорта на 1000 чел. населения, ед.</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290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275</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305</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val="en-US"/>
              </w:rPr>
              <w:t>320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335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350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365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380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400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420</w:t>
            </w:r>
          </w:p>
        </w:tc>
      </w:tr>
    </w:tbl>
    <w:p w:rsidR="004616EA" w:rsidRDefault="004616EA">
      <w:pPr>
        <w:sectPr w:rsidR="004616EA" w:rsidSect="00CA4050">
          <w:type w:val="continuous"/>
          <w:pgSz w:w="16838" w:h="11906" w:orient="landscape"/>
          <w:pgMar w:top="567" w:right="567" w:bottom="2552"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28"/>
        <w:gridCol w:w="2687"/>
        <w:gridCol w:w="1038"/>
        <w:gridCol w:w="1146"/>
        <w:gridCol w:w="1035"/>
        <w:gridCol w:w="1035"/>
        <w:gridCol w:w="1105"/>
        <w:gridCol w:w="1191"/>
        <w:gridCol w:w="1191"/>
        <w:gridCol w:w="1191"/>
        <w:gridCol w:w="1191"/>
        <w:gridCol w:w="1191"/>
        <w:gridCol w:w="1191"/>
      </w:tblGrid>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социальной защиты населения, рынка труда</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2"/>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12.1.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Укрепление института семьи</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Соотношение количества браков и разводов (число разводов на 100 браков)</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93</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64</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57</w:t>
            </w: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12.2.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Совершенствование условий жизнедеятельности жителей с ограниченными возможностями</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светофоров со звуковой сигнализацией, %</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69</w:t>
            </w: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12.3.</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Создание условий для повышения уровня занятости</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31310">
            <w:pPr>
              <w:spacing w:line="240" w:lineRule="auto"/>
              <w:rPr>
                <w:rFonts w:ascii="Times New Roman" w:hAnsi="Times New Roman"/>
                <w:sz w:val="20"/>
                <w:szCs w:val="20"/>
              </w:rPr>
            </w:pPr>
            <w:r w:rsidRPr="00283B39">
              <w:rPr>
                <w:rFonts w:ascii="Times New Roman" w:hAnsi="Times New Roman"/>
                <w:sz w:val="20"/>
                <w:szCs w:val="20"/>
              </w:rPr>
              <w:t xml:space="preserve">Уровень официально зарегистрированной безработицы, % </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0,6</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0,7</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0,5</w:t>
            </w:r>
          </w:p>
        </w:tc>
        <w:tc>
          <w:tcPr>
            <w:tcW w:w="325" w:type="pct"/>
            <w:tcMar>
              <w:left w:w="108" w:type="dxa"/>
              <w:right w:w="108" w:type="dxa"/>
            </w:tcMar>
            <w:vAlign w:val="center"/>
          </w:tcPr>
          <w:p w:rsidR="004616EA" w:rsidRPr="00283B39" w:rsidRDefault="004616EA" w:rsidP="00ED5AA5">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r>
              <w:rPr>
                <w:rFonts w:ascii="Times New Roman" w:hAnsi="Times New Roman"/>
                <w:sz w:val="20"/>
                <w:szCs w:val="20"/>
                <w:lang w:eastAsia="ru-RU"/>
              </w:rPr>
              <w:t>39</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0,38</w:t>
            </w:r>
          </w:p>
        </w:tc>
        <w:tc>
          <w:tcPr>
            <w:tcW w:w="374" w:type="pct"/>
            <w:tcMar>
              <w:left w:w="108" w:type="dxa"/>
              <w:right w:w="108" w:type="dxa"/>
            </w:tcMar>
            <w:vAlign w:val="center"/>
          </w:tcPr>
          <w:p w:rsidR="004616EA" w:rsidRPr="0090134D" w:rsidRDefault="004616EA" w:rsidP="001704D9">
            <w:pPr>
              <w:spacing w:after="0" w:line="240" w:lineRule="auto"/>
              <w:jc w:val="center"/>
              <w:rPr>
                <w:rFonts w:ascii="Times New Roman" w:hAnsi="Times New Roman"/>
                <w:color w:val="FF0000"/>
                <w:sz w:val="20"/>
                <w:szCs w:val="20"/>
                <w:lang w:eastAsia="ru-RU"/>
              </w:rPr>
            </w:pPr>
            <w:r w:rsidRPr="00D873F5">
              <w:rPr>
                <w:rFonts w:ascii="Times New Roman" w:hAnsi="Times New Roman"/>
                <w:sz w:val="20"/>
                <w:szCs w:val="20"/>
                <w:lang w:eastAsia="ru-RU"/>
              </w:rPr>
              <w:t>0,36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0,35</w:t>
            </w:r>
          </w:p>
        </w:tc>
      </w:tr>
      <w:tr w:rsidR="004616EA" w:rsidRPr="00283B39" w:rsidTr="00D03F73">
        <w:trPr>
          <w:trHeight w:val="300"/>
          <w:jc w:val="center"/>
        </w:trPr>
        <w:tc>
          <w:tcPr>
            <w:tcW w:w="229" w:type="pct"/>
            <w:tcMar>
              <w:left w:w="108" w:type="dxa"/>
              <w:right w:w="108" w:type="dxa"/>
            </w:tcMar>
          </w:tcPr>
          <w:p w:rsidR="004616EA" w:rsidRPr="00283B39" w:rsidRDefault="004616EA" w:rsidP="00D873F5">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D873F5">
            <w:pPr>
              <w:spacing w:line="240" w:lineRule="auto"/>
              <w:rPr>
                <w:rFonts w:ascii="Times New Roman" w:hAnsi="Times New Roman"/>
                <w:sz w:val="20"/>
                <w:szCs w:val="20"/>
              </w:rPr>
            </w:pPr>
            <w:r w:rsidRPr="00D873F5">
              <w:rPr>
                <w:rFonts w:ascii="Times New Roman" w:hAnsi="Times New Roman"/>
                <w:sz w:val="20"/>
                <w:szCs w:val="20"/>
              </w:rPr>
              <w:t>Среднегодовая численность занятых в экономике, тыс. чел.</w:t>
            </w:r>
          </w:p>
        </w:tc>
        <w:tc>
          <w:tcPr>
            <w:tcW w:w="326"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40,0</w:t>
            </w:r>
          </w:p>
        </w:tc>
        <w:tc>
          <w:tcPr>
            <w:tcW w:w="360"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36,4</w:t>
            </w:r>
          </w:p>
        </w:tc>
        <w:tc>
          <w:tcPr>
            <w:tcW w:w="325"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36,1</w:t>
            </w:r>
          </w:p>
        </w:tc>
        <w:tc>
          <w:tcPr>
            <w:tcW w:w="325"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35,68</w:t>
            </w:r>
          </w:p>
        </w:tc>
        <w:tc>
          <w:tcPr>
            <w:tcW w:w="347"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36,2</w:t>
            </w:r>
          </w:p>
        </w:tc>
        <w:tc>
          <w:tcPr>
            <w:tcW w:w="374"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36,38</w:t>
            </w:r>
          </w:p>
        </w:tc>
        <w:tc>
          <w:tcPr>
            <w:tcW w:w="374"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36,45</w:t>
            </w:r>
          </w:p>
        </w:tc>
        <w:tc>
          <w:tcPr>
            <w:tcW w:w="374"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36,54</w:t>
            </w:r>
          </w:p>
        </w:tc>
        <w:tc>
          <w:tcPr>
            <w:tcW w:w="374"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36,66</w:t>
            </w:r>
          </w:p>
        </w:tc>
        <w:tc>
          <w:tcPr>
            <w:tcW w:w="374"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38,5</w:t>
            </w:r>
          </w:p>
        </w:tc>
        <w:tc>
          <w:tcPr>
            <w:tcW w:w="374"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42,1</w:t>
            </w: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Среднемесячная номинальная начисленная заработная плата работников организаций, руб.</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44173,6</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45762,7</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48318,6</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51415,4</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54990,1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58881,9</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63298,1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71381,3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75664,2</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83230,6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91553,6</w:t>
            </w:r>
          </w:p>
        </w:tc>
      </w:tr>
    </w:tbl>
    <w:p w:rsidR="004616EA" w:rsidRPr="00475E67" w:rsidRDefault="004616EA" w:rsidP="00F941F9">
      <w:pPr>
        <w:rPr>
          <w:rFonts w:ascii="Times New Roman" w:hAnsi="Times New Roman"/>
          <w:sz w:val="24"/>
          <w:szCs w:val="24"/>
        </w:rPr>
        <w:sectPr w:rsidR="004616EA" w:rsidRPr="00475E67" w:rsidSect="00CA4050">
          <w:type w:val="continuous"/>
          <w:pgSz w:w="16838" w:h="11906" w:orient="landscape"/>
          <w:pgMar w:top="2552" w:right="567" w:bottom="567" w:left="567" w:header="709" w:footer="709" w:gutter="0"/>
          <w:cols w:space="708"/>
          <w:docGrid w:linePitch="360"/>
        </w:sectPr>
      </w:pPr>
    </w:p>
    <w:p w:rsidR="004616EA" w:rsidRPr="00D03F73" w:rsidRDefault="004616EA" w:rsidP="00D03F73">
      <w:pPr>
        <w:pStyle w:val="1"/>
        <w:spacing w:before="0" w:after="0"/>
        <w:rPr>
          <w:sz w:val="26"/>
          <w:szCs w:val="26"/>
        </w:rPr>
      </w:pPr>
      <w:bookmarkStart w:id="428" w:name="_Toc405805572"/>
      <w:r w:rsidRPr="00D03F73">
        <w:rPr>
          <w:sz w:val="26"/>
          <w:szCs w:val="26"/>
        </w:rPr>
        <w:t>ПРИЛОЖЕНИЕ Е</w:t>
      </w:r>
      <w:bookmarkEnd w:id="428"/>
    </w:p>
    <w:p w:rsidR="004616EA" w:rsidRPr="00D03F73" w:rsidRDefault="004616EA" w:rsidP="00D03F73">
      <w:pPr>
        <w:spacing w:after="0" w:line="240" w:lineRule="auto"/>
        <w:jc w:val="both"/>
        <w:rPr>
          <w:rFonts w:ascii="Times New Roman" w:hAnsi="Times New Roman"/>
          <w:sz w:val="26"/>
          <w:szCs w:val="26"/>
        </w:rPr>
      </w:pPr>
      <w:r w:rsidRPr="00D03F73">
        <w:rPr>
          <w:rFonts w:ascii="Times New Roman" w:hAnsi="Times New Roman"/>
          <w:sz w:val="26"/>
          <w:szCs w:val="26"/>
        </w:rPr>
        <w:t>Таблица Е.1 - Основные показатели реализации инновационного сценария социально-экономического развития городского округа город Когалым до 2030 г.</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31"/>
        <w:gridCol w:w="2687"/>
        <w:gridCol w:w="1035"/>
        <w:gridCol w:w="1146"/>
        <w:gridCol w:w="1035"/>
        <w:gridCol w:w="1035"/>
        <w:gridCol w:w="1105"/>
        <w:gridCol w:w="1191"/>
        <w:gridCol w:w="1191"/>
        <w:gridCol w:w="1191"/>
        <w:gridCol w:w="1191"/>
        <w:gridCol w:w="1191"/>
        <w:gridCol w:w="1191"/>
      </w:tblGrid>
      <w:tr w:rsidR="004616EA" w:rsidRPr="00283B39" w:rsidTr="00D03F73">
        <w:trPr>
          <w:trHeight w:val="301"/>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i/>
                <w:sz w:val="20"/>
                <w:szCs w:val="20"/>
              </w:rPr>
            </w:pPr>
            <w:r w:rsidRPr="00283B39">
              <w:rPr>
                <w:rFonts w:ascii="Times New Roman" w:hAnsi="Times New Roman"/>
                <w:i/>
                <w:sz w:val="20"/>
                <w:szCs w:val="20"/>
              </w:rPr>
              <w:t>№ п/п</w:t>
            </w:r>
          </w:p>
        </w:tc>
        <w:tc>
          <w:tcPr>
            <w:tcW w:w="844" w:type="pct"/>
            <w:tcMar>
              <w:left w:w="108" w:type="dxa"/>
              <w:right w:w="108" w:type="dxa"/>
            </w:tcMar>
          </w:tcPr>
          <w:p w:rsidR="004616EA" w:rsidRPr="00283B39" w:rsidRDefault="004616EA" w:rsidP="001704D9">
            <w:pPr>
              <w:spacing w:line="240" w:lineRule="auto"/>
              <w:rPr>
                <w:rFonts w:ascii="Times New Roman" w:hAnsi="Times New Roman"/>
                <w:i/>
                <w:sz w:val="20"/>
                <w:szCs w:val="20"/>
              </w:rPr>
            </w:pPr>
            <w:r w:rsidRPr="00283B39">
              <w:rPr>
                <w:rFonts w:ascii="Times New Roman" w:hAnsi="Times New Roman"/>
                <w:i/>
                <w:sz w:val="20"/>
                <w:szCs w:val="20"/>
              </w:rPr>
              <w:t>Наименования показателей и их групп</w:t>
            </w:r>
          </w:p>
        </w:tc>
        <w:tc>
          <w:tcPr>
            <w:tcW w:w="325"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2010 год</w:t>
            </w:r>
          </w:p>
        </w:tc>
        <w:tc>
          <w:tcPr>
            <w:tcW w:w="360"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2011 год</w:t>
            </w:r>
          </w:p>
        </w:tc>
        <w:tc>
          <w:tcPr>
            <w:tcW w:w="325"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2012 год</w:t>
            </w:r>
          </w:p>
        </w:tc>
        <w:tc>
          <w:tcPr>
            <w:tcW w:w="325"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2013 год</w:t>
            </w:r>
          </w:p>
        </w:tc>
        <w:tc>
          <w:tcPr>
            <w:tcW w:w="347"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2014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(оценка)</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2015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2016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2018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2020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 xml:space="preserve"> 2025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2030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r>
      <w:tr w:rsidR="004616EA" w:rsidRPr="00283B39" w:rsidTr="00D03F73">
        <w:trPr>
          <w:trHeight w:val="70"/>
          <w:jc w:val="center"/>
        </w:trPr>
        <w:tc>
          <w:tcPr>
            <w:tcW w:w="230"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w:t>
            </w:r>
          </w:p>
        </w:tc>
        <w:tc>
          <w:tcPr>
            <w:tcW w:w="84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w:t>
            </w:r>
          </w:p>
        </w:tc>
        <w:tc>
          <w:tcPr>
            <w:tcW w:w="325"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3</w:t>
            </w:r>
          </w:p>
        </w:tc>
        <w:tc>
          <w:tcPr>
            <w:tcW w:w="360"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4</w:t>
            </w:r>
          </w:p>
        </w:tc>
        <w:tc>
          <w:tcPr>
            <w:tcW w:w="325"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5</w:t>
            </w:r>
          </w:p>
        </w:tc>
        <w:tc>
          <w:tcPr>
            <w:tcW w:w="325"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6</w:t>
            </w:r>
          </w:p>
        </w:tc>
        <w:tc>
          <w:tcPr>
            <w:tcW w:w="347"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7</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8</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9</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10</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11</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12</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13</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Демографические показатели</w:t>
            </w:r>
          </w:p>
        </w:tc>
        <w:tc>
          <w:tcPr>
            <w:tcW w:w="325"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6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25"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25"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47"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r>
      <w:tr w:rsidR="004616EA" w:rsidRPr="00283B39" w:rsidTr="00D03F73">
        <w:trPr>
          <w:trHeight w:val="38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Численность постоянного населения (среднегодовая) тыс. чел.</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58,5</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59,5</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60,6</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61,68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63,8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66,0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68,0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72,1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74,7</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Численность постоянного населения (на конец года) тыс. чел.</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58,6</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58,9</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60,1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61,1</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63,3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64,4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66,4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68,4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72,5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75,2</w:t>
            </w:r>
          </w:p>
        </w:tc>
      </w:tr>
      <w:tr w:rsidR="004616EA" w:rsidRPr="00283B39" w:rsidTr="00D03F73">
        <w:trPr>
          <w:trHeight w:val="461"/>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Коэффициент рождаемости на 1000 человек среднегодового населения</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16,5</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16,5</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17,0</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16,2</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17,0</w:t>
            </w: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Коэффициент общей смертности на 1000 человек среднегодового населения</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4,0</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3,7</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3,3</w:t>
            </w: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Коэффициент естественного прироста (убыли) населения (на 1000 чел.), промилле</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12,6</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13,4</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13,4</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12,9</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12,9</w:t>
            </w:r>
          </w:p>
        </w:tc>
      </w:tr>
      <w:tr w:rsidR="004616EA" w:rsidRPr="00283B39" w:rsidTr="00D03F73">
        <w:trPr>
          <w:trHeight w:val="34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Коэффициент миграционного прироста (на 1000 человек), промилле</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3,0</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4,0</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5,2</w:t>
            </w:r>
          </w:p>
        </w:tc>
      </w:tr>
    </w:tbl>
    <w:p w:rsidR="004616EA" w:rsidRDefault="004616EA">
      <w:pPr>
        <w:sectPr w:rsidR="004616EA" w:rsidSect="00CA4050">
          <w:pgSz w:w="16838" w:h="11906" w:orient="landscape"/>
          <w:pgMar w:top="567" w:right="567" w:bottom="2552" w:left="567" w:header="709" w:footer="709" w:gutter="0"/>
          <w:cols w:space="708"/>
          <w:docGrid w:linePitch="360"/>
        </w:sectPr>
      </w:pPr>
    </w:p>
    <w:p w:rsidR="004616EA" w:rsidRDefault="004616EA"/>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31"/>
        <w:gridCol w:w="2687"/>
        <w:gridCol w:w="1035"/>
        <w:gridCol w:w="1146"/>
        <w:gridCol w:w="1035"/>
        <w:gridCol w:w="1035"/>
        <w:gridCol w:w="1105"/>
        <w:gridCol w:w="1191"/>
        <w:gridCol w:w="1191"/>
        <w:gridCol w:w="1191"/>
        <w:gridCol w:w="1191"/>
        <w:gridCol w:w="1191"/>
        <w:gridCol w:w="1191"/>
      </w:tblGrid>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Численность населения, младше трудоспособного возраста (на конец года), тыс. чел.</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val="en-US" w:eastAsia="ru-RU"/>
              </w:rPr>
              <w:t>12</w:t>
            </w:r>
            <w:r w:rsidRPr="00283B39">
              <w:rPr>
                <w:rFonts w:ascii="Times New Roman" w:hAnsi="Times New Roman"/>
                <w:sz w:val="20"/>
                <w:szCs w:val="20"/>
                <w:lang w:eastAsia="ru-RU"/>
              </w:rPr>
              <w:t>,4</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12,5</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13,2</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17,5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18,7</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Численность детей школьного возраста 7-18 лет (на конец года), тыс. чел.</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7,9</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7,9</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8,2</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12,0</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Численность детей дошкольного возраста 0-7 лет (на конец года), тыс. чел.</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5,8</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5,9</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8,6</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Повышение комфортности окружающей среды города</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2.1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Стабилизация и улучшение экологической обстановки</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Объемы накопления ТБО, тыс. тонн/год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37,98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38,64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39,84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41,04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43,5</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45,12</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Площадь кладбищ, га</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14,1</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14,1</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14,4</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14,7</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15,1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15,</w:t>
            </w:r>
            <w:r w:rsidRPr="00283B39">
              <w:rPr>
                <w:rFonts w:ascii="Times New Roman" w:hAnsi="Times New Roman"/>
                <w:sz w:val="20"/>
                <w:szCs w:val="20"/>
                <w:lang w:val="en-US"/>
              </w:rPr>
              <w:t>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16,3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17,</w:t>
            </w:r>
            <w:r w:rsidRPr="00283B39">
              <w:rPr>
                <w:rFonts w:ascii="Times New Roman" w:hAnsi="Times New Roman"/>
                <w:sz w:val="20"/>
                <w:szCs w:val="20"/>
                <w:lang w:val="en-US"/>
              </w:rPr>
              <w:t>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17,9</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3.</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реального сектора экономики</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3.1.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промышленного сектора МО</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6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инвестиций в основной капитал за счет всех источников финансирования, млн рублей (в действующих ценах каждого года)</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11135,4</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12994,43</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17856,7</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15086,6</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14191,2</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16188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17359,3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19095,2</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22914,3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27497,1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34371,4</w:t>
            </w:r>
          </w:p>
        </w:tc>
      </w:tr>
    </w:tbl>
    <w:p w:rsidR="004616EA" w:rsidRDefault="004616EA">
      <w:pPr>
        <w:sectPr w:rsidR="004616EA" w:rsidSect="00CA4050">
          <w:type w:val="continuous"/>
          <w:pgSz w:w="16838" w:h="11906" w:orient="landscape"/>
          <w:pgMar w:top="2157" w:right="567" w:bottom="567"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31"/>
        <w:gridCol w:w="2687"/>
        <w:gridCol w:w="1035"/>
        <w:gridCol w:w="1146"/>
        <w:gridCol w:w="1035"/>
        <w:gridCol w:w="1035"/>
        <w:gridCol w:w="1105"/>
        <w:gridCol w:w="1191"/>
        <w:gridCol w:w="1191"/>
        <w:gridCol w:w="1191"/>
        <w:gridCol w:w="1191"/>
        <w:gridCol w:w="1191"/>
        <w:gridCol w:w="1191"/>
      </w:tblGrid>
      <w:tr w:rsidR="004616EA" w:rsidRPr="00283B39" w:rsidTr="00D03F73">
        <w:trPr>
          <w:trHeight w:val="15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31310">
            <w:pPr>
              <w:spacing w:line="240" w:lineRule="auto"/>
              <w:rPr>
                <w:rFonts w:ascii="Times New Roman" w:hAnsi="Times New Roman"/>
                <w:sz w:val="20"/>
                <w:szCs w:val="20"/>
              </w:rPr>
            </w:pPr>
            <w:r w:rsidRPr="00283B39">
              <w:rPr>
                <w:rFonts w:ascii="Times New Roman" w:hAnsi="Times New Roman"/>
                <w:sz w:val="20"/>
                <w:szCs w:val="20"/>
              </w:rPr>
              <w:t xml:space="preserve">Объем отгруженных товаров собственного производства, выполненных работ и услуг собственными силами по основным видам экономической деятельности по </w:t>
            </w:r>
            <w:r>
              <w:rPr>
                <w:rFonts w:ascii="Times New Roman" w:hAnsi="Times New Roman"/>
                <w:sz w:val="20"/>
                <w:szCs w:val="20"/>
              </w:rPr>
              <w:t>полному кругу предприятий</w:t>
            </w:r>
            <w:r w:rsidRPr="00283B39">
              <w:rPr>
                <w:rFonts w:ascii="Times New Roman" w:hAnsi="Times New Roman"/>
                <w:sz w:val="20"/>
                <w:szCs w:val="20"/>
              </w:rPr>
              <w:t>, млн руб. (в действующих ценах каждого года)</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41924,1</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57785,3</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56219,4</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25425,1</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27382,3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32438,7</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35033,5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37883,3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39186,3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41441,0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43743,4</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добыча полезных ископаемых</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23724,3</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43565,0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42105,8</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11636,7</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11171,3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12430,0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12939,6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13363,7</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13631,0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14039,9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14461,1</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обрабатывающее производство</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5087,0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5788,6</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6177,32</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5398,6</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5625,3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6614,8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7005,1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7686,0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8300,8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9629,0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10977,0</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производство и распределение электроэнергии, газа и воды</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13112,8</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8431,7</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7936,3</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8389,8</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10585,7</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13393,9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15088,8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16833,6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17254,5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17772,1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18305,3</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3.2.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агропромышленного комплекса</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производства продукции сельского хозяйства, млн руб.</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25,8</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40,2</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29,0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31,1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32,7</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33,8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34,8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35,9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37,3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38,4</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4.</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сектора услуг, потребительского рынка</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4.1.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потребительского рынка</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Магазины, кв. м торговой площади</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17883</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18214</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18991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18214</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19887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21813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23678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27535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31560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41919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52264</w:t>
            </w:r>
          </w:p>
        </w:tc>
      </w:tr>
    </w:tbl>
    <w:p w:rsidR="004616EA" w:rsidRDefault="004616EA">
      <w:pPr>
        <w:sectPr w:rsidR="004616EA" w:rsidSect="00CA4050">
          <w:type w:val="continuous"/>
          <w:pgSz w:w="16838" w:h="11906" w:orient="landscape"/>
          <w:pgMar w:top="567" w:right="567" w:bottom="2552"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31"/>
        <w:gridCol w:w="2687"/>
        <w:gridCol w:w="1035"/>
        <w:gridCol w:w="1146"/>
        <w:gridCol w:w="1035"/>
        <w:gridCol w:w="1035"/>
        <w:gridCol w:w="1105"/>
        <w:gridCol w:w="1191"/>
        <w:gridCol w:w="1191"/>
        <w:gridCol w:w="1191"/>
        <w:gridCol w:w="1191"/>
        <w:gridCol w:w="1191"/>
        <w:gridCol w:w="1191"/>
      </w:tblGrid>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Рынки, кв. м торговой площади</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4560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5410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4842</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4842</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5538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6267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6371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6574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6772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7178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7445</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Оборот розничной торговли, млн руб.</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9625,1</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9173,2</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10217,5</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11451,8</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12681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14074,01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15031,04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16792,6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18471,9</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22166,3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26599,5</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платных услуг населению, млн руб.</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2555,6</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2690,4</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2894,4</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3163,3</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3394,2</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3788,463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4023,348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4619,0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5080,9</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5843,0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6719,4</w:t>
            </w:r>
          </w:p>
        </w:tc>
      </w:tr>
      <w:tr w:rsidR="004616EA" w:rsidRPr="00283B39" w:rsidTr="00D03F73">
        <w:trPr>
          <w:trHeight w:val="9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4.2.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Обеспечение благоприятных условий для развития малого и среднего предпринимательства и повышение социально-экономической эффективности его деятельности</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Удельный вес занятых в малом бизнесе от всех занятых в городской экономике, %</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24</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23</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33</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5.</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жилищной сферы</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5.1.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Модернизация жилищного фонда</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Общая площадь жилых помещений в ветхих и аварийных жилых домах, 1000 кв. м</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90,45</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86,6</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85,02</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77,6</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67,3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46,7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Число проживающих в ветхих и аварийных жилых домах, тыс. человек</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6,08</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5,78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5,66</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5,08</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4,40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3,72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3,05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2,28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0,00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r>
    </w:tbl>
    <w:p w:rsidR="004616EA" w:rsidRDefault="004616EA">
      <w:pPr>
        <w:sectPr w:rsidR="004616EA" w:rsidSect="00225D0C">
          <w:type w:val="continuous"/>
          <w:pgSz w:w="16838" w:h="11906" w:orient="landscape"/>
          <w:pgMar w:top="2552" w:right="567" w:bottom="567"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31"/>
        <w:gridCol w:w="2687"/>
        <w:gridCol w:w="1035"/>
        <w:gridCol w:w="1146"/>
        <w:gridCol w:w="1035"/>
        <w:gridCol w:w="1035"/>
        <w:gridCol w:w="1105"/>
        <w:gridCol w:w="1191"/>
        <w:gridCol w:w="1191"/>
        <w:gridCol w:w="1191"/>
        <w:gridCol w:w="1191"/>
        <w:gridCol w:w="1191"/>
        <w:gridCol w:w="1191"/>
      </w:tblGrid>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5.2.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жилищного строительства</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Общая площадь жилых помещений, тыс. кв. м</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981,29</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990,5</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1024,04</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1016,1</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1090,2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1166,4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1244,0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1403,8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1569,9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1992,0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2406,4</w:t>
            </w: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Общая площадь жилых помещений, приходящаяся в среднем на одного жителя, кв. м на человека</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16,7</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17,0</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16,6</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17,5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18,4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19,3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23,0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27,5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32,0</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Общий годовой объем ввода жилья, тыс. кв. м</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3,765</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12,523</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16,66</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10,7</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84,4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86,5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87,9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82,1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85,3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92,7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80,1</w:t>
            </w:r>
          </w:p>
        </w:tc>
      </w:tr>
      <w:tr w:rsidR="004616EA" w:rsidRPr="00283B39" w:rsidTr="00D03F73">
        <w:trPr>
          <w:trHeight w:val="9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Доступность приобретения жилья (соотношение среднемесячной заработной платы и средней стоимости одного квадратного метра жилья)</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3,0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2,7</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2,8</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3,4</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2,5</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Число семей, состоящих на учете на получение жилья</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2233</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2042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1868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1659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1975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1860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1769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1638</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6.</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образования</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45"/>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6.1.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Повышение качества и доступности образования, обеспечение инновационного развития системы образования</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vAlign w:val="center"/>
          </w:tcPr>
          <w:p w:rsidR="004616EA" w:rsidRPr="00CF29F6" w:rsidRDefault="004616EA" w:rsidP="001704D9">
            <w:pPr>
              <w:spacing w:after="0" w:line="240" w:lineRule="auto"/>
              <w:jc w:val="both"/>
              <w:rPr>
                <w:rFonts w:ascii="Times New Roman" w:hAnsi="Times New Roman"/>
                <w:sz w:val="20"/>
                <w:szCs w:val="20"/>
                <w:lang w:eastAsia="ru-RU"/>
              </w:rPr>
            </w:pPr>
            <w:r w:rsidRPr="00CF29F6">
              <w:rPr>
                <w:rFonts w:ascii="Times New Roman" w:hAnsi="Times New Roman"/>
                <w:sz w:val="20"/>
                <w:szCs w:val="20"/>
                <w:lang w:eastAsia="ru-RU"/>
              </w:rPr>
              <w:t>Дошкольные образовательные организации, ед./мест</w:t>
            </w:r>
          </w:p>
        </w:tc>
        <w:tc>
          <w:tcPr>
            <w:tcW w:w="325"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13/3824</w:t>
            </w:r>
          </w:p>
        </w:tc>
        <w:tc>
          <w:tcPr>
            <w:tcW w:w="360"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13/3824</w:t>
            </w:r>
          </w:p>
        </w:tc>
        <w:tc>
          <w:tcPr>
            <w:tcW w:w="325"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13/3824</w:t>
            </w:r>
          </w:p>
        </w:tc>
        <w:tc>
          <w:tcPr>
            <w:tcW w:w="325"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13/3824</w:t>
            </w:r>
          </w:p>
        </w:tc>
        <w:tc>
          <w:tcPr>
            <w:tcW w:w="347"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14/4191</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14/4191</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14/4191</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15/4511</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15/4511</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18/5350</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20/6020</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vAlign w:val="center"/>
          </w:tcPr>
          <w:p w:rsidR="004616EA" w:rsidRPr="00CF29F6" w:rsidRDefault="004616EA" w:rsidP="001704D9">
            <w:pPr>
              <w:spacing w:after="0" w:line="240" w:lineRule="auto"/>
              <w:jc w:val="both"/>
              <w:rPr>
                <w:rFonts w:ascii="Times New Roman" w:hAnsi="Times New Roman"/>
                <w:sz w:val="20"/>
                <w:szCs w:val="20"/>
                <w:lang w:eastAsia="ru-RU"/>
              </w:rPr>
            </w:pPr>
            <w:r w:rsidRPr="00CF29F6">
              <w:rPr>
                <w:rFonts w:ascii="Times New Roman" w:hAnsi="Times New Roman"/>
                <w:sz w:val="20"/>
                <w:szCs w:val="20"/>
                <w:lang w:eastAsia="ru-RU"/>
              </w:rPr>
              <w:t>Общеобразовательные организации, ед./мест</w:t>
            </w:r>
          </w:p>
        </w:tc>
        <w:tc>
          <w:tcPr>
            <w:tcW w:w="325"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val="en-US" w:eastAsia="ru-RU"/>
              </w:rPr>
              <w:t>8</w:t>
            </w:r>
            <w:r w:rsidRPr="00CF29F6">
              <w:rPr>
                <w:rFonts w:ascii="Times New Roman" w:hAnsi="Times New Roman"/>
                <w:sz w:val="20"/>
                <w:szCs w:val="20"/>
                <w:lang w:eastAsia="ru-RU"/>
              </w:rPr>
              <w:t>/5528</w:t>
            </w:r>
          </w:p>
        </w:tc>
        <w:tc>
          <w:tcPr>
            <w:tcW w:w="360"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val="en-US" w:eastAsia="ru-RU"/>
              </w:rPr>
              <w:t>8</w:t>
            </w:r>
            <w:r w:rsidRPr="00CF29F6">
              <w:rPr>
                <w:rFonts w:ascii="Times New Roman" w:hAnsi="Times New Roman"/>
                <w:sz w:val="20"/>
                <w:szCs w:val="20"/>
                <w:lang w:eastAsia="ru-RU"/>
              </w:rPr>
              <w:t>/5528</w:t>
            </w:r>
          </w:p>
        </w:tc>
        <w:tc>
          <w:tcPr>
            <w:tcW w:w="325"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8/5528</w:t>
            </w:r>
          </w:p>
        </w:tc>
        <w:tc>
          <w:tcPr>
            <w:tcW w:w="325"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7/5528</w:t>
            </w:r>
          </w:p>
        </w:tc>
        <w:tc>
          <w:tcPr>
            <w:tcW w:w="347"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7/5528</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7/5528</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7/5528</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8/6528</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8/6528</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11/10450</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14/14070</w:t>
            </w:r>
          </w:p>
        </w:tc>
      </w:tr>
    </w:tbl>
    <w:p w:rsidR="004616EA" w:rsidRDefault="004616EA">
      <w:pPr>
        <w:sectPr w:rsidR="004616EA" w:rsidSect="00225D0C">
          <w:type w:val="continuous"/>
          <w:pgSz w:w="16838" w:h="11906" w:orient="landscape"/>
          <w:pgMar w:top="567" w:right="567" w:bottom="2552" w:left="567" w:header="709" w:footer="709" w:gutter="0"/>
          <w:cols w:space="708"/>
          <w:docGrid w:linePitch="360"/>
        </w:sectPr>
      </w:pPr>
    </w:p>
    <w:p w:rsidR="004616EA" w:rsidRDefault="004616EA"/>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31"/>
        <w:gridCol w:w="2687"/>
        <w:gridCol w:w="1035"/>
        <w:gridCol w:w="1146"/>
        <w:gridCol w:w="1035"/>
        <w:gridCol w:w="1035"/>
        <w:gridCol w:w="1105"/>
        <w:gridCol w:w="1191"/>
        <w:gridCol w:w="1191"/>
        <w:gridCol w:w="1191"/>
        <w:gridCol w:w="1191"/>
        <w:gridCol w:w="1191"/>
        <w:gridCol w:w="1191"/>
      </w:tblGrid>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CF29F6" w:rsidRDefault="004616EA" w:rsidP="0090134D">
            <w:pPr>
              <w:spacing w:line="240" w:lineRule="auto"/>
              <w:rPr>
                <w:rFonts w:ascii="Times New Roman" w:hAnsi="Times New Roman"/>
                <w:sz w:val="20"/>
                <w:szCs w:val="20"/>
              </w:rPr>
            </w:pPr>
            <w:r w:rsidRPr="00CF29F6">
              <w:rPr>
                <w:rFonts w:ascii="Times New Roman" w:hAnsi="Times New Roman"/>
                <w:sz w:val="20"/>
                <w:szCs w:val="20"/>
                <w:lang w:eastAsia="ru-RU"/>
              </w:rPr>
              <w:t>Организации дополнительного образования, ед./мест</w:t>
            </w:r>
            <w:r>
              <w:rPr>
                <w:rFonts w:ascii="Times New Roman" w:hAnsi="Times New Roman"/>
                <w:sz w:val="20"/>
                <w:szCs w:val="20"/>
                <w:lang w:eastAsia="ru-RU"/>
              </w:rPr>
              <w:t xml:space="preserve"> с учётом сменности</w:t>
            </w:r>
          </w:p>
        </w:tc>
        <w:tc>
          <w:tcPr>
            <w:tcW w:w="325"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2/1501</w:t>
            </w:r>
          </w:p>
        </w:tc>
        <w:tc>
          <w:tcPr>
            <w:tcW w:w="360"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2/1501</w:t>
            </w:r>
          </w:p>
        </w:tc>
        <w:tc>
          <w:tcPr>
            <w:tcW w:w="325"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2/1501</w:t>
            </w:r>
          </w:p>
        </w:tc>
        <w:tc>
          <w:tcPr>
            <w:tcW w:w="325"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2/1501</w:t>
            </w:r>
          </w:p>
        </w:tc>
        <w:tc>
          <w:tcPr>
            <w:tcW w:w="347"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2/1501</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2/1501</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3/1950</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4/2800</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6/3800</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10/6350</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14/9700</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Государственные профессиональные образовательные организации (за исключением филиалов), ед./студентов</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1/460</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1/440</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1/446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7.</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здравоохранения</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9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7.1.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Создание условий для обеспечения деятельности учреждений здравоохранения, повышение качества и доступности медицинских услуг</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B20BC7" w:rsidRDefault="004616EA" w:rsidP="001704D9">
            <w:pPr>
              <w:spacing w:line="240" w:lineRule="auto"/>
              <w:rPr>
                <w:rFonts w:ascii="Times New Roman" w:hAnsi="Times New Roman"/>
                <w:sz w:val="20"/>
                <w:szCs w:val="20"/>
              </w:rPr>
            </w:pPr>
            <w:r w:rsidRPr="00B20BC7">
              <w:rPr>
                <w:rFonts w:ascii="Times New Roman" w:hAnsi="Times New Roman"/>
                <w:sz w:val="20"/>
                <w:szCs w:val="20"/>
              </w:rPr>
              <w:t>Обеспеченность врачами на 10 тыс. чел.</w:t>
            </w:r>
          </w:p>
        </w:tc>
        <w:tc>
          <w:tcPr>
            <w:tcW w:w="325"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39,5</w:t>
            </w:r>
          </w:p>
        </w:tc>
        <w:tc>
          <w:tcPr>
            <w:tcW w:w="360"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37,2</w:t>
            </w:r>
          </w:p>
        </w:tc>
        <w:tc>
          <w:tcPr>
            <w:tcW w:w="325"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38,2</w:t>
            </w:r>
          </w:p>
        </w:tc>
        <w:tc>
          <w:tcPr>
            <w:tcW w:w="325"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42,2</w:t>
            </w:r>
          </w:p>
        </w:tc>
        <w:tc>
          <w:tcPr>
            <w:tcW w:w="347"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35,7</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35,1</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34,4</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34,4</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35,5</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38,3</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41,0</w:t>
            </w:r>
          </w:p>
        </w:tc>
      </w:tr>
      <w:tr w:rsidR="004616EA" w:rsidRPr="00283B39" w:rsidTr="00D03F73">
        <w:trPr>
          <w:trHeight w:val="28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B20BC7" w:rsidRDefault="004616EA" w:rsidP="001704D9">
            <w:pPr>
              <w:spacing w:line="240" w:lineRule="auto"/>
              <w:rPr>
                <w:rFonts w:ascii="Times New Roman" w:hAnsi="Times New Roman"/>
                <w:sz w:val="20"/>
                <w:szCs w:val="20"/>
              </w:rPr>
            </w:pPr>
            <w:r w:rsidRPr="00B20BC7">
              <w:rPr>
                <w:rFonts w:ascii="Times New Roman" w:hAnsi="Times New Roman"/>
                <w:sz w:val="20"/>
                <w:szCs w:val="20"/>
              </w:rPr>
              <w:t>Обеспеченность средним медицинским персоналом на 10 тыс. чел.</w:t>
            </w:r>
          </w:p>
        </w:tc>
        <w:tc>
          <w:tcPr>
            <w:tcW w:w="325"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104,32</w:t>
            </w:r>
          </w:p>
        </w:tc>
        <w:tc>
          <w:tcPr>
            <w:tcW w:w="360"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101,5</w:t>
            </w:r>
          </w:p>
        </w:tc>
        <w:tc>
          <w:tcPr>
            <w:tcW w:w="325"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100,9</w:t>
            </w:r>
          </w:p>
        </w:tc>
        <w:tc>
          <w:tcPr>
            <w:tcW w:w="325"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100,6</w:t>
            </w:r>
          </w:p>
        </w:tc>
        <w:tc>
          <w:tcPr>
            <w:tcW w:w="347"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98,9</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95,6</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93,9</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94,0</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97,4</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105,8</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114,3</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vAlign w:val="center"/>
          </w:tcPr>
          <w:p w:rsidR="004616EA" w:rsidRPr="00B20BC7" w:rsidRDefault="004616EA" w:rsidP="001704D9">
            <w:pPr>
              <w:spacing w:after="0" w:line="240" w:lineRule="auto"/>
              <w:jc w:val="both"/>
              <w:rPr>
                <w:rFonts w:ascii="Times New Roman" w:hAnsi="Times New Roman"/>
                <w:sz w:val="20"/>
                <w:szCs w:val="20"/>
                <w:lang w:eastAsia="ru-RU"/>
              </w:rPr>
            </w:pPr>
            <w:r w:rsidRPr="00B20BC7">
              <w:rPr>
                <w:rFonts w:ascii="Times New Roman" w:hAnsi="Times New Roman"/>
                <w:sz w:val="20"/>
                <w:szCs w:val="20"/>
                <w:lang w:eastAsia="ru-RU"/>
              </w:rPr>
              <w:t>Лечебно-профилактические медицинские организации, оказывающие медицинскую помощь в стационарных условиях, коек</w:t>
            </w:r>
          </w:p>
        </w:tc>
        <w:tc>
          <w:tcPr>
            <w:tcW w:w="325"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320</w:t>
            </w:r>
          </w:p>
        </w:tc>
        <w:tc>
          <w:tcPr>
            <w:tcW w:w="360"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320</w:t>
            </w:r>
          </w:p>
        </w:tc>
        <w:tc>
          <w:tcPr>
            <w:tcW w:w="325"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320</w:t>
            </w:r>
          </w:p>
        </w:tc>
        <w:tc>
          <w:tcPr>
            <w:tcW w:w="325"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320</w:t>
            </w:r>
          </w:p>
        </w:tc>
        <w:tc>
          <w:tcPr>
            <w:tcW w:w="347"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315</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315</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315</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315</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315</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315</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1007</w:t>
            </w:r>
          </w:p>
        </w:tc>
      </w:tr>
    </w:tbl>
    <w:p w:rsidR="004616EA" w:rsidRDefault="004616EA">
      <w:pPr>
        <w:sectPr w:rsidR="004616EA" w:rsidSect="00225D0C">
          <w:type w:val="continuous"/>
          <w:pgSz w:w="16838" w:h="11906" w:orient="landscape"/>
          <w:pgMar w:top="2552" w:right="567" w:bottom="567" w:left="567" w:header="709" w:footer="709" w:gutter="0"/>
          <w:cols w:space="708"/>
          <w:docGrid w:linePitch="360"/>
        </w:sectPr>
      </w:pPr>
    </w:p>
    <w:p w:rsidR="004616EA" w:rsidRDefault="004616EA"/>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31"/>
        <w:gridCol w:w="2687"/>
        <w:gridCol w:w="1035"/>
        <w:gridCol w:w="1146"/>
        <w:gridCol w:w="1035"/>
        <w:gridCol w:w="1035"/>
        <w:gridCol w:w="1105"/>
        <w:gridCol w:w="1191"/>
        <w:gridCol w:w="1191"/>
        <w:gridCol w:w="1191"/>
        <w:gridCol w:w="1191"/>
        <w:gridCol w:w="1191"/>
        <w:gridCol w:w="1191"/>
      </w:tblGrid>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vAlign w:val="center"/>
          </w:tcPr>
          <w:p w:rsidR="004616EA" w:rsidRPr="00B20BC7" w:rsidRDefault="004616EA" w:rsidP="001704D9">
            <w:pPr>
              <w:spacing w:after="0" w:line="240" w:lineRule="auto"/>
              <w:jc w:val="both"/>
              <w:rPr>
                <w:rFonts w:ascii="Times New Roman" w:hAnsi="Times New Roman"/>
                <w:sz w:val="20"/>
                <w:szCs w:val="20"/>
                <w:lang w:eastAsia="ru-RU"/>
              </w:rPr>
            </w:pPr>
            <w:r w:rsidRPr="00B20BC7">
              <w:rPr>
                <w:rFonts w:ascii="Times New Roman" w:hAnsi="Times New Roman"/>
                <w:sz w:val="20"/>
                <w:szCs w:val="20"/>
                <w:lang w:eastAsia="ru-RU"/>
              </w:rPr>
              <w:t>Лечебно-профилактические медицинские организации, оказывающие медицинскую помощь в амбулаторных условиях, посещений в смену</w:t>
            </w:r>
          </w:p>
        </w:tc>
        <w:tc>
          <w:tcPr>
            <w:tcW w:w="325" w:type="pct"/>
            <w:tcMar>
              <w:left w:w="108" w:type="dxa"/>
              <w:right w:w="108" w:type="dxa"/>
            </w:tcMar>
            <w:vAlign w:val="center"/>
          </w:tcPr>
          <w:p w:rsidR="004616EA" w:rsidRPr="00B20BC7" w:rsidRDefault="004616EA" w:rsidP="001704D9">
            <w:pPr>
              <w:spacing w:after="0" w:line="240" w:lineRule="auto"/>
              <w:jc w:val="center"/>
              <w:rPr>
                <w:rFonts w:ascii="Times New Roman" w:hAnsi="Times New Roman"/>
                <w:sz w:val="20"/>
                <w:szCs w:val="20"/>
                <w:lang w:eastAsia="ru-RU"/>
              </w:rPr>
            </w:pPr>
            <w:r w:rsidRPr="00B20BC7">
              <w:rPr>
                <w:rFonts w:ascii="Times New Roman" w:hAnsi="Times New Roman"/>
                <w:sz w:val="20"/>
                <w:szCs w:val="20"/>
                <w:lang w:eastAsia="ru-RU"/>
              </w:rPr>
              <w:t>1598</w:t>
            </w:r>
          </w:p>
        </w:tc>
        <w:tc>
          <w:tcPr>
            <w:tcW w:w="360" w:type="pct"/>
            <w:tcMar>
              <w:left w:w="108" w:type="dxa"/>
              <w:right w:w="108" w:type="dxa"/>
            </w:tcMar>
            <w:vAlign w:val="center"/>
          </w:tcPr>
          <w:p w:rsidR="004616EA" w:rsidRPr="00B20BC7" w:rsidRDefault="004616EA" w:rsidP="001704D9">
            <w:pPr>
              <w:spacing w:after="0" w:line="240" w:lineRule="auto"/>
              <w:jc w:val="center"/>
              <w:rPr>
                <w:rFonts w:ascii="Times New Roman" w:hAnsi="Times New Roman"/>
                <w:sz w:val="20"/>
                <w:szCs w:val="20"/>
                <w:lang w:eastAsia="ru-RU"/>
              </w:rPr>
            </w:pPr>
            <w:r w:rsidRPr="00B20BC7">
              <w:rPr>
                <w:rFonts w:ascii="Times New Roman" w:hAnsi="Times New Roman"/>
                <w:sz w:val="20"/>
                <w:szCs w:val="20"/>
                <w:lang w:eastAsia="ru-RU"/>
              </w:rPr>
              <w:t>1598</w:t>
            </w:r>
          </w:p>
        </w:tc>
        <w:tc>
          <w:tcPr>
            <w:tcW w:w="325" w:type="pct"/>
            <w:tcMar>
              <w:left w:w="108" w:type="dxa"/>
              <w:right w:w="108" w:type="dxa"/>
            </w:tcMar>
            <w:vAlign w:val="center"/>
          </w:tcPr>
          <w:p w:rsidR="004616EA" w:rsidRPr="00B20BC7" w:rsidRDefault="004616EA" w:rsidP="001704D9">
            <w:pPr>
              <w:spacing w:after="0" w:line="240" w:lineRule="auto"/>
              <w:jc w:val="center"/>
              <w:rPr>
                <w:rFonts w:ascii="Times New Roman" w:hAnsi="Times New Roman"/>
                <w:sz w:val="20"/>
                <w:szCs w:val="20"/>
                <w:lang w:eastAsia="ru-RU"/>
              </w:rPr>
            </w:pPr>
            <w:r w:rsidRPr="00B20BC7">
              <w:rPr>
                <w:rFonts w:ascii="Times New Roman" w:hAnsi="Times New Roman"/>
                <w:sz w:val="20"/>
                <w:szCs w:val="20"/>
                <w:lang w:eastAsia="ru-RU"/>
              </w:rPr>
              <w:t>1598</w:t>
            </w:r>
          </w:p>
        </w:tc>
        <w:tc>
          <w:tcPr>
            <w:tcW w:w="325" w:type="pct"/>
            <w:tcMar>
              <w:left w:w="108" w:type="dxa"/>
              <w:right w:w="108" w:type="dxa"/>
            </w:tcMar>
            <w:vAlign w:val="center"/>
          </w:tcPr>
          <w:p w:rsidR="004616EA" w:rsidRPr="00B20BC7" w:rsidRDefault="004616EA" w:rsidP="001704D9">
            <w:pPr>
              <w:spacing w:after="0" w:line="240" w:lineRule="auto"/>
              <w:jc w:val="center"/>
              <w:rPr>
                <w:rFonts w:ascii="Times New Roman" w:hAnsi="Times New Roman"/>
                <w:sz w:val="20"/>
                <w:szCs w:val="20"/>
                <w:lang w:eastAsia="ru-RU"/>
              </w:rPr>
            </w:pPr>
            <w:r w:rsidRPr="00B20BC7">
              <w:rPr>
                <w:rFonts w:ascii="Times New Roman" w:hAnsi="Times New Roman"/>
                <w:sz w:val="20"/>
                <w:szCs w:val="20"/>
                <w:lang w:eastAsia="ru-RU"/>
              </w:rPr>
              <w:t>1598</w:t>
            </w:r>
          </w:p>
        </w:tc>
        <w:tc>
          <w:tcPr>
            <w:tcW w:w="347" w:type="pct"/>
            <w:tcMar>
              <w:left w:w="108" w:type="dxa"/>
              <w:right w:w="108" w:type="dxa"/>
            </w:tcMar>
            <w:vAlign w:val="center"/>
          </w:tcPr>
          <w:p w:rsidR="004616EA" w:rsidRPr="00B20BC7" w:rsidRDefault="004616EA" w:rsidP="001704D9">
            <w:pPr>
              <w:spacing w:after="0" w:line="240" w:lineRule="auto"/>
              <w:jc w:val="center"/>
              <w:rPr>
                <w:rFonts w:ascii="Times New Roman" w:hAnsi="Times New Roman"/>
                <w:sz w:val="20"/>
                <w:szCs w:val="20"/>
                <w:lang w:eastAsia="ru-RU"/>
              </w:rPr>
            </w:pPr>
            <w:r w:rsidRPr="00B20BC7">
              <w:rPr>
                <w:rFonts w:ascii="Times New Roman" w:hAnsi="Times New Roman"/>
                <w:sz w:val="20"/>
                <w:szCs w:val="20"/>
                <w:lang w:eastAsia="ru-RU"/>
              </w:rPr>
              <w:t>1598</w:t>
            </w:r>
          </w:p>
        </w:tc>
        <w:tc>
          <w:tcPr>
            <w:tcW w:w="374" w:type="pct"/>
            <w:tcMar>
              <w:left w:w="108" w:type="dxa"/>
              <w:right w:w="108" w:type="dxa"/>
            </w:tcMar>
            <w:vAlign w:val="center"/>
          </w:tcPr>
          <w:p w:rsidR="004616EA" w:rsidRPr="00B20BC7" w:rsidRDefault="004616EA" w:rsidP="001704D9">
            <w:pPr>
              <w:spacing w:after="0" w:line="240" w:lineRule="auto"/>
              <w:jc w:val="center"/>
              <w:rPr>
                <w:rFonts w:ascii="Times New Roman" w:hAnsi="Times New Roman"/>
                <w:sz w:val="20"/>
                <w:szCs w:val="20"/>
                <w:lang w:eastAsia="ru-RU"/>
              </w:rPr>
            </w:pPr>
            <w:r w:rsidRPr="00B20BC7">
              <w:rPr>
                <w:rFonts w:ascii="Times New Roman" w:hAnsi="Times New Roman"/>
                <w:sz w:val="20"/>
                <w:szCs w:val="20"/>
                <w:lang w:eastAsia="ru-RU"/>
              </w:rPr>
              <w:t>1848</w:t>
            </w:r>
          </w:p>
        </w:tc>
        <w:tc>
          <w:tcPr>
            <w:tcW w:w="374" w:type="pct"/>
            <w:tcMar>
              <w:left w:w="108" w:type="dxa"/>
              <w:right w:w="108" w:type="dxa"/>
            </w:tcMar>
            <w:vAlign w:val="center"/>
          </w:tcPr>
          <w:p w:rsidR="004616EA" w:rsidRPr="00B20BC7" w:rsidRDefault="004616EA" w:rsidP="001704D9">
            <w:pPr>
              <w:spacing w:after="0" w:line="240" w:lineRule="auto"/>
              <w:jc w:val="center"/>
              <w:rPr>
                <w:rFonts w:ascii="Times New Roman" w:hAnsi="Times New Roman"/>
                <w:sz w:val="20"/>
                <w:szCs w:val="20"/>
                <w:lang w:eastAsia="ru-RU"/>
              </w:rPr>
            </w:pPr>
            <w:r w:rsidRPr="00B20BC7">
              <w:rPr>
                <w:rFonts w:ascii="Times New Roman" w:hAnsi="Times New Roman"/>
                <w:sz w:val="20"/>
                <w:szCs w:val="20"/>
                <w:lang w:eastAsia="ru-RU"/>
              </w:rPr>
              <w:t>1848</w:t>
            </w:r>
          </w:p>
        </w:tc>
        <w:tc>
          <w:tcPr>
            <w:tcW w:w="374" w:type="pct"/>
            <w:tcMar>
              <w:left w:w="108" w:type="dxa"/>
              <w:right w:w="108" w:type="dxa"/>
            </w:tcMar>
            <w:vAlign w:val="center"/>
          </w:tcPr>
          <w:p w:rsidR="004616EA" w:rsidRPr="00B20BC7" w:rsidRDefault="004616EA" w:rsidP="001704D9">
            <w:pPr>
              <w:spacing w:after="0" w:line="240" w:lineRule="auto"/>
              <w:jc w:val="center"/>
              <w:rPr>
                <w:rFonts w:ascii="Times New Roman" w:hAnsi="Times New Roman"/>
                <w:sz w:val="20"/>
                <w:szCs w:val="20"/>
                <w:lang w:eastAsia="ru-RU"/>
              </w:rPr>
            </w:pPr>
            <w:r w:rsidRPr="00B20BC7">
              <w:rPr>
                <w:rFonts w:ascii="Times New Roman" w:hAnsi="Times New Roman"/>
                <w:sz w:val="20"/>
                <w:szCs w:val="20"/>
                <w:lang w:eastAsia="ru-RU"/>
              </w:rPr>
              <w:t>1848</w:t>
            </w:r>
          </w:p>
        </w:tc>
        <w:tc>
          <w:tcPr>
            <w:tcW w:w="374" w:type="pct"/>
            <w:tcMar>
              <w:left w:w="108" w:type="dxa"/>
              <w:right w:w="108" w:type="dxa"/>
            </w:tcMar>
            <w:vAlign w:val="center"/>
          </w:tcPr>
          <w:p w:rsidR="004616EA" w:rsidRPr="00B20BC7" w:rsidRDefault="004616EA" w:rsidP="001704D9">
            <w:pPr>
              <w:spacing w:after="0" w:line="240" w:lineRule="auto"/>
              <w:jc w:val="center"/>
              <w:rPr>
                <w:rFonts w:ascii="Times New Roman" w:hAnsi="Times New Roman"/>
                <w:sz w:val="20"/>
                <w:szCs w:val="20"/>
                <w:lang w:eastAsia="ru-RU"/>
              </w:rPr>
            </w:pPr>
            <w:r w:rsidRPr="00B20BC7">
              <w:rPr>
                <w:rFonts w:ascii="Times New Roman" w:hAnsi="Times New Roman"/>
                <w:sz w:val="20"/>
                <w:szCs w:val="20"/>
                <w:lang w:eastAsia="ru-RU"/>
              </w:rPr>
              <w:t>1848</w:t>
            </w:r>
          </w:p>
        </w:tc>
        <w:tc>
          <w:tcPr>
            <w:tcW w:w="374" w:type="pct"/>
            <w:tcMar>
              <w:left w:w="108" w:type="dxa"/>
              <w:right w:w="108" w:type="dxa"/>
            </w:tcMar>
            <w:vAlign w:val="center"/>
          </w:tcPr>
          <w:p w:rsidR="004616EA" w:rsidRPr="00B20BC7" w:rsidRDefault="004616EA" w:rsidP="001704D9">
            <w:pPr>
              <w:spacing w:after="0" w:line="240" w:lineRule="auto"/>
              <w:jc w:val="center"/>
              <w:rPr>
                <w:rFonts w:ascii="Times New Roman" w:hAnsi="Times New Roman"/>
                <w:sz w:val="20"/>
                <w:szCs w:val="20"/>
                <w:lang w:eastAsia="ru-RU"/>
              </w:rPr>
            </w:pPr>
            <w:r w:rsidRPr="00B20BC7">
              <w:rPr>
                <w:rFonts w:ascii="Times New Roman" w:hAnsi="Times New Roman"/>
                <w:sz w:val="20"/>
                <w:szCs w:val="20"/>
                <w:lang w:eastAsia="ru-RU"/>
              </w:rPr>
              <w:t>1848</w:t>
            </w:r>
          </w:p>
        </w:tc>
        <w:tc>
          <w:tcPr>
            <w:tcW w:w="374" w:type="pct"/>
            <w:tcMar>
              <w:left w:w="108" w:type="dxa"/>
              <w:right w:w="108" w:type="dxa"/>
            </w:tcMar>
            <w:vAlign w:val="center"/>
          </w:tcPr>
          <w:p w:rsidR="004616EA" w:rsidRPr="00B20BC7" w:rsidRDefault="004616EA" w:rsidP="001704D9">
            <w:pPr>
              <w:spacing w:after="0" w:line="240" w:lineRule="auto"/>
              <w:jc w:val="center"/>
              <w:rPr>
                <w:rFonts w:ascii="Times New Roman" w:hAnsi="Times New Roman"/>
                <w:sz w:val="20"/>
                <w:szCs w:val="20"/>
                <w:lang w:eastAsia="ru-RU"/>
              </w:rPr>
            </w:pPr>
            <w:r w:rsidRPr="00B20BC7">
              <w:rPr>
                <w:rFonts w:ascii="Times New Roman" w:hAnsi="Times New Roman"/>
                <w:sz w:val="20"/>
                <w:szCs w:val="20"/>
                <w:lang w:eastAsia="ru-RU"/>
              </w:rPr>
              <w:t>1848</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Станции скорой медицинской помощи, автомобилей</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7.2.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Информатизация здравоохранения</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Введение системы электронной истории болезни и индивидуальной карты амбулаторного больного, %</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100</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8.</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культурной сферы</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8.1.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Создание условий для обеспечения деятельности учреждений культуры</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Кинотеатры, объект</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Библиотеки, объект</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Учреждения культурно-досугового типа, мест</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1492</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1374</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1374</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1374</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1374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1374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1374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1374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1374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1900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2256</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Музеи, объект</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2</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9.</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физической культуры и массового спорта</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bl>
    <w:p w:rsidR="004616EA" w:rsidRDefault="004616EA">
      <w:pPr>
        <w:sectPr w:rsidR="004616EA" w:rsidSect="00225D0C">
          <w:type w:val="continuous"/>
          <w:pgSz w:w="16838" w:h="11906" w:orient="landscape"/>
          <w:pgMar w:top="567" w:right="567" w:bottom="2552"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31"/>
        <w:gridCol w:w="2687"/>
        <w:gridCol w:w="1035"/>
        <w:gridCol w:w="1146"/>
        <w:gridCol w:w="1035"/>
        <w:gridCol w:w="1035"/>
        <w:gridCol w:w="1105"/>
        <w:gridCol w:w="1191"/>
        <w:gridCol w:w="1191"/>
        <w:gridCol w:w="1191"/>
        <w:gridCol w:w="1191"/>
        <w:gridCol w:w="1191"/>
        <w:gridCol w:w="1191"/>
      </w:tblGrid>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9.1.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Создание условий для максимального вовлечения населения в систематические занятия физической культурой и спортом</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6B0E07">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6B0E07" w:rsidRDefault="004616EA" w:rsidP="006B0E07">
            <w:pPr>
              <w:spacing w:line="240" w:lineRule="auto"/>
              <w:rPr>
                <w:rFonts w:ascii="Times New Roman" w:hAnsi="Times New Roman"/>
                <w:sz w:val="20"/>
                <w:szCs w:val="20"/>
              </w:rPr>
            </w:pPr>
            <w:r w:rsidRPr="006B0E07">
              <w:rPr>
                <w:rFonts w:ascii="Times New Roman" w:hAnsi="Times New Roman"/>
                <w:sz w:val="20"/>
                <w:szCs w:val="20"/>
              </w:rPr>
              <w:t>Спортивные залы, кв. м площади пола</w:t>
            </w:r>
          </w:p>
        </w:tc>
        <w:tc>
          <w:tcPr>
            <w:tcW w:w="325" w:type="pct"/>
            <w:tcMar>
              <w:left w:w="108" w:type="dxa"/>
              <w:right w:w="108" w:type="dxa"/>
            </w:tcMar>
            <w:vAlign w:val="center"/>
          </w:tcPr>
          <w:p w:rsidR="004616EA" w:rsidRPr="00283B39" w:rsidRDefault="004616EA" w:rsidP="006B0E07">
            <w:pPr>
              <w:spacing w:after="0" w:line="240" w:lineRule="auto"/>
              <w:jc w:val="center"/>
              <w:rPr>
                <w:rFonts w:ascii="Times New Roman" w:hAnsi="Times New Roman"/>
                <w:sz w:val="20"/>
                <w:szCs w:val="20"/>
              </w:rPr>
            </w:pPr>
            <w:r w:rsidRPr="00283B39">
              <w:rPr>
                <w:rFonts w:ascii="Times New Roman" w:hAnsi="Times New Roman"/>
                <w:sz w:val="20"/>
                <w:szCs w:val="20"/>
              </w:rPr>
              <w:t>16798,9</w:t>
            </w:r>
          </w:p>
        </w:tc>
        <w:tc>
          <w:tcPr>
            <w:tcW w:w="360"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16798,9</w:t>
            </w:r>
          </w:p>
        </w:tc>
        <w:tc>
          <w:tcPr>
            <w:tcW w:w="325"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17339</w:t>
            </w:r>
          </w:p>
        </w:tc>
        <w:tc>
          <w:tcPr>
            <w:tcW w:w="325" w:type="pct"/>
            <w:tcMar>
              <w:left w:w="108" w:type="dxa"/>
              <w:right w:w="108" w:type="dxa"/>
            </w:tcMar>
            <w:vAlign w:val="center"/>
          </w:tcPr>
          <w:p w:rsidR="004616EA" w:rsidRPr="006B0E07" w:rsidRDefault="004616EA" w:rsidP="006B0E07">
            <w:pPr>
              <w:spacing w:after="0"/>
              <w:jc w:val="center"/>
              <w:rPr>
                <w:rFonts w:ascii="Times New Roman" w:hAnsi="Times New Roman"/>
                <w:sz w:val="20"/>
                <w:szCs w:val="20"/>
              </w:rPr>
            </w:pPr>
            <w:r w:rsidRPr="006B0E07">
              <w:rPr>
                <w:rFonts w:ascii="Times New Roman" w:hAnsi="Times New Roman"/>
                <w:sz w:val="20"/>
                <w:szCs w:val="20"/>
              </w:rPr>
              <w:t>17635</w:t>
            </w:r>
          </w:p>
        </w:tc>
        <w:tc>
          <w:tcPr>
            <w:tcW w:w="347"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17635</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17635</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17635</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19977</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22579</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25095</w:t>
            </w:r>
          </w:p>
        </w:tc>
        <w:tc>
          <w:tcPr>
            <w:tcW w:w="374" w:type="pct"/>
            <w:tcMar>
              <w:left w:w="108" w:type="dxa"/>
              <w:right w:w="108" w:type="dxa"/>
            </w:tcMar>
            <w:vAlign w:val="center"/>
          </w:tcPr>
          <w:p w:rsidR="004616EA" w:rsidRPr="006B0E07" w:rsidRDefault="004616EA" w:rsidP="006B0E07">
            <w:pPr>
              <w:spacing w:after="0"/>
              <w:jc w:val="center"/>
              <w:rPr>
                <w:rFonts w:ascii="Times New Roman" w:hAnsi="Times New Roman"/>
                <w:sz w:val="20"/>
                <w:szCs w:val="20"/>
              </w:rPr>
            </w:pPr>
            <w:r w:rsidRPr="006B0E07">
              <w:rPr>
                <w:rFonts w:ascii="Times New Roman" w:hAnsi="Times New Roman"/>
                <w:sz w:val="20"/>
                <w:szCs w:val="20"/>
              </w:rPr>
              <w:t>17635</w:t>
            </w:r>
          </w:p>
        </w:tc>
      </w:tr>
      <w:tr w:rsidR="004616EA" w:rsidRPr="00283B39" w:rsidTr="00D03F73">
        <w:trPr>
          <w:trHeight w:val="300"/>
          <w:jc w:val="center"/>
        </w:trPr>
        <w:tc>
          <w:tcPr>
            <w:tcW w:w="230" w:type="pct"/>
            <w:tcMar>
              <w:left w:w="108" w:type="dxa"/>
              <w:right w:w="108" w:type="dxa"/>
            </w:tcMar>
          </w:tcPr>
          <w:p w:rsidR="004616EA" w:rsidRPr="00283B39" w:rsidRDefault="004616EA" w:rsidP="006B0E07">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vAlign w:val="center"/>
          </w:tcPr>
          <w:p w:rsidR="004616EA" w:rsidRPr="006B0E07" w:rsidRDefault="004616EA" w:rsidP="006B0E07">
            <w:pPr>
              <w:spacing w:after="0" w:line="240" w:lineRule="auto"/>
              <w:jc w:val="both"/>
              <w:rPr>
                <w:rFonts w:ascii="Times New Roman" w:hAnsi="Times New Roman"/>
                <w:sz w:val="20"/>
                <w:szCs w:val="20"/>
                <w:lang w:eastAsia="ru-RU"/>
              </w:rPr>
            </w:pPr>
            <w:r w:rsidRPr="006B0E07">
              <w:rPr>
                <w:rFonts w:ascii="Times New Roman" w:hAnsi="Times New Roman"/>
                <w:sz w:val="20"/>
                <w:szCs w:val="20"/>
                <w:lang w:eastAsia="ru-RU"/>
              </w:rPr>
              <w:t>Плавательные бассейны, кв. м зеркала воды</w:t>
            </w:r>
          </w:p>
        </w:tc>
        <w:tc>
          <w:tcPr>
            <w:tcW w:w="325" w:type="pct"/>
            <w:tcMar>
              <w:left w:w="108" w:type="dxa"/>
              <w:right w:w="108" w:type="dxa"/>
            </w:tcMar>
            <w:vAlign w:val="center"/>
          </w:tcPr>
          <w:p w:rsidR="004616EA" w:rsidRPr="00283B39" w:rsidRDefault="004616EA" w:rsidP="006B0E07">
            <w:pPr>
              <w:spacing w:after="0" w:line="240" w:lineRule="auto"/>
              <w:jc w:val="center"/>
              <w:rPr>
                <w:rFonts w:ascii="Times New Roman" w:hAnsi="Times New Roman"/>
                <w:sz w:val="20"/>
                <w:szCs w:val="20"/>
              </w:rPr>
            </w:pPr>
            <w:r w:rsidRPr="00283B39">
              <w:rPr>
                <w:rFonts w:ascii="Times New Roman" w:hAnsi="Times New Roman"/>
                <w:sz w:val="20"/>
                <w:szCs w:val="20"/>
              </w:rPr>
              <w:t>494</w:t>
            </w:r>
          </w:p>
        </w:tc>
        <w:tc>
          <w:tcPr>
            <w:tcW w:w="360" w:type="pct"/>
            <w:tcMar>
              <w:left w:w="108" w:type="dxa"/>
              <w:right w:w="108" w:type="dxa"/>
            </w:tcMar>
            <w:vAlign w:val="center"/>
          </w:tcPr>
          <w:p w:rsidR="004616EA" w:rsidRPr="00283B39" w:rsidRDefault="004616EA" w:rsidP="006B0E07">
            <w:pPr>
              <w:spacing w:after="0" w:line="240" w:lineRule="auto"/>
              <w:jc w:val="center"/>
              <w:rPr>
                <w:rFonts w:ascii="Times New Roman" w:hAnsi="Times New Roman"/>
                <w:sz w:val="20"/>
                <w:szCs w:val="20"/>
              </w:rPr>
            </w:pPr>
            <w:r w:rsidRPr="00283B39">
              <w:rPr>
                <w:rFonts w:ascii="Times New Roman" w:hAnsi="Times New Roman"/>
                <w:sz w:val="20"/>
                <w:szCs w:val="20"/>
              </w:rPr>
              <w:t>494</w:t>
            </w:r>
          </w:p>
        </w:tc>
        <w:tc>
          <w:tcPr>
            <w:tcW w:w="325" w:type="pct"/>
            <w:tcMar>
              <w:left w:w="108" w:type="dxa"/>
              <w:right w:w="108" w:type="dxa"/>
            </w:tcMar>
            <w:vAlign w:val="center"/>
          </w:tcPr>
          <w:p w:rsidR="004616EA" w:rsidRPr="00283B39" w:rsidRDefault="004616EA" w:rsidP="006B0E07">
            <w:pPr>
              <w:spacing w:after="0" w:line="240" w:lineRule="auto"/>
              <w:jc w:val="center"/>
              <w:rPr>
                <w:rFonts w:ascii="Times New Roman" w:hAnsi="Times New Roman"/>
                <w:sz w:val="20"/>
                <w:szCs w:val="20"/>
              </w:rPr>
            </w:pPr>
            <w:r w:rsidRPr="00283B39">
              <w:rPr>
                <w:rFonts w:ascii="Times New Roman" w:hAnsi="Times New Roman"/>
                <w:sz w:val="20"/>
                <w:szCs w:val="20"/>
              </w:rPr>
              <w:t>494</w:t>
            </w:r>
          </w:p>
        </w:tc>
        <w:tc>
          <w:tcPr>
            <w:tcW w:w="325" w:type="pct"/>
            <w:tcMar>
              <w:left w:w="108" w:type="dxa"/>
              <w:right w:w="108" w:type="dxa"/>
            </w:tcMar>
            <w:vAlign w:val="center"/>
          </w:tcPr>
          <w:p w:rsidR="004616EA" w:rsidRPr="006B0E07" w:rsidRDefault="004616EA" w:rsidP="006B0E07">
            <w:pPr>
              <w:spacing w:after="0" w:line="240" w:lineRule="auto"/>
              <w:jc w:val="center"/>
              <w:rPr>
                <w:rFonts w:ascii="Times New Roman" w:hAnsi="Times New Roman"/>
                <w:sz w:val="20"/>
                <w:szCs w:val="20"/>
              </w:rPr>
            </w:pPr>
            <w:r w:rsidRPr="006B0E07">
              <w:rPr>
                <w:rFonts w:ascii="Times New Roman" w:hAnsi="Times New Roman"/>
                <w:sz w:val="20"/>
                <w:szCs w:val="20"/>
              </w:rPr>
              <w:t>494</w:t>
            </w:r>
          </w:p>
        </w:tc>
        <w:tc>
          <w:tcPr>
            <w:tcW w:w="347"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494</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494</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494</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870</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2000</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4300</w:t>
            </w:r>
          </w:p>
        </w:tc>
        <w:tc>
          <w:tcPr>
            <w:tcW w:w="374" w:type="pct"/>
            <w:tcMar>
              <w:left w:w="108" w:type="dxa"/>
              <w:right w:w="108" w:type="dxa"/>
            </w:tcMar>
            <w:vAlign w:val="center"/>
          </w:tcPr>
          <w:p w:rsidR="004616EA" w:rsidRPr="006B0E07" w:rsidRDefault="004616EA" w:rsidP="006B0E07">
            <w:pPr>
              <w:spacing w:after="0" w:line="240" w:lineRule="auto"/>
              <w:jc w:val="center"/>
              <w:rPr>
                <w:rFonts w:ascii="Times New Roman" w:hAnsi="Times New Roman"/>
                <w:sz w:val="20"/>
                <w:szCs w:val="20"/>
              </w:rPr>
            </w:pPr>
            <w:r w:rsidRPr="006B0E07">
              <w:rPr>
                <w:rFonts w:ascii="Times New Roman" w:hAnsi="Times New Roman"/>
                <w:sz w:val="20"/>
                <w:szCs w:val="20"/>
              </w:rPr>
              <w:t>494</w:t>
            </w:r>
          </w:p>
        </w:tc>
      </w:tr>
      <w:tr w:rsidR="004616EA" w:rsidRPr="00283B39" w:rsidTr="00D03F73">
        <w:trPr>
          <w:trHeight w:val="300"/>
          <w:jc w:val="center"/>
        </w:trPr>
        <w:tc>
          <w:tcPr>
            <w:tcW w:w="230" w:type="pct"/>
            <w:tcMar>
              <w:left w:w="108" w:type="dxa"/>
              <w:right w:w="108" w:type="dxa"/>
            </w:tcMar>
          </w:tcPr>
          <w:p w:rsidR="004616EA" w:rsidRPr="00283B39" w:rsidRDefault="004616EA" w:rsidP="006B0E07">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vAlign w:val="center"/>
          </w:tcPr>
          <w:p w:rsidR="004616EA" w:rsidRPr="006B0E07" w:rsidRDefault="004616EA" w:rsidP="006B0E07">
            <w:pPr>
              <w:spacing w:after="0" w:line="240" w:lineRule="auto"/>
              <w:jc w:val="both"/>
              <w:rPr>
                <w:rFonts w:ascii="Times New Roman" w:hAnsi="Times New Roman"/>
                <w:sz w:val="20"/>
                <w:szCs w:val="20"/>
                <w:lang w:eastAsia="ru-RU"/>
              </w:rPr>
            </w:pPr>
            <w:r w:rsidRPr="006B0E07">
              <w:rPr>
                <w:rFonts w:ascii="Times New Roman" w:hAnsi="Times New Roman"/>
                <w:sz w:val="20"/>
                <w:szCs w:val="20"/>
                <w:lang w:eastAsia="ru-RU"/>
              </w:rPr>
              <w:t>Плоскостные сооружения, кв. м</w:t>
            </w:r>
          </w:p>
        </w:tc>
        <w:tc>
          <w:tcPr>
            <w:tcW w:w="325" w:type="pct"/>
            <w:tcMar>
              <w:left w:w="108" w:type="dxa"/>
              <w:right w:w="108" w:type="dxa"/>
            </w:tcMar>
            <w:vAlign w:val="center"/>
          </w:tcPr>
          <w:p w:rsidR="004616EA" w:rsidRPr="00283B39" w:rsidRDefault="004616EA" w:rsidP="006B0E07">
            <w:pPr>
              <w:spacing w:after="0" w:line="240" w:lineRule="auto"/>
              <w:jc w:val="center"/>
              <w:rPr>
                <w:rFonts w:ascii="Times New Roman" w:hAnsi="Times New Roman"/>
                <w:sz w:val="20"/>
                <w:szCs w:val="20"/>
              </w:rPr>
            </w:pPr>
            <w:r w:rsidRPr="00283B39">
              <w:rPr>
                <w:rFonts w:ascii="Times New Roman" w:hAnsi="Times New Roman"/>
                <w:sz w:val="20"/>
                <w:szCs w:val="20"/>
              </w:rPr>
              <w:t>44229</w:t>
            </w:r>
          </w:p>
        </w:tc>
        <w:tc>
          <w:tcPr>
            <w:tcW w:w="360" w:type="pct"/>
            <w:tcMar>
              <w:left w:w="108" w:type="dxa"/>
              <w:right w:w="108" w:type="dxa"/>
            </w:tcMar>
            <w:vAlign w:val="center"/>
          </w:tcPr>
          <w:p w:rsidR="004616EA" w:rsidRPr="00283B39" w:rsidRDefault="004616EA" w:rsidP="006B0E07">
            <w:pPr>
              <w:spacing w:after="0" w:line="240" w:lineRule="auto"/>
              <w:jc w:val="center"/>
              <w:rPr>
                <w:rFonts w:ascii="Times New Roman" w:hAnsi="Times New Roman"/>
                <w:sz w:val="20"/>
                <w:szCs w:val="20"/>
              </w:rPr>
            </w:pPr>
            <w:r w:rsidRPr="00283B39">
              <w:rPr>
                <w:rFonts w:ascii="Times New Roman" w:hAnsi="Times New Roman"/>
                <w:sz w:val="20"/>
                <w:szCs w:val="20"/>
              </w:rPr>
              <w:t>44229</w:t>
            </w:r>
          </w:p>
        </w:tc>
        <w:tc>
          <w:tcPr>
            <w:tcW w:w="325" w:type="pct"/>
            <w:tcMar>
              <w:left w:w="108" w:type="dxa"/>
              <w:right w:w="108" w:type="dxa"/>
            </w:tcMar>
            <w:vAlign w:val="center"/>
          </w:tcPr>
          <w:p w:rsidR="004616EA" w:rsidRPr="00283B39" w:rsidRDefault="004616EA" w:rsidP="006B0E07">
            <w:pPr>
              <w:spacing w:after="0" w:line="240" w:lineRule="auto"/>
              <w:jc w:val="center"/>
              <w:rPr>
                <w:rFonts w:ascii="Times New Roman" w:hAnsi="Times New Roman"/>
                <w:sz w:val="20"/>
                <w:szCs w:val="20"/>
              </w:rPr>
            </w:pPr>
            <w:r w:rsidRPr="00283B39">
              <w:rPr>
                <w:rFonts w:ascii="Times New Roman" w:hAnsi="Times New Roman"/>
                <w:sz w:val="20"/>
                <w:szCs w:val="20"/>
              </w:rPr>
              <w:t>44989</w:t>
            </w:r>
          </w:p>
        </w:tc>
        <w:tc>
          <w:tcPr>
            <w:tcW w:w="325" w:type="pct"/>
            <w:tcMar>
              <w:left w:w="108" w:type="dxa"/>
              <w:right w:w="108" w:type="dxa"/>
            </w:tcMar>
            <w:vAlign w:val="center"/>
          </w:tcPr>
          <w:p w:rsidR="004616EA" w:rsidRPr="006B0E07" w:rsidRDefault="004616EA" w:rsidP="006B0E07">
            <w:pPr>
              <w:spacing w:after="0" w:line="240" w:lineRule="auto"/>
              <w:jc w:val="center"/>
              <w:rPr>
                <w:rFonts w:ascii="Times New Roman" w:hAnsi="Times New Roman"/>
                <w:sz w:val="20"/>
                <w:szCs w:val="20"/>
              </w:rPr>
            </w:pPr>
            <w:r w:rsidRPr="006B0E07">
              <w:rPr>
                <w:rFonts w:ascii="Times New Roman" w:hAnsi="Times New Roman"/>
                <w:sz w:val="20"/>
                <w:szCs w:val="20"/>
              </w:rPr>
              <w:t>44989</w:t>
            </w:r>
          </w:p>
        </w:tc>
        <w:tc>
          <w:tcPr>
            <w:tcW w:w="347"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45043</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45043</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45043</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66018</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88757</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111852</w:t>
            </w:r>
          </w:p>
        </w:tc>
        <w:tc>
          <w:tcPr>
            <w:tcW w:w="374" w:type="pct"/>
            <w:tcMar>
              <w:left w:w="108" w:type="dxa"/>
              <w:right w:w="108" w:type="dxa"/>
            </w:tcMar>
            <w:vAlign w:val="center"/>
          </w:tcPr>
          <w:p w:rsidR="004616EA" w:rsidRPr="006B0E07" w:rsidRDefault="004616EA" w:rsidP="006B0E07">
            <w:pPr>
              <w:spacing w:after="0" w:line="240" w:lineRule="auto"/>
              <w:jc w:val="center"/>
              <w:rPr>
                <w:rFonts w:ascii="Times New Roman" w:hAnsi="Times New Roman"/>
                <w:sz w:val="20"/>
                <w:szCs w:val="20"/>
              </w:rPr>
            </w:pPr>
            <w:r w:rsidRPr="006B0E07">
              <w:rPr>
                <w:rFonts w:ascii="Times New Roman" w:hAnsi="Times New Roman"/>
                <w:sz w:val="20"/>
                <w:szCs w:val="20"/>
              </w:rPr>
              <w:t>44989</w:t>
            </w:r>
          </w:p>
        </w:tc>
      </w:tr>
      <w:tr w:rsidR="004616EA" w:rsidRPr="00283B39" w:rsidTr="00D03F73">
        <w:trPr>
          <w:trHeight w:val="56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 коммунальной, энергетической и коммуникационной инфраструктур</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4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системы теплоснабжения</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Теплопотребление, млн Гкал/год</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0,589</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0,546</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0,524</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0,513</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0,716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0,734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0,753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0,772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0,789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0,803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0,827</w:t>
            </w: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Обеспеченность жилья централизованным теплоснабжением, % от общей площади</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100,0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100,0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100,0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100,0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100,0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100,0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100,0</w:t>
            </w: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Износ тепловых сетей, %</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lang w:val="en-US"/>
              </w:rPr>
            </w:pPr>
            <w:r w:rsidRPr="00283B39">
              <w:rPr>
                <w:rFonts w:ascii="Times New Roman" w:hAnsi="Times New Roman"/>
                <w:sz w:val="20"/>
                <w:szCs w:val="20"/>
                <w:lang w:val="en-US" w:eastAsia="ru-RU"/>
              </w:rPr>
              <w:t>62</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lang w:val="en-US"/>
              </w:rPr>
            </w:pPr>
            <w:r w:rsidRPr="00283B39">
              <w:rPr>
                <w:rFonts w:ascii="Times New Roman" w:hAnsi="Times New Roman"/>
                <w:sz w:val="20"/>
                <w:szCs w:val="20"/>
                <w:lang w:val="en-US" w:eastAsia="ru-RU"/>
              </w:rPr>
              <w:t>60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lang w:val="en-US"/>
              </w:rPr>
            </w:pPr>
            <w:r w:rsidRPr="00283B39">
              <w:rPr>
                <w:rFonts w:ascii="Times New Roman" w:hAnsi="Times New Roman"/>
                <w:sz w:val="20"/>
                <w:szCs w:val="20"/>
                <w:lang w:val="en-US" w:eastAsia="ru-RU"/>
              </w:rPr>
              <w:t>58,7</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57,6</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55,6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45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40</w:t>
            </w:r>
          </w:p>
        </w:tc>
      </w:tr>
      <w:tr w:rsidR="004616EA" w:rsidRPr="00283B39" w:rsidTr="00D03F73">
        <w:trPr>
          <w:trHeight w:val="34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системы электроснабжения</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bl>
    <w:p w:rsidR="004616EA" w:rsidRDefault="004616EA">
      <w:pPr>
        <w:sectPr w:rsidR="004616EA" w:rsidSect="00225D0C">
          <w:type w:val="continuous"/>
          <w:pgSz w:w="16838" w:h="11906" w:orient="landscape"/>
          <w:pgMar w:top="2552" w:right="567" w:bottom="567"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31"/>
        <w:gridCol w:w="2687"/>
        <w:gridCol w:w="1035"/>
        <w:gridCol w:w="1146"/>
        <w:gridCol w:w="1035"/>
        <w:gridCol w:w="1035"/>
        <w:gridCol w:w="1105"/>
        <w:gridCol w:w="1191"/>
        <w:gridCol w:w="1191"/>
        <w:gridCol w:w="1191"/>
        <w:gridCol w:w="1191"/>
        <w:gridCol w:w="1191"/>
        <w:gridCol w:w="1191"/>
      </w:tblGrid>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Электропотребление, млн кВт. ч./год</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56,45</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eastAsia="ru-RU"/>
              </w:rPr>
              <w:t>н/д</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57,11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64,</w:t>
            </w:r>
            <w:r w:rsidRPr="00283B39">
              <w:rPr>
                <w:rFonts w:ascii="Times New Roman" w:hAnsi="Times New Roman"/>
                <w:sz w:val="20"/>
                <w:szCs w:val="20"/>
                <w:lang w:val="en-US"/>
              </w:rPr>
              <w:t>67</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6</w:t>
            </w:r>
            <w:r w:rsidRPr="00283B39">
              <w:rPr>
                <w:rFonts w:ascii="Times New Roman" w:hAnsi="Times New Roman"/>
                <w:sz w:val="20"/>
                <w:szCs w:val="20"/>
                <w:lang w:val="en-US"/>
              </w:rPr>
              <w:t>6</w:t>
            </w:r>
            <w:r w:rsidRPr="00283B39">
              <w:rPr>
                <w:rFonts w:ascii="Times New Roman" w:hAnsi="Times New Roman"/>
                <w:sz w:val="20"/>
                <w:szCs w:val="20"/>
              </w:rPr>
              <w:t>,</w:t>
            </w:r>
            <w:r w:rsidRPr="00283B39">
              <w:rPr>
                <w:rFonts w:ascii="Times New Roman" w:hAnsi="Times New Roman"/>
                <w:sz w:val="20"/>
                <w:szCs w:val="20"/>
                <w:lang w:val="en-US"/>
              </w:rPr>
              <w:t>78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7</w:t>
            </w:r>
            <w:r w:rsidRPr="00283B39">
              <w:rPr>
                <w:rFonts w:ascii="Times New Roman" w:hAnsi="Times New Roman"/>
                <w:sz w:val="20"/>
                <w:szCs w:val="20"/>
                <w:lang w:val="en-US"/>
              </w:rPr>
              <w:t>0</w:t>
            </w:r>
            <w:r w:rsidRPr="00283B39">
              <w:rPr>
                <w:rFonts w:ascii="Times New Roman" w:hAnsi="Times New Roman"/>
                <w:sz w:val="20"/>
                <w:szCs w:val="20"/>
              </w:rPr>
              <w:t>,</w:t>
            </w:r>
            <w:r w:rsidRPr="00283B39">
              <w:rPr>
                <w:rFonts w:ascii="Times New Roman" w:hAnsi="Times New Roman"/>
                <w:sz w:val="20"/>
                <w:szCs w:val="20"/>
                <w:lang w:val="en-US"/>
              </w:rPr>
              <w:t>88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75,</w:t>
            </w:r>
            <w:r w:rsidRPr="00283B39">
              <w:rPr>
                <w:rFonts w:ascii="Times New Roman" w:hAnsi="Times New Roman"/>
                <w:sz w:val="20"/>
                <w:szCs w:val="20"/>
                <w:lang w:val="en-US"/>
              </w:rPr>
              <w:t>1</w:t>
            </w:r>
            <w:r w:rsidRPr="00283B39">
              <w:rPr>
                <w:rFonts w:ascii="Times New Roman" w:hAnsi="Times New Roman"/>
                <w:sz w:val="20"/>
                <w:szCs w:val="20"/>
              </w:rPr>
              <w:t>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8</w:t>
            </w:r>
            <w:r w:rsidRPr="00283B39">
              <w:rPr>
                <w:rFonts w:ascii="Times New Roman" w:hAnsi="Times New Roman"/>
                <w:sz w:val="20"/>
                <w:szCs w:val="20"/>
                <w:lang w:val="en-US"/>
              </w:rPr>
              <w:t>8</w:t>
            </w:r>
            <w:r w:rsidRPr="00283B39">
              <w:rPr>
                <w:rFonts w:ascii="Times New Roman" w:hAnsi="Times New Roman"/>
                <w:sz w:val="20"/>
                <w:szCs w:val="20"/>
              </w:rPr>
              <w:t>,</w:t>
            </w:r>
            <w:r w:rsidRPr="00283B39">
              <w:rPr>
                <w:rFonts w:ascii="Times New Roman" w:hAnsi="Times New Roman"/>
                <w:sz w:val="20"/>
                <w:szCs w:val="20"/>
                <w:lang w:val="en-US"/>
              </w:rPr>
              <w:t>45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100</w:t>
            </w:r>
            <w:r w:rsidRPr="00283B39">
              <w:rPr>
                <w:rFonts w:ascii="Times New Roman" w:hAnsi="Times New Roman"/>
                <w:sz w:val="20"/>
                <w:szCs w:val="20"/>
              </w:rPr>
              <w:t>,</w:t>
            </w:r>
            <w:r w:rsidRPr="00283B39">
              <w:rPr>
                <w:rFonts w:ascii="Times New Roman" w:hAnsi="Times New Roman"/>
                <w:sz w:val="20"/>
                <w:szCs w:val="20"/>
                <w:lang w:val="en-US"/>
              </w:rPr>
              <w:t>92</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Техническое состояние линий электроснабжения</w:t>
            </w:r>
            <w:r w:rsidRPr="00283B39">
              <w:rPr>
                <w:rFonts w:ascii="Times New Roman" w:hAnsi="Times New Roman"/>
                <w:sz w:val="20"/>
                <w:szCs w:val="20"/>
                <w:vertAlign w:val="superscript"/>
              </w:rPr>
              <w:footnoteReference w:id="3"/>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хорошее</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хорошее</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хорошее</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хорошее</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хорошее</w:t>
            </w: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объектов жилищного фонда, обеспеченных централизованным электроснабжением, % от общей площади</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4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10.3.</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системы водоснабжения</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водопотребления, тыс. м3/сут.</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18,2</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16,3</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14,4</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13,4</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18,6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20,5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21,8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22,6</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Износ водопроводной сети, %</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47</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49</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val="en-US"/>
              </w:rPr>
              <w:t>50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48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46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42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40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38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36</w:t>
            </w: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объектов жилищного фонда, обеспеченных централизованным водоснабжением, % от общей площади</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38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10.4.</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системы водоотведения</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водоотведения, тыс. м3/сут.</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15,4</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14,5</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12,8</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11,7</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16,0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16,5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17,5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18,1</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Износ канализационной сети, %</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55</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55</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60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63</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5</w:t>
            </w:r>
            <w:r w:rsidRPr="00283B39">
              <w:rPr>
                <w:rFonts w:ascii="Times New Roman" w:hAnsi="Times New Roman"/>
                <w:sz w:val="20"/>
                <w:szCs w:val="20"/>
                <w:lang w:val="en-US"/>
              </w:rPr>
              <w:t>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56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52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48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40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35</w:t>
            </w:r>
          </w:p>
        </w:tc>
      </w:tr>
    </w:tbl>
    <w:p w:rsidR="004616EA" w:rsidRDefault="004616EA">
      <w:pPr>
        <w:sectPr w:rsidR="004616EA" w:rsidSect="00225D0C">
          <w:type w:val="continuous"/>
          <w:pgSz w:w="16838" w:h="11906" w:orient="landscape"/>
          <w:pgMar w:top="567" w:right="567" w:bottom="2552"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31"/>
        <w:gridCol w:w="2687"/>
        <w:gridCol w:w="1035"/>
        <w:gridCol w:w="1146"/>
        <w:gridCol w:w="1035"/>
        <w:gridCol w:w="1035"/>
        <w:gridCol w:w="1105"/>
        <w:gridCol w:w="1191"/>
        <w:gridCol w:w="1191"/>
        <w:gridCol w:w="1191"/>
        <w:gridCol w:w="1191"/>
        <w:gridCol w:w="1191"/>
        <w:gridCol w:w="1191"/>
      </w:tblGrid>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объектов жилищного фонда, обеспеченных централизованным водоотведением, % от общей площади</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100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100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объектов жилищного фонда, обеспеченных централизованным водоотведением (частный сектор за р. Кирилл-Высьягун), %</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66</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76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34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10.5.</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системы газоснабжения</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Обеспеченность жилья централизованным газоснабжением</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0,44</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Обеспеченность жилья централизованным газоснабжением (частный сектор за р. Кирилл-Высьягун), %</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Газопотребление, млн м3/год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98,6</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83,5</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81,7</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81,1</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89,5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91,8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94,2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96,5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98,6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103,4</w:t>
            </w:r>
          </w:p>
        </w:tc>
      </w:tr>
      <w:tr w:rsidR="004616EA" w:rsidRPr="00283B39" w:rsidTr="00D03F73">
        <w:trPr>
          <w:trHeight w:val="600"/>
          <w:jc w:val="center"/>
        </w:trPr>
        <w:tc>
          <w:tcPr>
            <w:tcW w:w="230" w:type="pct"/>
            <w:tcMar>
              <w:left w:w="108" w:type="dxa"/>
              <w:right w:w="108" w:type="dxa"/>
            </w:tcMar>
          </w:tcPr>
          <w:p w:rsidR="004616EA" w:rsidRPr="00283B39" w:rsidRDefault="004616EA" w:rsidP="00870BA1">
            <w:pPr>
              <w:spacing w:line="240" w:lineRule="auto"/>
              <w:rPr>
                <w:rFonts w:ascii="Times New Roman" w:hAnsi="Times New Roman"/>
                <w:sz w:val="20"/>
                <w:szCs w:val="20"/>
              </w:rPr>
            </w:pPr>
            <w:r w:rsidRPr="00283B39">
              <w:rPr>
                <w:rFonts w:ascii="Times New Roman" w:hAnsi="Times New Roman"/>
                <w:sz w:val="20"/>
                <w:szCs w:val="20"/>
              </w:rPr>
              <w:t>10.</w:t>
            </w:r>
            <w:r>
              <w:rPr>
                <w:rFonts w:ascii="Times New Roman" w:hAnsi="Times New Roman"/>
                <w:sz w:val="20"/>
                <w:szCs w:val="20"/>
              </w:rPr>
              <w:t>6</w:t>
            </w:r>
            <w:r w:rsidRPr="00283B39">
              <w:rPr>
                <w:rFonts w:ascii="Times New Roman" w:hAnsi="Times New Roman"/>
                <w:sz w:val="20"/>
                <w:szCs w:val="20"/>
              </w:rPr>
              <w:t>.</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объектов, используемых для захоронения и уничтожения отходов производства и потребления</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bl>
    <w:p w:rsidR="004616EA" w:rsidRDefault="004616EA">
      <w:pPr>
        <w:sectPr w:rsidR="004616EA" w:rsidSect="00225D0C">
          <w:type w:val="continuous"/>
          <w:pgSz w:w="16838" w:h="11906" w:orient="landscape"/>
          <w:pgMar w:top="2552" w:right="567" w:bottom="567" w:left="567" w:header="709" w:footer="709" w:gutter="0"/>
          <w:cols w:space="708"/>
          <w:docGrid w:linePitch="360"/>
        </w:sectPr>
      </w:pPr>
    </w:p>
    <w:p w:rsidR="004616EA" w:rsidRDefault="004616EA"/>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31"/>
        <w:gridCol w:w="2687"/>
        <w:gridCol w:w="1035"/>
        <w:gridCol w:w="1146"/>
        <w:gridCol w:w="1035"/>
        <w:gridCol w:w="1035"/>
        <w:gridCol w:w="1105"/>
        <w:gridCol w:w="1191"/>
        <w:gridCol w:w="1191"/>
        <w:gridCol w:w="1191"/>
        <w:gridCol w:w="1191"/>
        <w:gridCol w:w="1191"/>
        <w:gridCol w:w="1191"/>
      </w:tblGrid>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Площадь участка полигона ТБО, га</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0,8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2,5</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3,4</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транспортной инфраструктуры</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Обеспеченность светофорными объектами, шт.</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22</w:t>
            </w: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Совершенствование и развитие сети автомобильных дорог на территории городского округа, км</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50,5</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60,6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70,9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81,4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92,1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103,1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114,1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125,2</w:t>
            </w: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Протяженность автомобильных дорог общего пользования местного значения (магистральных улиц и дорог), км</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1</w:t>
            </w:r>
            <w:r w:rsidRPr="00283B39">
              <w:rPr>
                <w:rFonts w:ascii="Times New Roman" w:hAnsi="Times New Roman"/>
                <w:sz w:val="20"/>
                <w:szCs w:val="20"/>
              </w:rPr>
              <w:t>4,0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1</w:t>
            </w:r>
            <w:r w:rsidRPr="00283B39">
              <w:rPr>
                <w:rFonts w:ascii="Times New Roman" w:hAnsi="Times New Roman"/>
                <w:sz w:val="20"/>
                <w:szCs w:val="20"/>
              </w:rPr>
              <w:t>9,5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val="en-US"/>
              </w:rPr>
              <w:t>130</w:t>
            </w:r>
            <w:r w:rsidRPr="00283B39">
              <w:rPr>
                <w:rFonts w:ascii="Times New Roman" w:hAnsi="Times New Roman"/>
                <w:sz w:val="20"/>
                <w:szCs w:val="20"/>
              </w:rPr>
              <w:t>,0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val="en-US"/>
              </w:rPr>
              <w:t>14</w:t>
            </w:r>
            <w:r w:rsidRPr="00283B39">
              <w:rPr>
                <w:rFonts w:ascii="Times New Roman" w:hAnsi="Times New Roman"/>
                <w:sz w:val="20"/>
                <w:szCs w:val="20"/>
              </w:rPr>
              <w:t>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val="en-US"/>
              </w:rPr>
              <w:t>15</w:t>
            </w:r>
            <w:r w:rsidRPr="00283B39">
              <w:rPr>
                <w:rFonts w:ascii="Times New Roman" w:hAnsi="Times New Roman"/>
                <w:sz w:val="20"/>
                <w:szCs w:val="20"/>
              </w:rPr>
              <w:t>0,0</w:t>
            </w:r>
          </w:p>
        </w:tc>
      </w:tr>
      <w:tr w:rsidR="004616EA" w:rsidRPr="00283B39" w:rsidTr="00D03F73">
        <w:trPr>
          <w:trHeight w:val="92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протяженности автомобильных дорог общего пользования местного значения с твердым покрытием в общей протяженности автомобильных дорог общего пользования местного значения, %</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Количество личного автотранспорта на 1000 чел. населения, ед.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290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275</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305</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val="en-US"/>
              </w:rPr>
              <w:t>320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val="en-US"/>
              </w:rPr>
              <w:t>3</w:t>
            </w:r>
            <w:r w:rsidRPr="00283B39">
              <w:rPr>
                <w:rFonts w:ascii="Times New Roman" w:hAnsi="Times New Roman"/>
                <w:sz w:val="20"/>
                <w:szCs w:val="20"/>
              </w:rPr>
              <w:t>40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3</w:t>
            </w:r>
            <w:r w:rsidRPr="00283B39">
              <w:rPr>
                <w:rFonts w:ascii="Times New Roman" w:hAnsi="Times New Roman"/>
                <w:sz w:val="20"/>
                <w:szCs w:val="20"/>
              </w:rPr>
              <w:t>6</w:t>
            </w:r>
            <w:r w:rsidRPr="00283B39">
              <w:rPr>
                <w:rFonts w:ascii="Times New Roman" w:hAnsi="Times New Roman"/>
                <w:sz w:val="20"/>
                <w:szCs w:val="20"/>
                <w:lang w:val="en-US"/>
              </w:rPr>
              <w:t>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val="en-US"/>
              </w:rPr>
              <w:t>3</w:t>
            </w:r>
            <w:r w:rsidRPr="00283B39">
              <w:rPr>
                <w:rFonts w:ascii="Times New Roman" w:hAnsi="Times New Roman"/>
                <w:sz w:val="20"/>
                <w:szCs w:val="20"/>
              </w:rPr>
              <w:t>85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410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val="en-US"/>
              </w:rPr>
              <w:t>4</w:t>
            </w:r>
            <w:r w:rsidRPr="00283B39">
              <w:rPr>
                <w:rFonts w:ascii="Times New Roman" w:hAnsi="Times New Roman"/>
                <w:sz w:val="20"/>
                <w:szCs w:val="20"/>
              </w:rPr>
              <w:t>35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4</w:t>
            </w:r>
            <w:r w:rsidRPr="00283B39">
              <w:rPr>
                <w:rFonts w:ascii="Times New Roman" w:hAnsi="Times New Roman"/>
                <w:sz w:val="20"/>
                <w:szCs w:val="20"/>
              </w:rPr>
              <w:t>6</w:t>
            </w:r>
            <w:r w:rsidRPr="00283B39">
              <w:rPr>
                <w:rFonts w:ascii="Times New Roman" w:hAnsi="Times New Roman"/>
                <w:sz w:val="20"/>
                <w:szCs w:val="20"/>
                <w:lang w:val="en-US"/>
              </w:rPr>
              <w:t>0</w:t>
            </w:r>
          </w:p>
        </w:tc>
      </w:tr>
    </w:tbl>
    <w:p w:rsidR="004616EA" w:rsidRDefault="004616EA">
      <w:pPr>
        <w:sectPr w:rsidR="004616EA" w:rsidSect="00225D0C">
          <w:type w:val="continuous"/>
          <w:pgSz w:w="16838" w:h="11906" w:orient="landscape"/>
          <w:pgMar w:top="567" w:right="567" w:bottom="2552" w:left="567" w:header="709" w:footer="709" w:gutter="0"/>
          <w:cols w:space="708"/>
          <w:docGrid w:linePitch="360"/>
        </w:sectPr>
      </w:pPr>
    </w:p>
    <w:p w:rsidR="004616EA" w:rsidRDefault="004616EA"/>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31"/>
        <w:gridCol w:w="2687"/>
        <w:gridCol w:w="1035"/>
        <w:gridCol w:w="1146"/>
        <w:gridCol w:w="1035"/>
        <w:gridCol w:w="1035"/>
        <w:gridCol w:w="1105"/>
        <w:gridCol w:w="1191"/>
        <w:gridCol w:w="1191"/>
        <w:gridCol w:w="1191"/>
        <w:gridCol w:w="1191"/>
        <w:gridCol w:w="1191"/>
        <w:gridCol w:w="1191"/>
      </w:tblGrid>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социальной защиты населения, рынка труда</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2"/>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12.1.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Укрепление института семьи</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Соотношение количества браков и разводов (число разводов на 100 браков)</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93</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64</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54</w:t>
            </w: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12.2.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Совершенствование условий жизнедеятельности жителей с ограниченными возможностями</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светофоров со звуковой сигнализацией, %</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100</w:t>
            </w: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12.3.</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Создание условий для повышения уровня занятости</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31310">
            <w:pPr>
              <w:spacing w:line="240" w:lineRule="auto"/>
              <w:rPr>
                <w:rFonts w:ascii="Times New Roman" w:hAnsi="Times New Roman"/>
                <w:sz w:val="20"/>
                <w:szCs w:val="20"/>
              </w:rPr>
            </w:pPr>
            <w:r w:rsidRPr="00283B39">
              <w:rPr>
                <w:rFonts w:ascii="Times New Roman" w:hAnsi="Times New Roman"/>
                <w:sz w:val="20"/>
                <w:szCs w:val="20"/>
              </w:rPr>
              <w:t xml:space="preserve">Уровень официально зарегистрированной безработицы, % </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0,6</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0,7</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0,5</w:t>
            </w:r>
          </w:p>
        </w:tc>
        <w:tc>
          <w:tcPr>
            <w:tcW w:w="325" w:type="pct"/>
            <w:tcMar>
              <w:left w:w="108" w:type="dxa"/>
              <w:right w:w="108" w:type="dxa"/>
            </w:tcMar>
            <w:vAlign w:val="center"/>
          </w:tcPr>
          <w:p w:rsidR="004616EA" w:rsidRPr="00283B39" w:rsidRDefault="004616EA" w:rsidP="0030423C">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r>
              <w:rPr>
                <w:rFonts w:ascii="Times New Roman" w:hAnsi="Times New Roman"/>
                <w:sz w:val="20"/>
                <w:szCs w:val="20"/>
                <w:lang w:eastAsia="ru-RU"/>
              </w:rPr>
              <w:t>39</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w:t>
            </w:r>
          </w:p>
        </w:tc>
      </w:tr>
      <w:tr w:rsidR="004616EA" w:rsidRPr="00283B39" w:rsidTr="00D03F73">
        <w:trPr>
          <w:trHeight w:val="300"/>
          <w:jc w:val="center"/>
        </w:trPr>
        <w:tc>
          <w:tcPr>
            <w:tcW w:w="230" w:type="pct"/>
            <w:tcMar>
              <w:left w:w="108" w:type="dxa"/>
              <w:right w:w="108" w:type="dxa"/>
            </w:tcMar>
          </w:tcPr>
          <w:p w:rsidR="004616EA" w:rsidRPr="00283B39" w:rsidRDefault="004616EA" w:rsidP="004E6564">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4E6564">
            <w:pPr>
              <w:spacing w:line="240" w:lineRule="auto"/>
              <w:rPr>
                <w:rFonts w:ascii="Times New Roman" w:hAnsi="Times New Roman"/>
                <w:sz w:val="20"/>
                <w:szCs w:val="20"/>
              </w:rPr>
            </w:pPr>
            <w:r w:rsidRPr="004E6564">
              <w:rPr>
                <w:rFonts w:ascii="Times New Roman" w:hAnsi="Times New Roman"/>
                <w:sz w:val="20"/>
                <w:szCs w:val="20"/>
              </w:rPr>
              <w:t>Среднегодовая численность занятых в экономике, тыс. чел.</w:t>
            </w:r>
          </w:p>
        </w:tc>
        <w:tc>
          <w:tcPr>
            <w:tcW w:w="325" w:type="pct"/>
            <w:tcMar>
              <w:left w:w="108" w:type="dxa"/>
              <w:right w:w="108" w:type="dxa"/>
            </w:tcMar>
            <w:vAlign w:val="center"/>
          </w:tcPr>
          <w:p w:rsidR="004616EA" w:rsidRPr="004E6564" w:rsidRDefault="004616EA" w:rsidP="004E6564">
            <w:pPr>
              <w:spacing w:after="0" w:line="240" w:lineRule="auto"/>
              <w:jc w:val="center"/>
              <w:rPr>
                <w:rFonts w:ascii="Times New Roman" w:hAnsi="Times New Roman"/>
                <w:sz w:val="20"/>
                <w:szCs w:val="20"/>
                <w:lang w:eastAsia="ru-RU"/>
              </w:rPr>
            </w:pPr>
            <w:r w:rsidRPr="004E6564">
              <w:rPr>
                <w:rFonts w:ascii="Times New Roman" w:hAnsi="Times New Roman"/>
                <w:sz w:val="20"/>
                <w:szCs w:val="20"/>
                <w:lang w:eastAsia="ru-RU"/>
              </w:rPr>
              <w:t>40,0</w:t>
            </w:r>
          </w:p>
        </w:tc>
        <w:tc>
          <w:tcPr>
            <w:tcW w:w="360" w:type="pct"/>
            <w:tcMar>
              <w:left w:w="108" w:type="dxa"/>
              <w:right w:w="108" w:type="dxa"/>
            </w:tcMar>
            <w:vAlign w:val="center"/>
          </w:tcPr>
          <w:p w:rsidR="004616EA" w:rsidRPr="004E6564" w:rsidRDefault="004616EA" w:rsidP="004E6564">
            <w:pPr>
              <w:spacing w:after="0" w:line="240" w:lineRule="auto"/>
              <w:jc w:val="center"/>
              <w:rPr>
                <w:rFonts w:ascii="Times New Roman" w:hAnsi="Times New Roman"/>
                <w:sz w:val="20"/>
                <w:szCs w:val="20"/>
                <w:lang w:eastAsia="ru-RU"/>
              </w:rPr>
            </w:pPr>
            <w:r w:rsidRPr="004E6564">
              <w:rPr>
                <w:rFonts w:ascii="Times New Roman" w:hAnsi="Times New Roman"/>
                <w:sz w:val="20"/>
                <w:szCs w:val="20"/>
                <w:lang w:eastAsia="ru-RU"/>
              </w:rPr>
              <w:t>36,4</w:t>
            </w:r>
          </w:p>
        </w:tc>
        <w:tc>
          <w:tcPr>
            <w:tcW w:w="325" w:type="pct"/>
            <w:tcMar>
              <w:left w:w="108" w:type="dxa"/>
              <w:right w:w="108" w:type="dxa"/>
            </w:tcMar>
            <w:vAlign w:val="center"/>
          </w:tcPr>
          <w:p w:rsidR="004616EA" w:rsidRPr="004E6564" w:rsidRDefault="004616EA" w:rsidP="004E6564">
            <w:pPr>
              <w:spacing w:after="0" w:line="240" w:lineRule="auto"/>
              <w:jc w:val="center"/>
              <w:rPr>
                <w:rFonts w:ascii="Times New Roman" w:hAnsi="Times New Roman"/>
                <w:sz w:val="20"/>
                <w:szCs w:val="20"/>
                <w:lang w:eastAsia="ru-RU"/>
              </w:rPr>
            </w:pPr>
            <w:r w:rsidRPr="004E6564">
              <w:rPr>
                <w:rFonts w:ascii="Times New Roman" w:hAnsi="Times New Roman"/>
                <w:sz w:val="20"/>
                <w:szCs w:val="20"/>
                <w:lang w:eastAsia="ru-RU"/>
              </w:rPr>
              <w:t>36,1</w:t>
            </w:r>
          </w:p>
        </w:tc>
        <w:tc>
          <w:tcPr>
            <w:tcW w:w="325" w:type="pct"/>
            <w:tcMar>
              <w:left w:w="108" w:type="dxa"/>
              <w:right w:w="108" w:type="dxa"/>
            </w:tcMar>
            <w:vAlign w:val="center"/>
          </w:tcPr>
          <w:p w:rsidR="004616EA" w:rsidRPr="004E6564" w:rsidRDefault="004616EA" w:rsidP="004E6564">
            <w:pPr>
              <w:spacing w:after="0" w:line="240" w:lineRule="auto"/>
              <w:jc w:val="center"/>
              <w:rPr>
                <w:rFonts w:ascii="Times New Roman" w:hAnsi="Times New Roman"/>
                <w:sz w:val="20"/>
                <w:szCs w:val="20"/>
                <w:lang w:eastAsia="ru-RU"/>
              </w:rPr>
            </w:pPr>
            <w:r w:rsidRPr="004E6564">
              <w:rPr>
                <w:rFonts w:ascii="Times New Roman" w:hAnsi="Times New Roman"/>
                <w:sz w:val="20"/>
                <w:szCs w:val="20"/>
                <w:lang w:eastAsia="ru-RU"/>
              </w:rPr>
              <w:t>35,68</w:t>
            </w:r>
          </w:p>
        </w:tc>
        <w:tc>
          <w:tcPr>
            <w:tcW w:w="347" w:type="pct"/>
            <w:tcMar>
              <w:left w:w="108" w:type="dxa"/>
              <w:right w:w="108" w:type="dxa"/>
            </w:tcMar>
            <w:vAlign w:val="center"/>
          </w:tcPr>
          <w:p w:rsidR="004616EA" w:rsidRPr="004E6564" w:rsidRDefault="004616EA" w:rsidP="004E6564">
            <w:pPr>
              <w:spacing w:after="0" w:line="240" w:lineRule="auto"/>
              <w:jc w:val="center"/>
              <w:rPr>
                <w:rFonts w:ascii="Times New Roman" w:hAnsi="Times New Roman"/>
                <w:sz w:val="20"/>
                <w:szCs w:val="20"/>
                <w:lang w:eastAsia="ru-RU"/>
              </w:rPr>
            </w:pPr>
            <w:r w:rsidRPr="004E6564">
              <w:rPr>
                <w:rFonts w:ascii="Times New Roman" w:hAnsi="Times New Roman"/>
                <w:sz w:val="20"/>
                <w:szCs w:val="20"/>
                <w:lang w:eastAsia="ru-RU"/>
              </w:rPr>
              <w:t>36,3</w:t>
            </w:r>
          </w:p>
        </w:tc>
        <w:tc>
          <w:tcPr>
            <w:tcW w:w="374" w:type="pct"/>
            <w:tcMar>
              <w:left w:w="108" w:type="dxa"/>
              <w:right w:w="108" w:type="dxa"/>
            </w:tcMar>
            <w:vAlign w:val="center"/>
          </w:tcPr>
          <w:p w:rsidR="004616EA" w:rsidRPr="004E6564" w:rsidRDefault="004616EA" w:rsidP="004E6564">
            <w:pPr>
              <w:spacing w:after="0" w:line="240" w:lineRule="auto"/>
              <w:jc w:val="center"/>
              <w:rPr>
                <w:rFonts w:ascii="Times New Roman" w:hAnsi="Times New Roman"/>
                <w:sz w:val="20"/>
                <w:szCs w:val="20"/>
                <w:lang w:eastAsia="ru-RU"/>
              </w:rPr>
            </w:pPr>
            <w:r w:rsidRPr="004E6564">
              <w:rPr>
                <w:rFonts w:ascii="Times New Roman" w:hAnsi="Times New Roman"/>
                <w:sz w:val="20"/>
                <w:szCs w:val="20"/>
                <w:lang w:eastAsia="ru-RU"/>
              </w:rPr>
              <w:t>36,7</w:t>
            </w:r>
          </w:p>
        </w:tc>
        <w:tc>
          <w:tcPr>
            <w:tcW w:w="374" w:type="pct"/>
            <w:tcMar>
              <w:left w:w="108" w:type="dxa"/>
              <w:right w:w="108" w:type="dxa"/>
            </w:tcMar>
            <w:vAlign w:val="center"/>
          </w:tcPr>
          <w:p w:rsidR="004616EA" w:rsidRPr="004E6564" w:rsidRDefault="004616EA" w:rsidP="004E6564">
            <w:pPr>
              <w:spacing w:after="0" w:line="240" w:lineRule="auto"/>
              <w:jc w:val="center"/>
              <w:rPr>
                <w:rFonts w:ascii="Times New Roman" w:hAnsi="Times New Roman"/>
                <w:sz w:val="20"/>
                <w:szCs w:val="20"/>
                <w:lang w:eastAsia="ru-RU"/>
              </w:rPr>
            </w:pPr>
            <w:r w:rsidRPr="004E6564">
              <w:rPr>
                <w:rFonts w:ascii="Times New Roman" w:hAnsi="Times New Roman"/>
                <w:sz w:val="20"/>
                <w:szCs w:val="20"/>
                <w:lang w:eastAsia="ru-RU"/>
              </w:rPr>
              <w:t>37,0</w:t>
            </w:r>
          </w:p>
        </w:tc>
        <w:tc>
          <w:tcPr>
            <w:tcW w:w="374" w:type="pct"/>
            <w:tcMar>
              <w:left w:w="108" w:type="dxa"/>
              <w:right w:w="108" w:type="dxa"/>
            </w:tcMar>
            <w:vAlign w:val="center"/>
          </w:tcPr>
          <w:p w:rsidR="004616EA" w:rsidRPr="004E6564" w:rsidRDefault="004616EA" w:rsidP="004E6564">
            <w:pPr>
              <w:spacing w:after="0" w:line="240" w:lineRule="auto"/>
              <w:jc w:val="center"/>
              <w:rPr>
                <w:rFonts w:ascii="Times New Roman" w:hAnsi="Times New Roman"/>
                <w:sz w:val="20"/>
                <w:szCs w:val="20"/>
                <w:lang w:eastAsia="ru-RU"/>
              </w:rPr>
            </w:pPr>
            <w:r w:rsidRPr="004E6564">
              <w:rPr>
                <w:rFonts w:ascii="Times New Roman" w:hAnsi="Times New Roman"/>
                <w:sz w:val="20"/>
                <w:szCs w:val="20"/>
                <w:lang w:eastAsia="ru-RU"/>
              </w:rPr>
              <w:t>37,4</w:t>
            </w:r>
          </w:p>
        </w:tc>
        <w:tc>
          <w:tcPr>
            <w:tcW w:w="374" w:type="pct"/>
            <w:tcMar>
              <w:left w:w="108" w:type="dxa"/>
              <w:right w:w="108" w:type="dxa"/>
            </w:tcMar>
            <w:vAlign w:val="center"/>
          </w:tcPr>
          <w:p w:rsidR="004616EA" w:rsidRPr="004E6564" w:rsidRDefault="004616EA" w:rsidP="004E6564">
            <w:pPr>
              <w:spacing w:after="0" w:line="240" w:lineRule="auto"/>
              <w:jc w:val="center"/>
              <w:rPr>
                <w:rFonts w:ascii="Times New Roman" w:hAnsi="Times New Roman"/>
                <w:sz w:val="20"/>
                <w:szCs w:val="20"/>
                <w:lang w:eastAsia="ru-RU"/>
              </w:rPr>
            </w:pPr>
            <w:r w:rsidRPr="004E6564">
              <w:rPr>
                <w:rFonts w:ascii="Times New Roman" w:hAnsi="Times New Roman"/>
                <w:sz w:val="20"/>
                <w:szCs w:val="20"/>
                <w:lang w:eastAsia="ru-RU"/>
              </w:rPr>
              <w:t>37,6</w:t>
            </w:r>
          </w:p>
        </w:tc>
        <w:tc>
          <w:tcPr>
            <w:tcW w:w="374" w:type="pct"/>
            <w:tcMar>
              <w:left w:w="108" w:type="dxa"/>
              <w:right w:w="108" w:type="dxa"/>
            </w:tcMar>
            <w:vAlign w:val="center"/>
          </w:tcPr>
          <w:p w:rsidR="004616EA" w:rsidRPr="004E6564" w:rsidRDefault="004616EA" w:rsidP="004E6564">
            <w:pPr>
              <w:spacing w:after="0" w:line="240" w:lineRule="auto"/>
              <w:jc w:val="center"/>
              <w:rPr>
                <w:rFonts w:ascii="Times New Roman" w:hAnsi="Times New Roman"/>
                <w:sz w:val="20"/>
                <w:szCs w:val="20"/>
                <w:lang w:eastAsia="ru-RU"/>
              </w:rPr>
            </w:pPr>
            <w:r w:rsidRPr="004E6564">
              <w:rPr>
                <w:rFonts w:ascii="Times New Roman" w:hAnsi="Times New Roman"/>
                <w:sz w:val="20"/>
                <w:szCs w:val="20"/>
                <w:lang w:eastAsia="ru-RU"/>
              </w:rPr>
              <w:t>39,7</w:t>
            </w:r>
          </w:p>
        </w:tc>
        <w:tc>
          <w:tcPr>
            <w:tcW w:w="374" w:type="pct"/>
            <w:tcMar>
              <w:left w:w="108" w:type="dxa"/>
              <w:right w:w="108" w:type="dxa"/>
            </w:tcMar>
            <w:vAlign w:val="center"/>
          </w:tcPr>
          <w:p w:rsidR="004616EA" w:rsidRPr="004E6564" w:rsidRDefault="004616EA" w:rsidP="004E6564">
            <w:pPr>
              <w:spacing w:after="0" w:line="240" w:lineRule="auto"/>
              <w:jc w:val="center"/>
              <w:rPr>
                <w:rFonts w:ascii="Times New Roman" w:hAnsi="Times New Roman"/>
                <w:sz w:val="20"/>
                <w:szCs w:val="20"/>
                <w:lang w:eastAsia="ru-RU"/>
              </w:rPr>
            </w:pPr>
            <w:r w:rsidRPr="004E6564">
              <w:rPr>
                <w:rFonts w:ascii="Times New Roman" w:hAnsi="Times New Roman"/>
                <w:sz w:val="20"/>
                <w:szCs w:val="20"/>
                <w:lang w:eastAsia="ru-RU"/>
              </w:rPr>
              <w:t>43,5</w:t>
            </w: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Среднемесячная номинальная начисленная заработная плата работников организаций, руб.</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44173,6</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45762,7</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48318,6</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51415,4</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54990,1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64770,1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69627,9</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78519,4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83230,6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91553,6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100709,0</w:t>
            </w:r>
          </w:p>
        </w:tc>
      </w:tr>
    </w:tbl>
    <w:p w:rsidR="004616EA" w:rsidRPr="00475E67" w:rsidRDefault="004616EA" w:rsidP="00CF65DB"/>
    <w:sectPr w:rsidR="004616EA" w:rsidRPr="00475E67" w:rsidSect="00225D0C">
      <w:type w:val="continuous"/>
      <w:pgSz w:w="16838" w:h="11906" w:orient="landscape"/>
      <w:pgMar w:top="2157" w:right="567" w:bottom="567" w:left="56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74C05" w:rsidRDefault="00574C05">
      <w:pPr>
        <w:spacing w:after="0" w:line="240" w:lineRule="auto"/>
      </w:pPr>
      <w:r>
        <w:separator/>
      </w:r>
    </w:p>
  </w:endnote>
  <w:endnote w:type="continuationSeparator" w:id="0">
    <w:p w:rsidR="00574C05" w:rsidRDefault="00574C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onsolas">
    <w:panose1 w:val="020B0609020204030204"/>
    <w:charset w:val="CC"/>
    <w:family w:val="modern"/>
    <w:pitch w:val="fixed"/>
    <w:sig w:usb0="E10002FF" w:usb1="4000FCFF" w:usb2="00000009"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77F4" w:rsidRDefault="001977F4" w:rsidP="002962FE">
    <w:pPr>
      <w:pStyle w:val="a5"/>
      <w:framePr w:wrap="around" w:vAnchor="text" w:hAnchor="margin" w:xAlign="outside" w:y="1"/>
      <w:rPr>
        <w:rStyle w:val="afff5"/>
      </w:rPr>
    </w:pPr>
    <w:r>
      <w:rPr>
        <w:rStyle w:val="afff5"/>
      </w:rPr>
      <w:fldChar w:fldCharType="begin"/>
    </w:r>
    <w:r>
      <w:rPr>
        <w:rStyle w:val="afff5"/>
      </w:rPr>
      <w:instrText xml:space="preserve">PAGE  </w:instrText>
    </w:r>
    <w:r>
      <w:rPr>
        <w:rStyle w:val="afff5"/>
      </w:rPr>
      <w:fldChar w:fldCharType="end"/>
    </w:r>
  </w:p>
  <w:p w:rsidR="001977F4" w:rsidRDefault="001977F4" w:rsidP="00DB70C4">
    <w:pPr>
      <w:pStyle w:val="a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77F4" w:rsidRDefault="001977F4" w:rsidP="002962FE">
    <w:pPr>
      <w:pStyle w:val="a5"/>
      <w:framePr w:wrap="around" w:vAnchor="text" w:hAnchor="margin" w:xAlign="outside" w:y="1"/>
      <w:rPr>
        <w:rStyle w:val="afff5"/>
      </w:rPr>
    </w:pPr>
    <w:r>
      <w:rPr>
        <w:rStyle w:val="afff5"/>
      </w:rPr>
      <w:fldChar w:fldCharType="begin"/>
    </w:r>
    <w:r>
      <w:rPr>
        <w:rStyle w:val="afff5"/>
      </w:rPr>
      <w:instrText xml:space="preserve">PAGE  </w:instrText>
    </w:r>
    <w:r>
      <w:rPr>
        <w:rStyle w:val="afff5"/>
      </w:rPr>
      <w:fldChar w:fldCharType="separate"/>
    </w:r>
    <w:r w:rsidR="00E70A58">
      <w:rPr>
        <w:rStyle w:val="afff5"/>
        <w:noProof/>
      </w:rPr>
      <w:t>3</w:t>
    </w:r>
    <w:r>
      <w:rPr>
        <w:rStyle w:val="afff5"/>
      </w:rPr>
      <w:fldChar w:fldCharType="end"/>
    </w:r>
  </w:p>
  <w:p w:rsidR="001977F4" w:rsidRDefault="001977F4" w:rsidP="00DB70C4">
    <w:pPr>
      <w:pStyle w:val="a5"/>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74C05" w:rsidRDefault="00574C05">
      <w:pPr>
        <w:spacing w:after="0" w:line="240" w:lineRule="auto"/>
      </w:pPr>
      <w:r>
        <w:separator/>
      </w:r>
    </w:p>
  </w:footnote>
  <w:footnote w:type="continuationSeparator" w:id="0">
    <w:p w:rsidR="00574C05" w:rsidRDefault="00574C05">
      <w:pPr>
        <w:spacing w:after="0" w:line="240" w:lineRule="auto"/>
      </w:pPr>
      <w:r>
        <w:continuationSeparator/>
      </w:r>
    </w:p>
  </w:footnote>
  <w:footnote w:id="1">
    <w:p w:rsidR="001977F4" w:rsidRDefault="001977F4" w:rsidP="00E5472E">
      <w:pPr>
        <w:pStyle w:val="af8"/>
      </w:pPr>
      <w:r w:rsidRPr="00E86439">
        <w:rPr>
          <w:rStyle w:val="afa"/>
        </w:rPr>
        <w:footnoteRef/>
      </w:r>
      <w:r w:rsidRPr="00E86439">
        <w:rPr>
          <w:rFonts w:ascii="Times New Roman" w:hAnsi="Times New Roman"/>
        </w:rPr>
        <w:t xml:space="preserve"> Примечание:</w:t>
      </w:r>
      <w:r>
        <w:rPr>
          <w:rFonts w:ascii="Times New Roman" w:hAnsi="Times New Roman"/>
        </w:rPr>
        <w:t xml:space="preserve"> Удовлетворительное техническое состояние принято для 40-70% износа электрических сетей, хорошее – 40% и менее.</w:t>
      </w:r>
    </w:p>
  </w:footnote>
  <w:footnote w:id="2">
    <w:p w:rsidR="001977F4" w:rsidRDefault="001977F4" w:rsidP="00E5472E">
      <w:pPr>
        <w:pStyle w:val="af8"/>
      </w:pPr>
      <w:r w:rsidRPr="00FF7FD1">
        <w:rPr>
          <w:rStyle w:val="afa"/>
        </w:rPr>
        <w:footnoteRef/>
      </w:r>
      <w:r>
        <w:t xml:space="preserve"> </w:t>
      </w:r>
      <w:r w:rsidRPr="00E86439">
        <w:rPr>
          <w:rFonts w:ascii="Times New Roman" w:hAnsi="Times New Roman"/>
        </w:rPr>
        <w:t>Примечание:</w:t>
      </w:r>
      <w:r>
        <w:rPr>
          <w:rFonts w:ascii="Times New Roman" w:hAnsi="Times New Roman"/>
        </w:rPr>
        <w:t xml:space="preserve"> Удовлетворительное техническое состояние принято для 40-70% износа электрических сетей, хорошее – 40% и менее.</w:t>
      </w:r>
    </w:p>
  </w:footnote>
  <w:footnote w:id="3">
    <w:p w:rsidR="001977F4" w:rsidRDefault="001977F4" w:rsidP="00E5472E">
      <w:pPr>
        <w:pStyle w:val="af8"/>
      </w:pPr>
      <w:r w:rsidRPr="002171F2">
        <w:rPr>
          <w:rStyle w:val="afa"/>
        </w:rPr>
        <w:footnoteRef/>
      </w:r>
      <w:r w:rsidRPr="002171F2">
        <w:rPr>
          <w:rFonts w:ascii="Times New Roman" w:hAnsi="Times New Roman"/>
        </w:rPr>
        <w:t xml:space="preserve"> </w:t>
      </w:r>
      <w:r w:rsidRPr="00E86439">
        <w:rPr>
          <w:rFonts w:ascii="Times New Roman" w:hAnsi="Times New Roman"/>
        </w:rPr>
        <w:t>Примечание:</w:t>
      </w:r>
      <w:r>
        <w:rPr>
          <w:rFonts w:ascii="Times New Roman" w:hAnsi="Times New Roman"/>
        </w:rPr>
        <w:t xml:space="preserve"> Удовлетворительное техническое состояние принято для 40-70% износа электрических сетей, хорошее – 40% и меньше.</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283FD5"/>
    <w:multiLevelType w:val="hybridMultilevel"/>
    <w:tmpl w:val="8D044F70"/>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
    <w:nsid w:val="01C80F71"/>
    <w:multiLevelType w:val="hybridMultilevel"/>
    <w:tmpl w:val="E4DC8B2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044C7882"/>
    <w:multiLevelType w:val="hybridMultilevel"/>
    <w:tmpl w:val="D272DA3C"/>
    <w:lvl w:ilvl="0" w:tplc="154C526C">
      <w:start w:val="1"/>
      <w:numFmt w:val="bullet"/>
      <w:lvlText w:val=""/>
      <w:lvlJc w:val="left"/>
      <w:pPr>
        <w:ind w:left="1070" w:hanging="360"/>
      </w:pPr>
      <w:rPr>
        <w:rFonts w:ascii="Symbol" w:hAnsi="Symbol"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
    <w:nsid w:val="05AF3C77"/>
    <w:multiLevelType w:val="hybridMultilevel"/>
    <w:tmpl w:val="ED3838EC"/>
    <w:lvl w:ilvl="0" w:tplc="D004DDE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
    <w:nsid w:val="05F421CB"/>
    <w:multiLevelType w:val="hybridMultilevel"/>
    <w:tmpl w:val="D9BA43BC"/>
    <w:lvl w:ilvl="0" w:tplc="EE2224CE">
      <w:start w:val="1"/>
      <w:numFmt w:val="bullet"/>
      <w:lvlText w:val=""/>
      <w:lvlJc w:val="left"/>
      <w:pPr>
        <w:ind w:left="1096" w:hanging="360"/>
      </w:pPr>
      <w:rPr>
        <w:rFonts w:ascii="Symbol" w:hAnsi="Symbol" w:hint="default"/>
        <w:color w:val="auto"/>
      </w:rPr>
    </w:lvl>
    <w:lvl w:ilvl="1" w:tplc="04190003" w:tentative="1">
      <w:start w:val="1"/>
      <w:numFmt w:val="bullet"/>
      <w:lvlText w:val="o"/>
      <w:lvlJc w:val="left"/>
      <w:pPr>
        <w:ind w:left="1816" w:hanging="360"/>
      </w:pPr>
      <w:rPr>
        <w:rFonts w:ascii="Courier New" w:hAnsi="Courier New" w:hint="default"/>
      </w:rPr>
    </w:lvl>
    <w:lvl w:ilvl="2" w:tplc="04190005" w:tentative="1">
      <w:start w:val="1"/>
      <w:numFmt w:val="bullet"/>
      <w:lvlText w:val=""/>
      <w:lvlJc w:val="left"/>
      <w:pPr>
        <w:ind w:left="2536" w:hanging="360"/>
      </w:pPr>
      <w:rPr>
        <w:rFonts w:ascii="Wingdings" w:hAnsi="Wingdings" w:hint="default"/>
      </w:rPr>
    </w:lvl>
    <w:lvl w:ilvl="3" w:tplc="04190001" w:tentative="1">
      <w:start w:val="1"/>
      <w:numFmt w:val="bullet"/>
      <w:lvlText w:val=""/>
      <w:lvlJc w:val="left"/>
      <w:pPr>
        <w:ind w:left="3256" w:hanging="360"/>
      </w:pPr>
      <w:rPr>
        <w:rFonts w:ascii="Symbol" w:hAnsi="Symbol" w:hint="default"/>
      </w:rPr>
    </w:lvl>
    <w:lvl w:ilvl="4" w:tplc="04190003" w:tentative="1">
      <w:start w:val="1"/>
      <w:numFmt w:val="bullet"/>
      <w:lvlText w:val="o"/>
      <w:lvlJc w:val="left"/>
      <w:pPr>
        <w:ind w:left="3976" w:hanging="360"/>
      </w:pPr>
      <w:rPr>
        <w:rFonts w:ascii="Courier New" w:hAnsi="Courier New" w:hint="default"/>
      </w:rPr>
    </w:lvl>
    <w:lvl w:ilvl="5" w:tplc="04190005" w:tentative="1">
      <w:start w:val="1"/>
      <w:numFmt w:val="bullet"/>
      <w:lvlText w:val=""/>
      <w:lvlJc w:val="left"/>
      <w:pPr>
        <w:ind w:left="4696" w:hanging="360"/>
      </w:pPr>
      <w:rPr>
        <w:rFonts w:ascii="Wingdings" w:hAnsi="Wingdings" w:hint="default"/>
      </w:rPr>
    </w:lvl>
    <w:lvl w:ilvl="6" w:tplc="04190001" w:tentative="1">
      <w:start w:val="1"/>
      <w:numFmt w:val="bullet"/>
      <w:lvlText w:val=""/>
      <w:lvlJc w:val="left"/>
      <w:pPr>
        <w:ind w:left="5416" w:hanging="360"/>
      </w:pPr>
      <w:rPr>
        <w:rFonts w:ascii="Symbol" w:hAnsi="Symbol" w:hint="default"/>
      </w:rPr>
    </w:lvl>
    <w:lvl w:ilvl="7" w:tplc="04190003" w:tentative="1">
      <w:start w:val="1"/>
      <w:numFmt w:val="bullet"/>
      <w:lvlText w:val="o"/>
      <w:lvlJc w:val="left"/>
      <w:pPr>
        <w:ind w:left="6136" w:hanging="360"/>
      </w:pPr>
      <w:rPr>
        <w:rFonts w:ascii="Courier New" w:hAnsi="Courier New" w:hint="default"/>
      </w:rPr>
    </w:lvl>
    <w:lvl w:ilvl="8" w:tplc="04190005" w:tentative="1">
      <w:start w:val="1"/>
      <w:numFmt w:val="bullet"/>
      <w:lvlText w:val=""/>
      <w:lvlJc w:val="left"/>
      <w:pPr>
        <w:ind w:left="6856" w:hanging="360"/>
      </w:pPr>
      <w:rPr>
        <w:rFonts w:ascii="Wingdings" w:hAnsi="Wingdings" w:hint="default"/>
      </w:rPr>
    </w:lvl>
  </w:abstractNum>
  <w:abstractNum w:abstractNumId="5">
    <w:nsid w:val="08F4215C"/>
    <w:multiLevelType w:val="hybridMultilevel"/>
    <w:tmpl w:val="22905A7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09083B5C"/>
    <w:multiLevelType w:val="hybridMultilevel"/>
    <w:tmpl w:val="09507C6A"/>
    <w:lvl w:ilvl="0" w:tplc="1872499A">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09EA085C"/>
    <w:multiLevelType w:val="hybridMultilevel"/>
    <w:tmpl w:val="DA465ED4"/>
    <w:lvl w:ilvl="0" w:tplc="44D876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0B7F3F9A"/>
    <w:multiLevelType w:val="hybridMultilevel"/>
    <w:tmpl w:val="58F65C2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0BB13581"/>
    <w:multiLevelType w:val="hybridMultilevel"/>
    <w:tmpl w:val="926A5C8C"/>
    <w:lvl w:ilvl="0" w:tplc="EE2224CE">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0D6E66B8"/>
    <w:multiLevelType w:val="hybridMultilevel"/>
    <w:tmpl w:val="C9AE8C70"/>
    <w:lvl w:ilvl="0" w:tplc="44D876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20A42AF"/>
    <w:multiLevelType w:val="hybridMultilevel"/>
    <w:tmpl w:val="E9866CAA"/>
    <w:lvl w:ilvl="0" w:tplc="44D876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146B00BB"/>
    <w:multiLevelType w:val="hybridMultilevel"/>
    <w:tmpl w:val="4078A166"/>
    <w:lvl w:ilvl="0" w:tplc="542EDE80">
      <w:start w:val="1"/>
      <w:numFmt w:val="decimal"/>
      <w:lvlText w:val="%1."/>
      <w:lvlJc w:val="left"/>
      <w:pPr>
        <w:ind w:left="720"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155E7468"/>
    <w:multiLevelType w:val="hybridMultilevel"/>
    <w:tmpl w:val="F65A8B48"/>
    <w:lvl w:ilvl="0" w:tplc="44D876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16921C71"/>
    <w:multiLevelType w:val="hybridMultilevel"/>
    <w:tmpl w:val="81F05E60"/>
    <w:lvl w:ilvl="0" w:tplc="44D876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16CD6BDB"/>
    <w:multiLevelType w:val="hybridMultilevel"/>
    <w:tmpl w:val="89760038"/>
    <w:lvl w:ilvl="0" w:tplc="138C2602">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16">
    <w:nsid w:val="18801CB8"/>
    <w:multiLevelType w:val="multilevel"/>
    <w:tmpl w:val="7AD6C084"/>
    <w:lvl w:ilvl="0">
      <w:start w:val="1"/>
      <w:numFmt w:val="decimal"/>
      <w:lvlText w:val="%1."/>
      <w:lvlJc w:val="left"/>
      <w:pPr>
        <w:tabs>
          <w:tab w:val="num" w:pos="720"/>
        </w:tabs>
        <w:ind w:left="720" w:hanging="360"/>
      </w:pPr>
      <w:rPr>
        <w:rFonts w:cs="Times New Roman" w:hint="default"/>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8DF4D26"/>
    <w:multiLevelType w:val="hybridMultilevel"/>
    <w:tmpl w:val="EC786218"/>
    <w:lvl w:ilvl="0" w:tplc="AD728E90">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19155DC9"/>
    <w:multiLevelType w:val="hybridMultilevel"/>
    <w:tmpl w:val="81948594"/>
    <w:lvl w:ilvl="0" w:tplc="154C52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1B682B3E"/>
    <w:multiLevelType w:val="hybridMultilevel"/>
    <w:tmpl w:val="A61ADA18"/>
    <w:lvl w:ilvl="0" w:tplc="44D876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1F1B15CB"/>
    <w:multiLevelType w:val="hybridMultilevel"/>
    <w:tmpl w:val="9034C536"/>
    <w:lvl w:ilvl="0" w:tplc="154C52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1F361645"/>
    <w:multiLevelType w:val="hybridMultilevel"/>
    <w:tmpl w:val="D954F6C2"/>
    <w:lvl w:ilvl="0" w:tplc="BB400AC6">
      <w:start w:val="1"/>
      <w:numFmt w:val="decimal"/>
      <w:lvlText w:val="%1."/>
      <w:lvlJc w:val="left"/>
      <w:pPr>
        <w:ind w:left="720" w:hanging="360"/>
      </w:pPr>
      <w:rPr>
        <w:rFonts w:cs="Times New Roman" w:hint="default"/>
        <w:sz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nsid w:val="1F506ED4"/>
    <w:multiLevelType w:val="hybridMultilevel"/>
    <w:tmpl w:val="62ACD9E6"/>
    <w:lvl w:ilvl="0" w:tplc="75E66726">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23">
    <w:nsid w:val="225C615C"/>
    <w:multiLevelType w:val="hybridMultilevel"/>
    <w:tmpl w:val="9EA6E0F4"/>
    <w:lvl w:ilvl="0" w:tplc="D004DDE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4">
    <w:nsid w:val="23813A92"/>
    <w:multiLevelType w:val="multilevel"/>
    <w:tmpl w:val="4942F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24DD6D61"/>
    <w:multiLevelType w:val="hybridMultilevel"/>
    <w:tmpl w:val="D3B41B06"/>
    <w:lvl w:ilvl="0" w:tplc="AD728E90">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29112C5F"/>
    <w:multiLevelType w:val="hybridMultilevel"/>
    <w:tmpl w:val="F09AECB0"/>
    <w:lvl w:ilvl="0" w:tplc="4678E2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2A251AEA"/>
    <w:multiLevelType w:val="hybridMultilevel"/>
    <w:tmpl w:val="15F22DCC"/>
    <w:lvl w:ilvl="0" w:tplc="AD728E90">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2DD8721D"/>
    <w:multiLevelType w:val="hybridMultilevel"/>
    <w:tmpl w:val="A97A415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nsid w:val="30E86235"/>
    <w:multiLevelType w:val="hybridMultilevel"/>
    <w:tmpl w:val="A41C5CF0"/>
    <w:lvl w:ilvl="0" w:tplc="154C52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33446F3F"/>
    <w:multiLevelType w:val="hybridMultilevel"/>
    <w:tmpl w:val="0A8E4DF2"/>
    <w:lvl w:ilvl="0" w:tplc="44D876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339D58CB"/>
    <w:multiLevelType w:val="hybridMultilevel"/>
    <w:tmpl w:val="3D7E7814"/>
    <w:lvl w:ilvl="0" w:tplc="154C52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345733F1"/>
    <w:multiLevelType w:val="hybridMultilevel"/>
    <w:tmpl w:val="C680A946"/>
    <w:lvl w:ilvl="0" w:tplc="44D876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345B32D0"/>
    <w:multiLevelType w:val="hybridMultilevel"/>
    <w:tmpl w:val="25E413F2"/>
    <w:lvl w:ilvl="0" w:tplc="7D6E593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4">
    <w:nsid w:val="35497B69"/>
    <w:multiLevelType w:val="hybridMultilevel"/>
    <w:tmpl w:val="A7227716"/>
    <w:lvl w:ilvl="0" w:tplc="0DB8C0BA">
      <w:start w:val="1"/>
      <w:numFmt w:val="decimal"/>
      <w:lvlText w:val="%1."/>
      <w:lvlJc w:val="left"/>
      <w:pPr>
        <w:ind w:left="720"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
    <w:nsid w:val="366C7D92"/>
    <w:multiLevelType w:val="hybridMultilevel"/>
    <w:tmpl w:val="25E413F2"/>
    <w:lvl w:ilvl="0" w:tplc="7D6E593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6">
    <w:nsid w:val="37835A87"/>
    <w:multiLevelType w:val="hybridMultilevel"/>
    <w:tmpl w:val="ADECE374"/>
    <w:lvl w:ilvl="0" w:tplc="5CAA520A">
      <w:start w:val="1"/>
      <w:numFmt w:val="decimal"/>
      <w:lvlText w:val="%1."/>
      <w:lvlJc w:val="left"/>
      <w:pPr>
        <w:ind w:left="899" w:hanging="360"/>
      </w:pPr>
      <w:rPr>
        <w:rFonts w:cs="Times New Roman" w:hint="default"/>
      </w:rPr>
    </w:lvl>
    <w:lvl w:ilvl="1" w:tplc="04190019" w:tentative="1">
      <w:start w:val="1"/>
      <w:numFmt w:val="lowerLetter"/>
      <w:lvlText w:val="%2."/>
      <w:lvlJc w:val="left"/>
      <w:pPr>
        <w:ind w:left="1619" w:hanging="360"/>
      </w:pPr>
      <w:rPr>
        <w:rFonts w:cs="Times New Roman"/>
      </w:rPr>
    </w:lvl>
    <w:lvl w:ilvl="2" w:tplc="0419001B" w:tentative="1">
      <w:start w:val="1"/>
      <w:numFmt w:val="lowerRoman"/>
      <w:lvlText w:val="%3."/>
      <w:lvlJc w:val="right"/>
      <w:pPr>
        <w:ind w:left="2339" w:hanging="180"/>
      </w:pPr>
      <w:rPr>
        <w:rFonts w:cs="Times New Roman"/>
      </w:rPr>
    </w:lvl>
    <w:lvl w:ilvl="3" w:tplc="0419000F" w:tentative="1">
      <w:start w:val="1"/>
      <w:numFmt w:val="decimal"/>
      <w:lvlText w:val="%4."/>
      <w:lvlJc w:val="left"/>
      <w:pPr>
        <w:ind w:left="3059" w:hanging="360"/>
      </w:pPr>
      <w:rPr>
        <w:rFonts w:cs="Times New Roman"/>
      </w:rPr>
    </w:lvl>
    <w:lvl w:ilvl="4" w:tplc="04190019" w:tentative="1">
      <w:start w:val="1"/>
      <w:numFmt w:val="lowerLetter"/>
      <w:lvlText w:val="%5."/>
      <w:lvlJc w:val="left"/>
      <w:pPr>
        <w:ind w:left="3779" w:hanging="360"/>
      </w:pPr>
      <w:rPr>
        <w:rFonts w:cs="Times New Roman"/>
      </w:rPr>
    </w:lvl>
    <w:lvl w:ilvl="5" w:tplc="0419001B" w:tentative="1">
      <w:start w:val="1"/>
      <w:numFmt w:val="lowerRoman"/>
      <w:lvlText w:val="%6."/>
      <w:lvlJc w:val="right"/>
      <w:pPr>
        <w:ind w:left="4499" w:hanging="180"/>
      </w:pPr>
      <w:rPr>
        <w:rFonts w:cs="Times New Roman"/>
      </w:rPr>
    </w:lvl>
    <w:lvl w:ilvl="6" w:tplc="0419000F" w:tentative="1">
      <w:start w:val="1"/>
      <w:numFmt w:val="decimal"/>
      <w:lvlText w:val="%7."/>
      <w:lvlJc w:val="left"/>
      <w:pPr>
        <w:ind w:left="5219" w:hanging="360"/>
      </w:pPr>
      <w:rPr>
        <w:rFonts w:cs="Times New Roman"/>
      </w:rPr>
    </w:lvl>
    <w:lvl w:ilvl="7" w:tplc="04190019" w:tentative="1">
      <w:start w:val="1"/>
      <w:numFmt w:val="lowerLetter"/>
      <w:lvlText w:val="%8."/>
      <w:lvlJc w:val="left"/>
      <w:pPr>
        <w:ind w:left="5939" w:hanging="360"/>
      </w:pPr>
      <w:rPr>
        <w:rFonts w:cs="Times New Roman"/>
      </w:rPr>
    </w:lvl>
    <w:lvl w:ilvl="8" w:tplc="0419001B" w:tentative="1">
      <w:start w:val="1"/>
      <w:numFmt w:val="lowerRoman"/>
      <w:lvlText w:val="%9."/>
      <w:lvlJc w:val="right"/>
      <w:pPr>
        <w:ind w:left="6659" w:hanging="180"/>
      </w:pPr>
      <w:rPr>
        <w:rFonts w:cs="Times New Roman"/>
      </w:rPr>
    </w:lvl>
  </w:abstractNum>
  <w:abstractNum w:abstractNumId="37">
    <w:nsid w:val="3BAA3202"/>
    <w:multiLevelType w:val="hybridMultilevel"/>
    <w:tmpl w:val="C48A6F78"/>
    <w:lvl w:ilvl="0" w:tplc="154C52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3C7760BD"/>
    <w:multiLevelType w:val="hybridMultilevel"/>
    <w:tmpl w:val="E6C4A5FE"/>
    <w:lvl w:ilvl="0" w:tplc="44D87684">
      <w:start w:val="1"/>
      <w:numFmt w:val="bullet"/>
      <w:lvlText w:val=""/>
      <w:lvlJc w:val="left"/>
      <w:pPr>
        <w:ind w:left="1069" w:hanging="360"/>
      </w:pPr>
      <w:rPr>
        <w:rFonts w:ascii="Symbol" w:hAnsi="Symbol"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9">
    <w:nsid w:val="3F1F52FB"/>
    <w:multiLevelType w:val="hybridMultilevel"/>
    <w:tmpl w:val="6E40F628"/>
    <w:lvl w:ilvl="0" w:tplc="44D876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405C463E"/>
    <w:multiLevelType w:val="hybridMultilevel"/>
    <w:tmpl w:val="103C3554"/>
    <w:lvl w:ilvl="0" w:tplc="AEC2D2E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40E54489"/>
    <w:multiLevelType w:val="hybridMultilevel"/>
    <w:tmpl w:val="8D044F70"/>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2">
    <w:nsid w:val="420506C9"/>
    <w:multiLevelType w:val="hybridMultilevel"/>
    <w:tmpl w:val="1C5A0766"/>
    <w:lvl w:ilvl="0" w:tplc="AD728E90">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45405B77"/>
    <w:multiLevelType w:val="hybridMultilevel"/>
    <w:tmpl w:val="ED3838EC"/>
    <w:lvl w:ilvl="0" w:tplc="D004DDE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4">
    <w:nsid w:val="456573D3"/>
    <w:multiLevelType w:val="hybridMultilevel"/>
    <w:tmpl w:val="2CD2BE68"/>
    <w:lvl w:ilvl="0" w:tplc="F496AAA6">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45">
    <w:nsid w:val="4630753E"/>
    <w:multiLevelType w:val="hybridMultilevel"/>
    <w:tmpl w:val="24D8EFA4"/>
    <w:lvl w:ilvl="0" w:tplc="1872499A">
      <w:start w:val="1"/>
      <w:numFmt w:val="bullet"/>
      <w:lvlText w:val="˗"/>
      <w:lvlJc w:val="left"/>
      <w:pPr>
        <w:ind w:left="1537" w:hanging="360"/>
      </w:pPr>
      <w:rPr>
        <w:rFonts w:ascii="Times New Roman" w:hAnsi="Times New Roman" w:hint="default"/>
      </w:rPr>
    </w:lvl>
    <w:lvl w:ilvl="1" w:tplc="04190003" w:tentative="1">
      <w:start w:val="1"/>
      <w:numFmt w:val="bullet"/>
      <w:lvlText w:val="o"/>
      <w:lvlJc w:val="left"/>
      <w:pPr>
        <w:ind w:left="2257" w:hanging="360"/>
      </w:pPr>
      <w:rPr>
        <w:rFonts w:ascii="Courier New" w:hAnsi="Courier New" w:hint="default"/>
      </w:rPr>
    </w:lvl>
    <w:lvl w:ilvl="2" w:tplc="04190005" w:tentative="1">
      <w:start w:val="1"/>
      <w:numFmt w:val="bullet"/>
      <w:lvlText w:val=""/>
      <w:lvlJc w:val="left"/>
      <w:pPr>
        <w:ind w:left="2977" w:hanging="360"/>
      </w:pPr>
      <w:rPr>
        <w:rFonts w:ascii="Wingdings" w:hAnsi="Wingdings" w:hint="default"/>
      </w:rPr>
    </w:lvl>
    <w:lvl w:ilvl="3" w:tplc="04190001" w:tentative="1">
      <w:start w:val="1"/>
      <w:numFmt w:val="bullet"/>
      <w:lvlText w:val=""/>
      <w:lvlJc w:val="left"/>
      <w:pPr>
        <w:ind w:left="3697" w:hanging="360"/>
      </w:pPr>
      <w:rPr>
        <w:rFonts w:ascii="Symbol" w:hAnsi="Symbol" w:hint="default"/>
      </w:rPr>
    </w:lvl>
    <w:lvl w:ilvl="4" w:tplc="04190003" w:tentative="1">
      <w:start w:val="1"/>
      <w:numFmt w:val="bullet"/>
      <w:lvlText w:val="o"/>
      <w:lvlJc w:val="left"/>
      <w:pPr>
        <w:ind w:left="4417" w:hanging="360"/>
      </w:pPr>
      <w:rPr>
        <w:rFonts w:ascii="Courier New" w:hAnsi="Courier New" w:hint="default"/>
      </w:rPr>
    </w:lvl>
    <w:lvl w:ilvl="5" w:tplc="04190005" w:tentative="1">
      <w:start w:val="1"/>
      <w:numFmt w:val="bullet"/>
      <w:lvlText w:val=""/>
      <w:lvlJc w:val="left"/>
      <w:pPr>
        <w:ind w:left="5137" w:hanging="360"/>
      </w:pPr>
      <w:rPr>
        <w:rFonts w:ascii="Wingdings" w:hAnsi="Wingdings" w:hint="default"/>
      </w:rPr>
    </w:lvl>
    <w:lvl w:ilvl="6" w:tplc="04190001" w:tentative="1">
      <w:start w:val="1"/>
      <w:numFmt w:val="bullet"/>
      <w:lvlText w:val=""/>
      <w:lvlJc w:val="left"/>
      <w:pPr>
        <w:ind w:left="5857" w:hanging="360"/>
      </w:pPr>
      <w:rPr>
        <w:rFonts w:ascii="Symbol" w:hAnsi="Symbol" w:hint="default"/>
      </w:rPr>
    </w:lvl>
    <w:lvl w:ilvl="7" w:tplc="04190003" w:tentative="1">
      <w:start w:val="1"/>
      <w:numFmt w:val="bullet"/>
      <w:lvlText w:val="o"/>
      <w:lvlJc w:val="left"/>
      <w:pPr>
        <w:ind w:left="6577" w:hanging="360"/>
      </w:pPr>
      <w:rPr>
        <w:rFonts w:ascii="Courier New" w:hAnsi="Courier New" w:hint="default"/>
      </w:rPr>
    </w:lvl>
    <w:lvl w:ilvl="8" w:tplc="04190005" w:tentative="1">
      <w:start w:val="1"/>
      <w:numFmt w:val="bullet"/>
      <w:lvlText w:val=""/>
      <w:lvlJc w:val="left"/>
      <w:pPr>
        <w:ind w:left="7297" w:hanging="360"/>
      </w:pPr>
      <w:rPr>
        <w:rFonts w:ascii="Wingdings" w:hAnsi="Wingdings" w:hint="default"/>
      </w:rPr>
    </w:lvl>
  </w:abstractNum>
  <w:abstractNum w:abstractNumId="46">
    <w:nsid w:val="463B1292"/>
    <w:multiLevelType w:val="hybridMultilevel"/>
    <w:tmpl w:val="991AEF58"/>
    <w:lvl w:ilvl="0" w:tplc="AD728E90">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46BC5268"/>
    <w:multiLevelType w:val="hybridMultilevel"/>
    <w:tmpl w:val="6F9E5846"/>
    <w:lvl w:ilvl="0" w:tplc="1872499A">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49370D4F"/>
    <w:multiLevelType w:val="hybridMultilevel"/>
    <w:tmpl w:val="91D4E7B8"/>
    <w:lvl w:ilvl="0" w:tplc="1872499A">
      <w:start w:val="1"/>
      <w:numFmt w:val="bullet"/>
      <w:lvlText w:val="˗"/>
      <w:lvlJc w:val="left"/>
      <w:pPr>
        <w:ind w:left="1537" w:hanging="360"/>
      </w:pPr>
      <w:rPr>
        <w:rFonts w:ascii="Times New Roman" w:hAnsi="Times New Roman" w:hint="default"/>
      </w:rPr>
    </w:lvl>
    <w:lvl w:ilvl="1" w:tplc="04190003" w:tentative="1">
      <w:start w:val="1"/>
      <w:numFmt w:val="bullet"/>
      <w:lvlText w:val="o"/>
      <w:lvlJc w:val="left"/>
      <w:pPr>
        <w:ind w:left="2257" w:hanging="360"/>
      </w:pPr>
      <w:rPr>
        <w:rFonts w:ascii="Courier New" w:hAnsi="Courier New" w:hint="default"/>
      </w:rPr>
    </w:lvl>
    <w:lvl w:ilvl="2" w:tplc="04190005" w:tentative="1">
      <w:start w:val="1"/>
      <w:numFmt w:val="bullet"/>
      <w:lvlText w:val=""/>
      <w:lvlJc w:val="left"/>
      <w:pPr>
        <w:ind w:left="2977" w:hanging="360"/>
      </w:pPr>
      <w:rPr>
        <w:rFonts w:ascii="Wingdings" w:hAnsi="Wingdings" w:hint="default"/>
      </w:rPr>
    </w:lvl>
    <w:lvl w:ilvl="3" w:tplc="04190001" w:tentative="1">
      <w:start w:val="1"/>
      <w:numFmt w:val="bullet"/>
      <w:lvlText w:val=""/>
      <w:lvlJc w:val="left"/>
      <w:pPr>
        <w:ind w:left="3697" w:hanging="360"/>
      </w:pPr>
      <w:rPr>
        <w:rFonts w:ascii="Symbol" w:hAnsi="Symbol" w:hint="default"/>
      </w:rPr>
    </w:lvl>
    <w:lvl w:ilvl="4" w:tplc="04190003" w:tentative="1">
      <w:start w:val="1"/>
      <w:numFmt w:val="bullet"/>
      <w:lvlText w:val="o"/>
      <w:lvlJc w:val="left"/>
      <w:pPr>
        <w:ind w:left="4417" w:hanging="360"/>
      </w:pPr>
      <w:rPr>
        <w:rFonts w:ascii="Courier New" w:hAnsi="Courier New" w:hint="default"/>
      </w:rPr>
    </w:lvl>
    <w:lvl w:ilvl="5" w:tplc="04190005" w:tentative="1">
      <w:start w:val="1"/>
      <w:numFmt w:val="bullet"/>
      <w:lvlText w:val=""/>
      <w:lvlJc w:val="left"/>
      <w:pPr>
        <w:ind w:left="5137" w:hanging="360"/>
      </w:pPr>
      <w:rPr>
        <w:rFonts w:ascii="Wingdings" w:hAnsi="Wingdings" w:hint="default"/>
      </w:rPr>
    </w:lvl>
    <w:lvl w:ilvl="6" w:tplc="04190001" w:tentative="1">
      <w:start w:val="1"/>
      <w:numFmt w:val="bullet"/>
      <w:lvlText w:val=""/>
      <w:lvlJc w:val="left"/>
      <w:pPr>
        <w:ind w:left="5857" w:hanging="360"/>
      </w:pPr>
      <w:rPr>
        <w:rFonts w:ascii="Symbol" w:hAnsi="Symbol" w:hint="default"/>
      </w:rPr>
    </w:lvl>
    <w:lvl w:ilvl="7" w:tplc="04190003" w:tentative="1">
      <w:start w:val="1"/>
      <w:numFmt w:val="bullet"/>
      <w:lvlText w:val="o"/>
      <w:lvlJc w:val="left"/>
      <w:pPr>
        <w:ind w:left="6577" w:hanging="360"/>
      </w:pPr>
      <w:rPr>
        <w:rFonts w:ascii="Courier New" w:hAnsi="Courier New" w:hint="default"/>
      </w:rPr>
    </w:lvl>
    <w:lvl w:ilvl="8" w:tplc="04190005" w:tentative="1">
      <w:start w:val="1"/>
      <w:numFmt w:val="bullet"/>
      <w:lvlText w:val=""/>
      <w:lvlJc w:val="left"/>
      <w:pPr>
        <w:ind w:left="7297" w:hanging="360"/>
      </w:pPr>
      <w:rPr>
        <w:rFonts w:ascii="Wingdings" w:hAnsi="Wingdings" w:hint="default"/>
      </w:rPr>
    </w:lvl>
  </w:abstractNum>
  <w:abstractNum w:abstractNumId="49">
    <w:nsid w:val="49D66675"/>
    <w:multiLevelType w:val="hybridMultilevel"/>
    <w:tmpl w:val="A49A3F86"/>
    <w:lvl w:ilvl="0" w:tplc="154C526C">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50">
    <w:nsid w:val="4CA3549B"/>
    <w:multiLevelType w:val="hybridMultilevel"/>
    <w:tmpl w:val="6908B9F0"/>
    <w:lvl w:ilvl="0" w:tplc="8FD8DA7C">
      <w:start w:val="1"/>
      <w:numFmt w:val="decimal"/>
      <w:lvlText w:val="%1."/>
      <w:lvlJc w:val="left"/>
      <w:pPr>
        <w:ind w:left="644"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1">
    <w:nsid w:val="4DAC71F8"/>
    <w:multiLevelType w:val="hybridMultilevel"/>
    <w:tmpl w:val="2D7A1352"/>
    <w:lvl w:ilvl="0" w:tplc="154C52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nsid w:val="4F1069DF"/>
    <w:multiLevelType w:val="multilevel"/>
    <w:tmpl w:val="DBFC0492"/>
    <w:lvl w:ilvl="0">
      <w:start w:val="1"/>
      <w:numFmt w:val="bullet"/>
      <w:lvlText w:val=""/>
      <w:lvlJc w:val="left"/>
      <w:pPr>
        <w:ind w:left="1353" w:hanging="360"/>
      </w:pPr>
      <w:rPr>
        <w:rFonts w:ascii="Symbol" w:hAnsi="Symbol" w:hint="default"/>
        <w:color w:val="auto"/>
        <w:sz w:val="28"/>
      </w:rPr>
    </w:lvl>
    <w:lvl w:ilvl="1">
      <w:start w:val="1"/>
      <w:numFmt w:val="decimal"/>
      <w:lvlText w:val="%1.%2."/>
      <w:lvlJc w:val="left"/>
      <w:pPr>
        <w:ind w:left="792" w:hanging="432"/>
      </w:pPr>
      <w:rPr>
        <w:rFonts w:ascii="Times New Roman" w:hAnsi="Times New Roman" w:cs="Times New Roman" w:hint="default"/>
        <w:color w:val="auto"/>
        <w:sz w:val="28"/>
      </w:rPr>
    </w:lvl>
    <w:lvl w:ilvl="2">
      <w:start w:val="1"/>
      <w:numFmt w:val="decimal"/>
      <w:lvlText w:val="%1.%2.%3."/>
      <w:lvlJc w:val="left"/>
      <w:pPr>
        <w:ind w:left="1224" w:hanging="504"/>
      </w:pPr>
      <w:rPr>
        <w:rFonts w:ascii="Times New Roman" w:hAnsi="Times New Roman" w:cs="Times New Roman" w:hint="default"/>
        <w:sz w:val="24"/>
        <w:szCs w:val="24"/>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3">
    <w:nsid w:val="50311BA2"/>
    <w:multiLevelType w:val="hybridMultilevel"/>
    <w:tmpl w:val="9B12A95C"/>
    <w:lvl w:ilvl="0" w:tplc="DED8ACAE">
      <w:start w:val="1"/>
      <w:numFmt w:val="bullet"/>
      <w:pStyle w:val="a"/>
      <w:lvlText w:val="­"/>
      <w:lvlJc w:val="left"/>
      <w:pPr>
        <w:ind w:left="1429" w:hanging="360"/>
      </w:pPr>
      <w:rPr>
        <w:rFonts w:ascii="Courier New" w:hAnsi="Courier New"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51601D85"/>
    <w:multiLevelType w:val="hybridMultilevel"/>
    <w:tmpl w:val="2CD2BE68"/>
    <w:lvl w:ilvl="0" w:tplc="F496AAA6">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55">
    <w:nsid w:val="52EC0169"/>
    <w:multiLevelType w:val="hybridMultilevel"/>
    <w:tmpl w:val="7922963E"/>
    <w:lvl w:ilvl="0" w:tplc="B84A7C0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53E83E90"/>
    <w:multiLevelType w:val="hybridMultilevel"/>
    <w:tmpl w:val="53A2F7F8"/>
    <w:lvl w:ilvl="0" w:tplc="1EFC14B2">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57">
    <w:nsid w:val="547A0211"/>
    <w:multiLevelType w:val="hybridMultilevel"/>
    <w:tmpl w:val="D15E7EA6"/>
    <w:lvl w:ilvl="0" w:tplc="0419000F">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8">
    <w:nsid w:val="54B622FC"/>
    <w:multiLevelType w:val="hybridMultilevel"/>
    <w:tmpl w:val="8DA0970E"/>
    <w:lvl w:ilvl="0" w:tplc="EE2224CE">
      <w:start w:val="1"/>
      <w:numFmt w:val="bullet"/>
      <w:lvlText w:val=""/>
      <w:lvlJc w:val="left"/>
      <w:pPr>
        <w:ind w:left="1096" w:hanging="360"/>
      </w:pPr>
      <w:rPr>
        <w:rFonts w:ascii="Symbol" w:hAnsi="Symbol" w:hint="default"/>
        <w:color w:val="auto"/>
      </w:rPr>
    </w:lvl>
    <w:lvl w:ilvl="1" w:tplc="04190003" w:tentative="1">
      <w:start w:val="1"/>
      <w:numFmt w:val="bullet"/>
      <w:lvlText w:val="o"/>
      <w:lvlJc w:val="left"/>
      <w:pPr>
        <w:ind w:left="1816" w:hanging="360"/>
      </w:pPr>
      <w:rPr>
        <w:rFonts w:ascii="Courier New" w:hAnsi="Courier New" w:hint="default"/>
      </w:rPr>
    </w:lvl>
    <w:lvl w:ilvl="2" w:tplc="04190005" w:tentative="1">
      <w:start w:val="1"/>
      <w:numFmt w:val="bullet"/>
      <w:lvlText w:val=""/>
      <w:lvlJc w:val="left"/>
      <w:pPr>
        <w:ind w:left="2536" w:hanging="360"/>
      </w:pPr>
      <w:rPr>
        <w:rFonts w:ascii="Wingdings" w:hAnsi="Wingdings" w:hint="default"/>
      </w:rPr>
    </w:lvl>
    <w:lvl w:ilvl="3" w:tplc="04190001" w:tentative="1">
      <w:start w:val="1"/>
      <w:numFmt w:val="bullet"/>
      <w:lvlText w:val=""/>
      <w:lvlJc w:val="left"/>
      <w:pPr>
        <w:ind w:left="3256" w:hanging="360"/>
      </w:pPr>
      <w:rPr>
        <w:rFonts w:ascii="Symbol" w:hAnsi="Symbol" w:hint="default"/>
      </w:rPr>
    </w:lvl>
    <w:lvl w:ilvl="4" w:tplc="04190003" w:tentative="1">
      <w:start w:val="1"/>
      <w:numFmt w:val="bullet"/>
      <w:lvlText w:val="o"/>
      <w:lvlJc w:val="left"/>
      <w:pPr>
        <w:ind w:left="3976" w:hanging="360"/>
      </w:pPr>
      <w:rPr>
        <w:rFonts w:ascii="Courier New" w:hAnsi="Courier New" w:hint="default"/>
      </w:rPr>
    </w:lvl>
    <w:lvl w:ilvl="5" w:tplc="04190005" w:tentative="1">
      <w:start w:val="1"/>
      <w:numFmt w:val="bullet"/>
      <w:lvlText w:val=""/>
      <w:lvlJc w:val="left"/>
      <w:pPr>
        <w:ind w:left="4696" w:hanging="360"/>
      </w:pPr>
      <w:rPr>
        <w:rFonts w:ascii="Wingdings" w:hAnsi="Wingdings" w:hint="default"/>
      </w:rPr>
    </w:lvl>
    <w:lvl w:ilvl="6" w:tplc="04190001" w:tentative="1">
      <w:start w:val="1"/>
      <w:numFmt w:val="bullet"/>
      <w:lvlText w:val=""/>
      <w:lvlJc w:val="left"/>
      <w:pPr>
        <w:ind w:left="5416" w:hanging="360"/>
      </w:pPr>
      <w:rPr>
        <w:rFonts w:ascii="Symbol" w:hAnsi="Symbol" w:hint="default"/>
      </w:rPr>
    </w:lvl>
    <w:lvl w:ilvl="7" w:tplc="04190003" w:tentative="1">
      <w:start w:val="1"/>
      <w:numFmt w:val="bullet"/>
      <w:lvlText w:val="o"/>
      <w:lvlJc w:val="left"/>
      <w:pPr>
        <w:ind w:left="6136" w:hanging="360"/>
      </w:pPr>
      <w:rPr>
        <w:rFonts w:ascii="Courier New" w:hAnsi="Courier New" w:hint="default"/>
      </w:rPr>
    </w:lvl>
    <w:lvl w:ilvl="8" w:tplc="04190005" w:tentative="1">
      <w:start w:val="1"/>
      <w:numFmt w:val="bullet"/>
      <w:lvlText w:val=""/>
      <w:lvlJc w:val="left"/>
      <w:pPr>
        <w:ind w:left="6856" w:hanging="360"/>
      </w:pPr>
      <w:rPr>
        <w:rFonts w:ascii="Wingdings" w:hAnsi="Wingdings" w:hint="default"/>
      </w:rPr>
    </w:lvl>
  </w:abstractNum>
  <w:abstractNum w:abstractNumId="59">
    <w:nsid w:val="54D940B0"/>
    <w:multiLevelType w:val="hybridMultilevel"/>
    <w:tmpl w:val="13006C54"/>
    <w:lvl w:ilvl="0" w:tplc="0419000D">
      <w:start w:val="1"/>
      <w:numFmt w:val="bullet"/>
      <w:lvlText w:val=""/>
      <w:lvlJc w:val="left"/>
      <w:pPr>
        <w:tabs>
          <w:tab w:val="num" w:pos="720"/>
        </w:tabs>
        <w:ind w:left="720" w:hanging="360"/>
      </w:pPr>
      <w:rPr>
        <w:rFonts w:ascii="Wingdings" w:hAnsi="Wingdings" w:hint="default"/>
      </w:rPr>
    </w:lvl>
    <w:lvl w:ilvl="1" w:tplc="0FCC4598" w:tentative="1">
      <w:start w:val="1"/>
      <w:numFmt w:val="bullet"/>
      <w:lvlText w:val="•"/>
      <w:lvlJc w:val="left"/>
      <w:pPr>
        <w:tabs>
          <w:tab w:val="num" w:pos="1440"/>
        </w:tabs>
        <w:ind w:left="1440" w:hanging="360"/>
      </w:pPr>
      <w:rPr>
        <w:rFonts w:ascii="Times New Roman" w:hAnsi="Times New Roman" w:hint="default"/>
      </w:rPr>
    </w:lvl>
    <w:lvl w:ilvl="2" w:tplc="60FE8896" w:tentative="1">
      <w:start w:val="1"/>
      <w:numFmt w:val="bullet"/>
      <w:lvlText w:val="•"/>
      <w:lvlJc w:val="left"/>
      <w:pPr>
        <w:tabs>
          <w:tab w:val="num" w:pos="2160"/>
        </w:tabs>
        <w:ind w:left="2160" w:hanging="360"/>
      </w:pPr>
      <w:rPr>
        <w:rFonts w:ascii="Times New Roman" w:hAnsi="Times New Roman" w:hint="default"/>
      </w:rPr>
    </w:lvl>
    <w:lvl w:ilvl="3" w:tplc="859C2504" w:tentative="1">
      <w:start w:val="1"/>
      <w:numFmt w:val="bullet"/>
      <w:lvlText w:val="•"/>
      <w:lvlJc w:val="left"/>
      <w:pPr>
        <w:tabs>
          <w:tab w:val="num" w:pos="2880"/>
        </w:tabs>
        <w:ind w:left="2880" w:hanging="360"/>
      </w:pPr>
      <w:rPr>
        <w:rFonts w:ascii="Times New Roman" w:hAnsi="Times New Roman" w:hint="default"/>
      </w:rPr>
    </w:lvl>
    <w:lvl w:ilvl="4" w:tplc="892A81FA" w:tentative="1">
      <w:start w:val="1"/>
      <w:numFmt w:val="bullet"/>
      <w:lvlText w:val="•"/>
      <w:lvlJc w:val="left"/>
      <w:pPr>
        <w:tabs>
          <w:tab w:val="num" w:pos="3600"/>
        </w:tabs>
        <w:ind w:left="3600" w:hanging="360"/>
      </w:pPr>
      <w:rPr>
        <w:rFonts w:ascii="Times New Roman" w:hAnsi="Times New Roman" w:hint="default"/>
      </w:rPr>
    </w:lvl>
    <w:lvl w:ilvl="5" w:tplc="CCC09784" w:tentative="1">
      <w:start w:val="1"/>
      <w:numFmt w:val="bullet"/>
      <w:lvlText w:val="•"/>
      <w:lvlJc w:val="left"/>
      <w:pPr>
        <w:tabs>
          <w:tab w:val="num" w:pos="4320"/>
        </w:tabs>
        <w:ind w:left="4320" w:hanging="360"/>
      </w:pPr>
      <w:rPr>
        <w:rFonts w:ascii="Times New Roman" w:hAnsi="Times New Roman" w:hint="default"/>
      </w:rPr>
    </w:lvl>
    <w:lvl w:ilvl="6" w:tplc="3EDAC3FE" w:tentative="1">
      <w:start w:val="1"/>
      <w:numFmt w:val="bullet"/>
      <w:lvlText w:val="•"/>
      <w:lvlJc w:val="left"/>
      <w:pPr>
        <w:tabs>
          <w:tab w:val="num" w:pos="5040"/>
        </w:tabs>
        <w:ind w:left="5040" w:hanging="360"/>
      </w:pPr>
      <w:rPr>
        <w:rFonts w:ascii="Times New Roman" w:hAnsi="Times New Roman" w:hint="default"/>
      </w:rPr>
    </w:lvl>
    <w:lvl w:ilvl="7" w:tplc="81C49C1E" w:tentative="1">
      <w:start w:val="1"/>
      <w:numFmt w:val="bullet"/>
      <w:lvlText w:val="•"/>
      <w:lvlJc w:val="left"/>
      <w:pPr>
        <w:tabs>
          <w:tab w:val="num" w:pos="5760"/>
        </w:tabs>
        <w:ind w:left="5760" w:hanging="360"/>
      </w:pPr>
      <w:rPr>
        <w:rFonts w:ascii="Times New Roman" w:hAnsi="Times New Roman" w:hint="default"/>
      </w:rPr>
    </w:lvl>
    <w:lvl w:ilvl="8" w:tplc="A4B0985E" w:tentative="1">
      <w:start w:val="1"/>
      <w:numFmt w:val="bullet"/>
      <w:lvlText w:val="•"/>
      <w:lvlJc w:val="left"/>
      <w:pPr>
        <w:tabs>
          <w:tab w:val="num" w:pos="6480"/>
        </w:tabs>
        <w:ind w:left="6480" w:hanging="360"/>
      </w:pPr>
      <w:rPr>
        <w:rFonts w:ascii="Times New Roman" w:hAnsi="Times New Roman" w:hint="default"/>
      </w:rPr>
    </w:lvl>
  </w:abstractNum>
  <w:abstractNum w:abstractNumId="60">
    <w:nsid w:val="55457401"/>
    <w:multiLevelType w:val="hybridMultilevel"/>
    <w:tmpl w:val="3028D8B4"/>
    <w:lvl w:ilvl="0" w:tplc="947A79FE">
      <w:start w:val="1"/>
      <w:numFmt w:val="decimal"/>
      <w:lvlText w:val="%1."/>
      <w:lvlJc w:val="left"/>
      <w:pPr>
        <w:ind w:left="1654" w:hanging="945"/>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61">
    <w:nsid w:val="584C13CB"/>
    <w:multiLevelType w:val="hybridMultilevel"/>
    <w:tmpl w:val="06BCC3B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2">
    <w:nsid w:val="586E2DB4"/>
    <w:multiLevelType w:val="multilevel"/>
    <w:tmpl w:val="F82C5412"/>
    <w:lvl w:ilvl="0">
      <w:start w:val="1"/>
      <w:numFmt w:val="decimal"/>
      <w:lvlText w:val="%1."/>
      <w:lvlJc w:val="left"/>
      <w:pPr>
        <w:ind w:left="360" w:hanging="360"/>
      </w:pPr>
      <w:rPr>
        <w:rFonts w:cs="Times New Roman" w:hint="default"/>
      </w:rPr>
    </w:lvl>
    <w:lvl w:ilvl="1">
      <w:start w:val="1"/>
      <w:numFmt w:val="decimal"/>
      <w:lvlText w:val="%1.%2."/>
      <w:lvlJc w:val="left"/>
      <w:pPr>
        <w:ind w:left="928" w:hanging="360"/>
      </w:pPr>
      <w:rPr>
        <w:rFonts w:cs="Times New Roman" w:hint="default"/>
      </w:rPr>
    </w:lvl>
    <w:lvl w:ilvl="2">
      <w:start w:val="1"/>
      <w:numFmt w:val="decimal"/>
      <w:lvlText w:val="%1.%2.%3."/>
      <w:lvlJc w:val="left"/>
      <w:pPr>
        <w:ind w:left="2138" w:hanging="720"/>
      </w:pPr>
      <w:rPr>
        <w:rFonts w:cs="Times New Roman" w:hint="default"/>
      </w:rPr>
    </w:lvl>
    <w:lvl w:ilvl="3">
      <w:start w:val="1"/>
      <w:numFmt w:val="decimal"/>
      <w:lvlText w:val="%1.%2.%3.%4."/>
      <w:lvlJc w:val="left"/>
      <w:pPr>
        <w:ind w:left="2847" w:hanging="720"/>
      </w:pPr>
      <w:rPr>
        <w:rFonts w:cs="Times New Roman" w:hint="default"/>
      </w:rPr>
    </w:lvl>
    <w:lvl w:ilvl="4">
      <w:start w:val="1"/>
      <w:numFmt w:val="decimal"/>
      <w:lvlText w:val="%1.%2.%3.%4.%5."/>
      <w:lvlJc w:val="left"/>
      <w:pPr>
        <w:ind w:left="3916" w:hanging="1080"/>
      </w:pPr>
      <w:rPr>
        <w:rFonts w:cs="Times New Roman" w:hint="default"/>
      </w:rPr>
    </w:lvl>
    <w:lvl w:ilvl="5">
      <w:start w:val="1"/>
      <w:numFmt w:val="decimal"/>
      <w:lvlText w:val="%1.%2.%3.%4.%5.%6."/>
      <w:lvlJc w:val="left"/>
      <w:pPr>
        <w:ind w:left="4625" w:hanging="1080"/>
      </w:pPr>
      <w:rPr>
        <w:rFonts w:cs="Times New Roman" w:hint="default"/>
      </w:rPr>
    </w:lvl>
    <w:lvl w:ilvl="6">
      <w:start w:val="1"/>
      <w:numFmt w:val="decimal"/>
      <w:lvlText w:val="%1.%2.%3.%4.%5.%6.%7."/>
      <w:lvlJc w:val="left"/>
      <w:pPr>
        <w:ind w:left="5694" w:hanging="1440"/>
      </w:pPr>
      <w:rPr>
        <w:rFonts w:cs="Times New Roman" w:hint="default"/>
      </w:rPr>
    </w:lvl>
    <w:lvl w:ilvl="7">
      <w:start w:val="1"/>
      <w:numFmt w:val="decimal"/>
      <w:lvlText w:val="%1.%2.%3.%4.%5.%6.%7.%8."/>
      <w:lvlJc w:val="left"/>
      <w:pPr>
        <w:ind w:left="6403" w:hanging="1440"/>
      </w:pPr>
      <w:rPr>
        <w:rFonts w:cs="Times New Roman" w:hint="default"/>
      </w:rPr>
    </w:lvl>
    <w:lvl w:ilvl="8">
      <w:start w:val="1"/>
      <w:numFmt w:val="decimal"/>
      <w:lvlText w:val="%1.%2.%3.%4.%5.%6.%7.%8.%9."/>
      <w:lvlJc w:val="left"/>
      <w:pPr>
        <w:ind w:left="7472" w:hanging="1800"/>
      </w:pPr>
      <w:rPr>
        <w:rFonts w:cs="Times New Roman" w:hint="default"/>
      </w:rPr>
    </w:lvl>
  </w:abstractNum>
  <w:abstractNum w:abstractNumId="63">
    <w:nsid w:val="5C5B4B7A"/>
    <w:multiLevelType w:val="hybridMultilevel"/>
    <w:tmpl w:val="B85AEF4C"/>
    <w:lvl w:ilvl="0" w:tplc="AD728E90">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5D3620F8"/>
    <w:multiLevelType w:val="hybridMultilevel"/>
    <w:tmpl w:val="EE082DFC"/>
    <w:lvl w:ilvl="0" w:tplc="91722A94">
      <w:start w:val="1"/>
      <w:numFmt w:val="decimal"/>
      <w:lvlText w:val="%1."/>
      <w:lvlJc w:val="left"/>
      <w:pPr>
        <w:ind w:left="1654" w:hanging="94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5">
    <w:nsid w:val="5E2E4FAE"/>
    <w:multiLevelType w:val="hybridMultilevel"/>
    <w:tmpl w:val="F9560904"/>
    <w:lvl w:ilvl="0" w:tplc="44D876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nsid w:val="5E4B361A"/>
    <w:multiLevelType w:val="hybridMultilevel"/>
    <w:tmpl w:val="BA0E374E"/>
    <w:lvl w:ilvl="0" w:tplc="85D23DEC">
      <w:start w:val="9"/>
      <w:numFmt w:val="bullet"/>
      <w:lvlText w:val="-"/>
      <w:lvlJc w:val="left"/>
      <w:pPr>
        <w:ind w:left="1428" w:hanging="360"/>
      </w:pPr>
      <w:rPr>
        <w:rFonts w:ascii="Times New Roman" w:eastAsia="Times New Roman" w:hAnsi="Times New Roman"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7">
    <w:nsid w:val="5E687C83"/>
    <w:multiLevelType w:val="hybridMultilevel"/>
    <w:tmpl w:val="0720B3EE"/>
    <w:lvl w:ilvl="0" w:tplc="1872499A">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nsid w:val="5F9A605E"/>
    <w:multiLevelType w:val="hybridMultilevel"/>
    <w:tmpl w:val="8D044F70"/>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69">
    <w:nsid w:val="5FF346BA"/>
    <w:multiLevelType w:val="hybridMultilevel"/>
    <w:tmpl w:val="B9DA51A8"/>
    <w:lvl w:ilvl="0" w:tplc="5CAA520A">
      <w:start w:val="1"/>
      <w:numFmt w:val="decimal"/>
      <w:lvlText w:val="%1."/>
      <w:lvlJc w:val="left"/>
      <w:pPr>
        <w:ind w:left="899" w:hanging="360"/>
      </w:pPr>
      <w:rPr>
        <w:rFonts w:cs="Times New Roman" w:hint="default"/>
      </w:rPr>
    </w:lvl>
    <w:lvl w:ilvl="1" w:tplc="04190019" w:tentative="1">
      <w:start w:val="1"/>
      <w:numFmt w:val="lowerLetter"/>
      <w:lvlText w:val="%2."/>
      <w:lvlJc w:val="left"/>
      <w:pPr>
        <w:ind w:left="1619" w:hanging="360"/>
      </w:pPr>
      <w:rPr>
        <w:rFonts w:cs="Times New Roman"/>
      </w:rPr>
    </w:lvl>
    <w:lvl w:ilvl="2" w:tplc="0419001B" w:tentative="1">
      <w:start w:val="1"/>
      <w:numFmt w:val="lowerRoman"/>
      <w:lvlText w:val="%3."/>
      <w:lvlJc w:val="right"/>
      <w:pPr>
        <w:ind w:left="2339" w:hanging="180"/>
      </w:pPr>
      <w:rPr>
        <w:rFonts w:cs="Times New Roman"/>
      </w:rPr>
    </w:lvl>
    <w:lvl w:ilvl="3" w:tplc="0419000F" w:tentative="1">
      <w:start w:val="1"/>
      <w:numFmt w:val="decimal"/>
      <w:lvlText w:val="%4."/>
      <w:lvlJc w:val="left"/>
      <w:pPr>
        <w:ind w:left="3059" w:hanging="360"/>
      </w:pPr>
      <w:rPr>
        <w:rFonts w:cs="Times New Roman"/>
      </w:rPr>
    </w:lvl>
    <w:lvl w:ilvl="4" w:tplc="04190019" w:tentative="1">
      <w:start w:val="1"/>
      <w:numFmt w:val="lowerLetter"/>
      <w:lvlText w:val="%5."/>
      <w:lvlJc w:val="left"/>
      <w:pPr>
        <w:ind w:left="3779" w:hanging="360"/>
      </w:pPr>
      <w:rPr>
        <w:rFonts w:cs="Times New Roman"/>
      </w:rPr>
    </w:lvl>
    <w:lvl w:ilvl="5" w:tplc="0419001B" w:tentative="1">
      <w:start w:val="1"/>
      <w:numFmt w:val="lowerRoman"/>
      <w:lvlText w:val="%6."/>
      <w:lvlJc w:val="right"/>
      <w:pPr>
        <w:ind w:left="4499" w:hanging="180"/>
      </w:pPr>
      <w:rPr>
        <w:rFonts w:cs="Times New Roman"/>
      </w:rPr>
    </w:lvl>
    <w:lvl w:ilvl="6" w:tplc="0419000F" w:tentative="1">
      <w:start w:val="1"/>
      <w:numFmt w:val="decimal"/>
      <w:lvlText w:val="%7."/>
      <w:lvlJc w:val="left"/>
      <w:pPr>
        <w:ind w:left="5219" w:hanging="360"/>
      </w:pPr>
      <w:rPr>
        <w:rFonts w:cs="Times New Roman"/>
      </w:rPr>
    </w:lvl>
    <w:lvl w:ilvl="7" w:tplc="04190019" w:tentative="1">
      <w:start w:val="1"/>
      <w:numFmt w:val="lowerLetter"/>
      <w:lvlText w:val="%8."/>
      <w:lvlJc w:val="left"/>
      <w:pPr>
        <w:ind w:left="5939" w:hanging="360"/>
      </w:pPr>
      <w:rPr>
        <w:rFonts w:cs="Times New Roman"/>
      </w:rPr>
    </w:lvl>
    <w:lvl w:ilvl="8" w:tplc="0419001B" w:tentative="1">
      <w:start w:val="1"/>
      <w:numFmt w:val="lowerRoman"/>
      <w:lvlText w:val="%9."/>
      <w:lvlJc w:val="right"/>
      <w:pPr>
        <w:ind w:left="6659" w:hanging="180"/>
      </w:pPr>
      <w:rPr>
        <w:rFonts w:cs="Times New Roman"/>
      </w:rPr>
    </w:lvl>
  </w:abstractNum>
  <w:abstractNum w:abstractNumId="70">
    <w:nsid w:val="618F73C6"/>
    <w:multiLevelType w:val="hybridMultilevel"/>
    <w:tmpl w:val="25E413F2"/>
    <w:lvl w:ilvl="0" w:tplc="7D6E593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71">
    <w:nsid w:val="62BB7A17"/>
    <w:multiLevelType w:val="hybridMultilevel"/>
    <w:tmpl w:val="EBD01738"/>
    <w:lvl w:ilvl="0" w:tplc="FF981020">
      <w:start w:val="1"/>
      <w:numFmt w:val="decimal"/>
      <w:lvlText w:val="%1."/>
      <w:lvlJc w:val="left"/>
      <w:pPr>
        <w:ind w:left="1429" w:hanging="360"/>
      </w:pPr>
      <w:rPr>
        <w:rFonts w:cs="Times New Roman"/>
        <w:i/>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2">
    <w:nsid w:val="63533D6F"/>
    <w:multiLevelType w:val="hybridMultilevel"/>
    <w:tmpl w:val="3BD4B4B0"/>
    <w:lvl w:ilvl="0" w:tplc="A32C6F2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3">
    <w:nsid w:val="65096177"/>
    <w:multiLevelType w:val="hybridMultilevel"/>
    <w:tmpl w:val="BEB01F44"/>
    <w:lvl w:ilvl="0" w:tplc="EE2224CE">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652E5376"/>
    <w:multiLevelType w:val="hybridMultilevel"/>
    <w:tmpl w:val="C7E07EAA"/>
    <w:lvl w:ilvl="0" w:tplc="3A320798">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75">
    <w:nsid w:val="657217E0"/>
    <w:multiLevelType w:val="hybridMultilevel"/>
    <w:tmpl w:val="511AD402"/>
    <w:lvl w:ilvl="0" w:tplc="154C52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nsid w:val="65C90EE9"/>
    <w:multiLevelType w:val="hybridMultilevel"/>
    <w:tmpl w:val="707A93CE"/>
    <w:lvl w:ilvl="0" w:tplc="F1B67F4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nsid w:val="66A81AA4"/>
    <w:multiLevelType w:val="hybridMultilevel"/>
    <w:tmpl w:val="66C64C18"/>
    <w:lvl w:ilvl="0" w:tplc="1872499A">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nsid w:val="66E82326"/>
    <w:multiLevelType w:val="hybridMultilevel"/>
    <w:tmpl w:val="D36EDFD4"/>
    <w:lvl w:ilvl="0" w:tplc="D8EEE528">
      <w:start w:val="1"/>
      <w:numFmt w:val="decimal"/>
      <w:lvlText w:val="%1."/>
      <w:lvlJc w:val="left"/>
      <w:pPr>
        <w:ind w:left="1654" w:hanging="945"/>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79">
    <w:nsid w:val="69064D38"/>
    <w:multiLevelType w:val="hybridMultilevel"/>
    <w:tmpl w:val="3648BC32"/>
    <w:lvl w:ilvl="0" w:tplc="EE2224CE">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nsid w:val="69716127"/>
    <w:multiLevelType w:val="hybridMultilevel"/>
    <w:tmpl w:val="36941E8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1">
    <w:nsid w:val="69E2559F"/>
    <w:multiLevelType w:val="hybridMultilevel"/>
    <w:tmpl w:val="6F9E7E34"/>
    <w:lvl w:ilvl="0" w:tplc="AD728E90">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nsid w:val="6BE04738"/>
    <w:multiLevelType w:val="hybridMultilevel"/>
    <w:tmpl w:val="DD74446C"/>
    <w:lvl w:ilvl="0" w:tplc="1872499A">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nsid w:val="6C99700F"/>
    <w:multiLevelType w:val="hybridMultilevel"/>
    <w:tmpl w:val="EE082DFC"/>
    <w:lvl w:ilvl="0" w:tplc="91722A94">
      <w:start w:val="1"/>
      <w:numFmt w:val="decimal"/>
      <w:lvlText w:val="%1."/>
      <w:lvlJc w:val="left"/>
      <w:pPr>
        <w:ind w:left="1654" w:hanging="94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4">
    <w:nsid w:val="6D971242"/>
    <w:multiLevelType w:val="hybridMultilevel"/>
    <w:tmpl w:val="4CF826CE"/>
    <w:lvl w:ilvl="0" w:tplc="B93E151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nsid w:val="6F7F1DC1"/>
    <w:multiLevelType w:val="hybridMultilevel"/>
    <w:tmpl w:val="1BEA3D0C"/>
    <w:lvl w:ilvl="0" w:tplc="69E023F4">
      <w:start w:val="1"/>
      <w:numFmt w:val="bullet"/>
      <w:lvlText w:val=""/>
      <w:lvlJc w:val="left"/>
      <w:pPr>
        <w:ind w:left="1070"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nsid w:val="6FD45CBE"/>
    <w:multiLevelType w:val="hybridMultilevel"/>
    <w:tmpl w:val="460A7590"/>
    <w:lvl w:ilvl="0" w:tplc="44D876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nsid w:val="713140ED"/>
    <w:multiLevelType w:val="hybridMultilevel"/>
    <w:tmpl w:val="1D967BD6"/>
    <w:lvl w:ilvl="0" w:tplc="EE2224CE">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nsid w:val="7189719B"/>
    <w:multiLevelType w:val="hybridMultilevel"/>
    <w:tmpl w:val="1082D198"/>
    <w:lvl w:ilvl="0" w:tplc="44D87684">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89">
    <w:nsid w:val="72446DE6"/>
    <w:multiLevelType w:val="hybridMultilevel"/>
    <w:tmpl w:val="A434F6D0"/>
    <w:lvl w:ilvl="0" w:tplc="154C526C">
      <w:start w:val="1"/>
      <w:numFmt w:val="bullet"/>
      <w:lvlText w:val=""/>
      <w:lvlJc w:val="left"/>
      <w:pPr>
        <w:ind w:left="1069" w:hanging="360"/>
      </w:pPr>
      <w:rPr>
        <w:rFonts w:ascii="Symbol" w:hAnsi="Symbol" w:hint="default"/>
        <w:b w:val="0"/>
        <w:i w:val="0"/>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90">
    <w:nsid w:val="7391536A"/>
    <w:multiLevelType w:val="hybridMultilevel"/>
    <w:tmpl w:val="4266B1C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nsid w:val="762E0797"/>
    <w:multiLevelType w:val="hybridMultilevel"/>
    <w:tmpl w:val="F95E3616"/>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92">
    <w:nsid w:val="76B41E96"/>
    <w:multiLevelType w:val="hybridMultilevel"/>
    <w:tmpl w:val="35067036"/>
    <w:lvl w:ilvl="0" w:tplc="154C526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93">
    <w:nsid w:val="76EE6826"/>
    <w:multiLevelType w:val="hybridMultilevel"/>
    <w:tmpl w:val="B08ECCD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4">
    <w:nsid w:val="773F6F6B"/>
    <w:multiLevelType w:val="hybridMultilevel"/>
    <w:tmpl w:val="4DC85508"/>
    <w:lvl w:ilvl="0" w:tplc="69B007EA">
      <w:start w:val="1"/>
      <w:numFmt w:val="decimal"/>
      <w:lvlText w:val="%1."/>
      <w:lvlJc w:val="left"/>
      <w:pPr>
        <w:ind w:left="1654" w:hanging="945"/>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95">
    <w:nsid w:val="781D3FCC"/>
    <w:multiLevelType w:val="hybridMultilevel"/>
    <w:tmpl w:val="8618E9C4"/>
    <w:lvl w:ilvl="0" w:tplc="154C52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nsid w:val="788F60AD"/>
    <w:multiLevelType w:val="hybridMultilevel"/>
    <w:tmpl w:val="12EC6CB6"/>
    <w:lvl w:ilvl="0" w:tplc="97FAD49E">
      <w:start w:val="1"/>
      <w:numFmt w:val="russianLower"/>
      <w:lvlText w:val="%1)"/>
      <w:lvlJc w:val="left"/>
      <w:pPr>
        <w:ind w:left="1854" w:hanging="360"/>
      </w:pPr>
      <w:rPr>
        <w:rFonts w:cs="Times New Roman" w:hint="default"/>
      </w:rPr>
    </w:lvl>
    <w:lvl w:ilvl="1" w:tplc="04190019" w:tentative="1">
      <w:start w:val="1"/>
      <w:numFmt w:val="lowerLetter"/>
      <w:lvlText w:val="%2."/>
      <w:lvlJc w:val="left"/>
      <w:pPr>
        <w:ind w:left="2574" w:hanging="360"/>
      </w:pPr>
      <w:rPr>
        <w:rFonts w:cs="Times New Roman"/>
      </w:rPr>
    </w:lvl>
    <w:lvl w:ilvl="2" w:tplc="0419001B" w:tentative="1">
      <w:start w:val="1"/>
      <w:numFmt w:val="lowerRoman"/>
      <w:lvlText w:val="%3."/>
      <w:lvlJc w:val="right"/>
      <w:pPr>
        <w:ind w:left="3294" w:hanging="180"/>
      </w:pPr>
      <w:rPr>
        <w:rFonts w:cs="Times New Roman"/>
      </w:rPr>
    </w:lvl>
    <w:lvl w:ilvl="3" w:tplc="0419000F" w:tentative="1">
      <w:start w:val="1"/>
      <w:numFmt w:val="decimal"/>
      <w:lvlText w:val="%4."/>
      <w:lvlJc w:val="left"/>
      <w:pPr>
        <w:ind w:left="4014" w:hanging="360"/>
      </w:pPr>
      <w:rPr>
        <w:rFonts w:cs="Times New Roman"/>
      </w:rPr>
    </w:lvl>
    <w:lvl w:ilvl="4" w:tplc="04190019" w:tentative="1">
      <w:start w:val="1"/>
      <w:numFmt w:val="lowerLetter"/>
      <w:lvlText w:val="%5."/>
      <w:lvlJc w:val="left"/>
      <w:pPr>
        <w:ind w:left="4734" w:hanging="360"/>
      </w:pPr>
      <w:rPr>
        <w:rFonts w:cs="Times New Roman"/>
      </w:rPr>
    </w:lvl>
    <w:lvl w:ilvl="5" w:tplc="0419001B" w:tentative="1">
      <w:start w:val="1"/>
      <w:numFmt w:val="lowerRoman"/>
      <w:lvlText w:val="%6."/>
      <w:lvlJc w:val="right"/>
      <w:pPr>
        <w:ind w:left="5454" w:hanging="180"/>
      </w:pPr>
      <w:rPr>
        <w:rFonts w:cs="Times New Roman"/>
      </w:rPr>
    </w:lvl>
    <w:lvl w:ilvl="6" w:tplc="0419000F" w:tentative="1">
      <w:start w:val="1"/>
      <w:numFmt w:val="decimal"/>
      <w:lvlText w:val="%7."/>
      <w:lvlJc w:val="left"/>
      <w:pPr>
        <w:ind w:left="6174" w:hanging="360"/>
      </w:pPr>
      <w:rPr>
        <w:rFonts w:cs="Times New Roman"/>
      </w:rPr>
    </w:lvl>
    <w:lvl w:ilvl="7" w:tplc="04190019" w:tentative="1">
      <w:start w:val="1"/>
      <w:numFmt w:val="lowerLetter"/>
      <w:lvlText w:val="%8."/>
      <w:lvlJc w:val="left"/>
      <w:pPr>
        <w:ind w:left="6894" w:hanging="360"/>
      </w:pPr>
      <w:rPr>
        <w:rFonts w:cs="Times New Roman"/>
      </w:rPr>
    </w:lvl>
    <w:lvl w:ilvl="8" w:tplc="0419001B" w:tentative="1">
      <w:start w:val="1"/>
      <w:numFmt w:val="lowerRoman"/>
      <w:lvlText w:val="%9."/>
      <w:lvlJc w:val="right"/>
      <w:pPr>
        <w:ind w:left="7614" w:hanging="180"/>
      </w:pPr>
      <w:rPr>
        <w:rFonts w:cs="Times New Roman"/>
      </w:rPr>
    </w:lvl>
  </w:abstractNum>
  <w:abstractNum w:abstractNumId="97">
    <w:nsid w:val="7C674243"/>
    <w:multiLevelType w:val="hybridMultilevel"/>
    <w:tmpl w:val="631EEAC6"/>
    <w:lvl w:ilvl="0" w:tplc="D8EEE528">
      <w:start w:val="1"/>
      <w:numFmt w:val="decimal"/>
      <w:lvlText w:val="%1."/>
      <w:lvlJc w:val="left"/>
      <w:pPr>
        <w:ind w:left="1654" w:hanging="945"/>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31"/>
  </w:num>
  <w:num w:numId="2">
    <w:abstractNumId w:val="56"/>
  </w:num>
  <w:num w:numId="3">
    <w:abstractNumId w:val="74"/>
  </w:num>
  <w:num w:numId="4">
    <w:abstractNumId w:val="44"/>
  </w:num>
  <w:num w:numId="5">
    <w:abstractNumId w:val="22"/>
  </w:num>
  <w:num w:numId="6">
    <w:abstractNumId w:val="54"/>
  </w:num>
  <w:num w:numId="7">
    <w:abstractNumId w:val="1"/>
  </w:num>
  <w:num w:numId="8">
    <w:abstractNumId w:val="34"/>
  </w:num>
  <w:num w:numId="9">
    <w:abstractNumId w:val="50"/>
  </w:num>
  <w:num w:numId="10">
    <w:abstractNumId w:val="26"/>
  </w:num>
  <w:num w:numId="11">
    <w:abstractNumId w:val="43"/>
  </w:num>
  <w:num w:numId="12">
    <w:abstractNumId w:val="38"/>
  </w:num>
  <w:num w:numId="13">
    <w:abstractNumId w:val="3"/>
  </w:num>
  <w:num w:numId="14">
    <w:abstractNumId w:val="71"/>
  </w:num>
  <w:num w:numId="15">
    <w:abstractNumId w:val="79"/>
  </w:num>
  <w:num w:numId="16">
    <w:abstractNumId w:val="5"/>
  </w:num>
  <w:num w:numId="17">
    <w:abstractNumId w:val="21"/>
  </w:num>
  <w:num w:numId="18">
    <w:abstractNumId w:val="28"/>
  </w:num>
  <w:num w:numId="19">
    <w:abstractNumId w:val="53"/>
  </w:num>
  <w:num w:numId="20">
    <w:abstractNumId w:val="29"/>
  </w:num>
  <w:num w:numId="21">
    <w:abstractNumId w:val="37"/>
  </w:num>
  <w:num w:numId="22">
    <w:abstractNumId w:val="12"/>
  </w:num>
  <w:num w:numId="23">
    <w:abstractNumId w:val="8"/>
  </w:num>
  <w:num w:numId="24">
    <w:abstractNumId w:val="95"/>
  </w:num>
  <w:num w:numId="25">
    <w:abstractNumId w:val="19"/>
  </w:num>
  <w:num w:numId="26">
    <w:abstractNumId w:val="14"/>
  </w:num>
  <w:num w:numId="27">
    <w:abstractNumId w:val="39"/>
  </w:num>
  <w:num w:numId="28">
    <w:abstractNumId w:val="66"/>
  </w:num>
  <w:num w:numId="29">
    <w:abstractNumId w:val="52"/>
  </w:num>
  <w:num w:numId="30">
    <w:abstractNumId w:val="17"/>
  </w:num>
  <w:num w:numId="31">
    <w:abstractNumId w:val="51"/>
  </w:num>
  <w:num w:numId="32">
    <w:abstractNumId w:val="75"/>
  </w:num>
  <w:num w:numId="33">
    <w:abstractNumId w:val="46"/>
  </w:num>
  <w:num w:numId="34">
    <w:abstractNumId w:val="42"/>
  </w:num>
  <w:num w:numId="35">
    <w:abstractNumId w:val="62"/>
  </w:num>
  <w:num w:numId="36">
    <w:abstractNumId w:val="84"/>
  </w:num>
  <w:num w:numId="37">
    <w:abstractNumId w:val="13"/>
  </w:num>
  <w:num w:numId="38">
    <w:abstractNumId w:val="80"/>
  </w:num>
  <w:num w:numId="39">
    <w:abstractNumId w:val="72"/>
  </w:num>
  <w:num w:numId="40">
    <w:abstractNumId w:val="85"/>
  </w:num>
  <w:num w:numId="41">
    <w:abstractNumId w:val="78"/>
  </w:num>
  <w:num w:numId="42">
    <w:abstractNumId w:val="60"/>
  </w:num>
  <w:num w:numId="43">
    <w:abstractNumId w:val="94"/>
  </w:num>
  <w:num w:numId="44">
    <w:abstractNumId w:val="36"/>
  </w:num>
  <w:num w:numId="45">
    <w:abstractNumId w:val="69"/>
  </w:num>
  <w:num w:numId="46">
    <w:abstractNumId w:val="68"/>
  </w:num>
  <w:num w:numId="47">
    <w:abstractNumId w:val="0"/>
  </w:num>
  <w:num w:numId="48">
    <w:abstractNumId w:val="49"/>
  </w:num>
  <w:num w:numId="49">
    <w:abstractNumId w:val="40"/>
  </w:num>
  <w:num w:numId="50">
    <w:abstractNumId w:val="41"/>
  </w:num>
  <w:num w:numId="51">
    <w:abstractNumId w:val="64"/>
  </w:num>
  <w:num w:numId="52">
    <w:abstractNumId w:val="89"/>
  </w:num>
  <w:num w:numId="53">
    <w:abstractNumId w:val="73"/>
  </w:num>
  <w:num w:numId="54">
    <w:abstractNumId w:val="57"/>
  </w:num>
  <w:num w:numId="55">
    <w:abstractNumId w:val="91"/>
  </w:num>
  <w:num w:numId="56">
    <w:abstractNumId w:val="2"/>
  </w:num>
  <w:num w:numId="57">
    <w:abstractNumId w:val="18"/>
  </w:num>
  <w:num w:numId="58">
    <w:abstractNumId w:val="35"/>
  </w:num>
  <w:num w:numId="59">
    <w:abstractNumId w:val="76"/>
  </w:num>
  <w:num w:numId="60">
    <w:abstractNumId w:val="92"/>
  </w:num>
  <w:num w:numId="61">
    <w:abstractNumId w:val="70"/>
  </w:num>
  <w:num w:numId="62">
    <w:abstractNumId w:val="33"/>
  </w:num>
  <w:num w:numId="63">
    <w:abstractNumId w:val="9"/>
  </w:num>
  <w:num w:numId="64">
    <w:abstractNumId w:val="32"/>
  </w:num>
  <w:num w:numId="65">
    <w:abstractNumId w:val="77"/>
  </w:num>
  <w:num w:numId="66">
    <w:abstractNumId w:val="82"/>
  </w:num>
  <w:num w:numId="67">
    <w:abstractNumId w:val="67"/>
  </w:num>
  <w:num w:numId="68">
    <w:abstractNumId w:val="47"/>
  </w:num>
  <w:num w:numId="69">
    <w:abstractNumId w:val="6"/>
  </w:num>
  <w:num w:numId="70">
    <w:abstractNumId w:val="55"/>
  </w:num>
  <w:num w:numId="71">
    <w:abstractNumId w:val="90"/>
  </w:num>
  <w:num w:numId="72">
    <w:abstractNumId w:val="86"/>
  </w:num>
  <w:num w:numId="73">
    <w:abstractNumId w:val="59"/>
  </w:num>
  <w:num w:numId="74">
    <w:abstractNumId w:val="87"/>
  </w:num>
  <w:num w:numId="75">
    <w:abstractNumId w:val="4"/>
  </w:num>
  <w:num w:numId="76">
    <w:abstractNumId w:val="58"/>
  </w:num>
  <w:num w:numId="77">
    <w:abstractNumId w:val="16"/>
  </w:num>
  <w:num w:numId="78">
    <w:abstractNumId w:val="81"/>
  </w:num>
  <w:num w:numId="79">
    <w:abstractNumId w:val="27"/>
  </w:num>
  <w:num w:numId="80">
    <w:abstractNumId w:val="63"/>
  </w:num>
  <w:num w:numId="81">
    <w:abstractNumId w:val="25"/>
  </w:num>
  <w:num w:numId="82">
    <w:abstractNumId w:val="45"/>
  </w:num>
  <w:num w:numId="83">
    <w:abstractNumId w:val="48"/>
  </w:num>
  <w:num w:numId="84">
    <w:abstractNumId w:val="30"/>
  </w:num>
  <w:num w:numId="85">
    <w:abstractNumId w:val="65"/>
  </w:num>
  <w:num w:numId="86">
    <w:abstractNumId w:val="88"/>
  </w:num>
  <w:num w:numId="87">
    <w:abstractNumId w:val="7"/>
  </w:num>
  <w:num w:numId="88">
    <w:abstractNumId w:val="10"/>
  </w:num>
  <w:num w:numId="89">
    <w:abstractNumId w:val="23"/>
  </w:num>
  <w:num w:numId="90">
    <w:abstractNumId w:val="11"/>
  </w:num>
  <w:num w:numId="91">
    <w:abstractNumId w:val="93"/>
  </w:num>
  <w:num w:numId="92">
    <w:abstractNumId w:val="97"/>
  </w:num>
  <w:num w:numId="93">
    <w:abstractNumId w:val="83"/>
  </w:num>
  <w:num w:numId="94">
    <w:abstractNumId w:val="15"/>
  </w:num>
  <w:num w:numId="95">
    <w:abstractNumId w:val="24"/>
  </w:num>
  <w:num w:numId="96">
    <w:abstractNumId w:val="20"/>
  </w:num>
  <w:num w:numId="97">
    <w:abstractNumId w:val="61"/>
  </w:num>
  <w:num w:numId="98">
    <w:abstractNumId w:val="96"/>
  </w:num>
  <w:num w:numId="99">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mirrorMargins/>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48B0"/>
    <w:rsid w:val="000010BC"/>
    <w:rsid w:val="00001C60"/>
    <w:rsid w:val="000024B7"/>
    <w:rsid w:val="00002884"/>
    <w:rsid w:val="000040CC"/>
    <w:rsid w:val="0000414C"/>
    <w:rsid w:val="000064FA"/>
    <w:rsid w:val="00007641"/>
    <w:rsid w:val="0001127F"/>
    <w:rsid w:val="000126FA"/>
    <w:rsid w:val="00012700"/>
    <w:rsid w:val="000133C7"/>
    <w:rsid w:val="00013DDB"/>
    <w:rsid w:val="00015635"/>
    <w:rsid w:val="00017192"/>
    <w:rsid w:val="000174B9"/>
    <w:rsid w:val="00017A56"/>
    <w:rsid w:val="00017E48"/>
    <w:rsid w:val="000209EB"/>
    <w:rsid w:val="00021D84"/>
    <w:rsid w:val="000220A1"/>
    <w:rsid w:val="0002395C"/>
    <w:rsid w:val="00026308"/>
    <w:rsid w:val="00030C81"/>
    <w:rsid w:val="00032831"/>
    <w:rsid w:val="00032E91"/>
    <w:rsid w:val="00034D1F"/>
    <w:rsid w:val="00034D86"/>
    <w:rsid w:val="00034E31"/>
    <w:rsid w:val="00035190"/>
    <w:rsid w:val="00035973"/>
    <w:rsid w:val="00036ADF"/>
    <w:rsid w:val="0003782A"/>
    <w:rsid w:val="00037BA9"/>
    <w:rsid w:val="00040FDD"/>
    <w:rsid w:val="000421D2"/>
    <w:rsid w:val="000428E0"/>
    <w:rsid w:val="00043BF0"/>
    <w:rsid w:val="00044298"/>
    <w:rsid w:val="000501D7"/>
    <w:rsid w:val="000506D4"/>
    <w:rsid w:val="000511A3"/>
    <w:rsid w:val="000544B8"/>
    <w:rsid w:val="0005585C"/>
    <w:rsid w:val="00056201"/>
    <w:rsid w:val="000562DF"/>
    <w:rsid w:val="00056599"/>
    <w:rsid w:val="00057C8D"/>
    <w:rsid w:val="00060D22"/>
    <w:rsid w:val="000647C4"/>
    <w:rsid w:val="00066285"/>
    <w:rsid w:val="00070510"/>
    <w:rsid w:val="000728BD"/>
    <w:rsid w:val="00072B0A"/>
    <w:rsid w:val="000806BE"/>
    <w:rsid w:val="00080B49"/>
    <w:rsid w:val="000813E2"/>
    <w:rsid w:val="00081578"/>
    <w:rsid w:val="0008325C"/>
    <w:rsid w:val="0008591B"/>
    <w:rsid w:val="000874D8"/>
    <w:rsid w:val="00090852"/>
    <w:rsid w:val="00091047"/>
    <w:rsid w:val="00091725"/>
    <w:rsid w:val="000941BE"/>
    <w:rsid w:val="00095304"/>
    <w:rsid w:val="00096150"/>
    <w:rsid w:val="000978EF"/>
    <w:rsid w:val="00097ED9"/>
    <w:rsid w:val="000A025D"/>
    <w:rsid w:val="000A0969"/>
    <w:rsid w:val="000A24DA"/>
    <w:rsid w:val="000A451B"/>
    <w:rsid w:val="000A4E8A"/>
    <w:rsid w:val="000A5627"/>
    <w:rsid w:val="000A5B05"/>
    <w:rsid w:val="000A6270"/>
    <w:rsid w:val="000A79A2"/>
    <w:rsid w:val="000A7C89"/>
    <w:rsid w:val="000B054A"/>
    <w:rsid w:val="000B0FD2"/>
    <w:rsid w:val="000B1F7F"/>
    <w:rsid w:val="000B1F8E"/>
    <w:rsid w:val="000B2340"/>
    <w:rsid w:val="000B4FEE"/>
    <w:rsid w:val="000B5DC3"/>
    <w:rsid w:val="000B6DAD"/>
    <w:rsid w:val="000B74F5"/>
    <w:rsid w:val="000B7599"/>
    <w:rsid w:val="000C022D"/>
    <w:rsid w:val="000C0967"/>
    <w:rsid w:val="000C0CF8"/>
    <w:rsid w:val="000C0E3C"/>
    <w:rsid w:val="000C1A19"/>
    <w:rsid w:val="000C1C17"/>
    <w:rsid w:val="000C4563"/>
    <w:rsid w:val="000C4A9F"/>
    <w:rsid w:val="000C5438"/>
    <w:rsid w:val="000C5AB2"/>
    <w:rsid w:val="000C6F44"/>
    <w:rsid w:val="000D0FC5"/>
    <w:rsid w:val="000D1861"/>
    <w:rsid w:val="000D489B"/>
    <w:rsid w:val="000D4CCB"/>
    <w:rsid w:val="000D5165"/>
    <w:rsid w:val="000E22F8"/>
    <w:rsid w:val="000E23D1"/>
    <w:rsid w:val="000E5770"/>
    <w:rsid w:val="000E62E7"/>
    <w:rsid w:val="000E6576"/>
    <w:rsid w:val="000E77DA"/>
    <w:rsid w:val="000E7F4C"/>
    <w:rsid w:val="000F0B90"/>
    <w:rsid w:val="000F0FAD"/>
    <w:rsid w:val="000F1AAF"/>
    <w:rsid w:val="000F2B7B"/>
    <w:rsid w:val="000F2CB0"/>
    <w:rsid w:val="000F3364"/>
    <w:rsid w:val="000F4AF5"/>
    <w:rsid w:val="000F54D4"/>
    <w:rsid w:val="000F58B1"/>
    <w:rsid w:val="00101CA5"/>
    <w:rsid w:val="00101CF2"/>
    <w:rsid w:val="00102781"/>
    <w:rsid w:val="00103209"/>
    <w:rsid w:val="001047AF"/>
    <w:rsid w:val="001062A2"/>
    <w:rsid w:val="001079D1"/>
    <w:rsid w:val="001108A2"/>
    <w:rsid w:val="00111100"/>
    <w:rsid w:val="001117A6"/>
    <w:rsid w:val="001122D7"/>
    <w:rsid w:val="00112503"/>
    <w:rsid w:val="00117352"/>
    <w:rsid w:val="00117937"/>
    <w:rsid w:val="00121C9C"/>
    <w:rsid w:val="00122984"/>
    <w:rsid w:val="00122B19"/>
    <w:rsid w:val="00122C91"/>
    <w:rsid w:val="001232D3"/>
    <w:rsid w:val="001233D6"/>
    <w:rsid w:val="001234F2"/>
    <w:rsid w:val="001237A4"/>
    <w:rsid w:val="00124770"/>
    <w:rsid w:val="00124EAB"/>
    <w:rsid w:val="00126AC4"/>
    <w:rsid w:val="00127031"/>
    <w:rsid w:val="00127813"/>
    <w:rsid w:val="00127928"/>
    <w:rsid w:val="0012795C"/>
    <w:rsid w:val="00131310"/>
    <w:rsid w:val="00132EF6"/>
    <w:rsid w:val="001344F4"/>
    <w:rsid w:val="001345CF"/>
    <w:rsid w:val="00134CFA"/>
    <w:rsid w:val="0013656D"/>
    <w:rsid w:val="00136C82"/>
    <w:rsid w:val="001371C7"/>
    <w:rsid w:val="00140189"/>
    <w:rsid w:val="001411DC"/>
    <w:rsid w:val="0014262D"/>
    <w:rsid w:val="0014288D"/>
    <w:rsid w:val="00143ED4"/>
    <w:rsid w:val="0014473F"/>
    <w:rsid w:val="00145BCC"/>
    <w:rsid w:val="00145C54"/>
    <w:rsid w:val="0014609A"/>
    <w:rsid w:val="0015078D"/>
    <w:rsid w:val="00150E34"/>
    <w:rsid w:val="001510DD"/>
    <w:rsid w:val="001515AC"/>
    <w:rsid w:val="001515CE"/>
    <w:rsid w:val="001518D0"/>
    <w:rsid w:val="00151C0F"/>
    <w:rsid w:val="00152D0C"/>
    <w:rsid w:val="00152E2A"/>
    <w:rsid w:val="00153174"/>
    <w:rsid w:val="001535FE"/>
    <w:rsid w:val="001546D6"/>
    <w:rsid w:val="001554AF"/>
    <w:rsid w:val="0015627D"/>
    <w:rsid w:val="00156339"/>
    <w:rsid w:val="00157607"/>
    <w:rsid w:val="00157F01"/>
    <w:rsid w:val="00162698"/>
    <w:rsid w:val="00162E65"/>
    <w:rsid w:val="0016449A"/>
    <w:rsid w:val="001663CB"/>
    <w:rsid w:val="00166FC1"/>
    <w:rsid w:val="001704D9"/>
    <w:rsid w:val="0017117F"/>
    <w:rsid w:val="001712C2"/>
    <w:rsid w:val="0017299B"/>
    <w:rsid w:val="00172C41"/>
    <w:rsid w:val="00172C93"/>
    <w:rsid w:val="00173A9F"/>
    <w:rsid w:val="001750FD"/>
    <w:rsid w:val="00181897"/>
    <w:rsid w:val="00181F5C"/>
    <w:rsid w:val="0018279D"/>
    <w:rsid w:val="00184144"/>
    <w:rsid w:val="00184215"/>
    <w:rsid w:val="0019006D"/>
    <w:rsid w:val="0019032C"/>
    <w:rsid w:val="00193843"/>
    <w:rsid w:val="0019401D"/>
    <w:rsid w:val="00194C53"/>
    <w:rsid w:val="001953F1"/>
    <w:rsid w:val="001977F4"/>
    <w:rsid w:val="00197C66"/>
    <w:rsid w:val="00197DBF"/>
    <w:rsid w:val="001A214B"/>
    <w:rsid w:val="001A2376"/>
    <w:rsid w:val="001A2986"/>
    <w:rsid w:val="001A2DB8"/>
    <w:rsid w:val="001A4A1F"/>
    <w:rsid w:val="001A6B4A"/>
    <w:rsid w:val="001A7495"/>
    <w:rsid w:val="001A796B"/>
    <w:rsid w:val="001B022E"/>
    <w:rsid w:val="001B1986"/>
    <w:rsid w:val="001B2001"/>
    <w:rsid w:val="001B2433"/>
    <w:rsid w:val="001B2CCD"/>
    <w:rsid w:val="001B2FBC"/>
    <w:rsid w:val="001B3FB7"/>
    <w:rsid w:val="001B4BD6"/>
    <w:rsid w:val="001B4DF9"/>
    <w:rsid w:val="001B4ECC"/>
    <w:rsid w:val="001C0A14"/>
    <w:rsid w:val="001C3BEC"/>
    <w:rsid w:val="001C6EFE"/>
    <w:rsid w:val="001C6F4D"/>
    <w:rsid w:val="001C7FEC"/>
    <w:rsid w:val="001D0CC5"/>
    <w:rsid w:val="001D1EDA"/>
    <w:rsid w:val="001D3B8F"/>
    <w:rsid w:val="001D3C87"/>
    <w:rsid w:val="001D40BF"/>
    <w:rsid w:val="001D49C6"/>
    <w:rsid w:val="001D57BE"/>
    <w:rsid w:val="001D5AA4"/>
    <w:rsid w:val="001D754B"/>
    <w:rsid w:val="001E1077"/>
    <w:rsid w:val="001E15E1"/>
    <w:rsid w:val="001E1B9F"/>
    <w:rsid w:val="001E1C53"/>
    <w:rsid w:val="001E2516"/>
    <w:rsid w:val="001E306F"/>
    <w:rsid w:val="001E385A"/>
    <w:rsid w:val="001E42AE"/>
    <w:rsid w:val="001E5E1B"/>
    <w:rsid w:val="001E60F8"/>
    <w:rsid w:val="001E6969"/>
    <w:rsid w:val="001E74C0"/>
    <w:rsid w:val="001E7966"/>
    <w:rsid w:val="001E7E4D"/>
    <w:rsid w:val="001F00D8"/>
    <w:rsid w:val="001F1A1E"/>
    <w:rsid w:val="001F2684"/>
    <w:rsid w:val="001F2D0B"/>
    <w:rsid w:val="001F44AB"/>
    <w:rsid w:val="001F49A5"/>
    <w:rsid w:val="001F5F18"/>
    <w:rsid w:val="00200FB8"/>
    <w:rsid w:val="002015C7"/>
    <w:rsid w:val="00201BF5"/>
    <w:rsid w:val="002021F0"/>
    <w:rsid w:val="00202D3A"/>
    <w:rsid w:val="002033A6"/>
    <w:rsid w:val="0020363C"/>
    <w:rsid w:val="00203BCD"/>
    <w:rsid w:val="00205695"/>
    <w:rsid w:val="002065CD"/>
    <w:rsid w:val="002066B4"/>
    <w:rsid w:val="002075A5"/>
    <w:rsid w:val="002100CA"/>
    <w:rsid w:val="002106E3"/>
    <w:rsid w:val="002110FA"/>
    <w:rsid w:val="002112DD"/>
    <w:rsid w:val="002121B4"/>
    <w:rsid w:val="002128C9"/>
    <w:rsid w:val="00212D31"/>
    <w:rsid w:val="00213235"/>
    <w:rsid w:val="00213FCF"/>
    <w:rsid w:val="002153D2"/>
    <w:rsid w:val="002171F2"/>
    <w:rsid w:val="0022080B"/>
    <w:rsid w:val="00221BE1"/>
    <w:rsid w:val="00225CC3"/>
    <w:rsid w:val="00225D0C"/>
    <w:rsid w:val="0022684A"/>
    <w:rsid w:val="002301A9"/>
    <w:rsid w:val="0023583C"/>
    <w:rsid w:val="00235A70"/>
    <w:rsid w:val="00236C99"/>
    <w:rsid w:val="00237A3D"/>
    <w:rsid w:val="00240C8D"/>
    <w:rsid w:val="00241917"/>
    <w:rsid w:val="00241A5F"/>
    <w:rsid w:val="00241B37"/>
    <w:rsid w:val="002432DB"/>
    <w:rsid w:val="00243834"/>
    <w:rsid w:val="00244EEE"/>
    <w:rsid w:val="00244F3A"/>
    <w:rsid w:val="0024577A"/>
    <w:rsid w:val="00245CB3"/>
    <w:rsid w:val="002476B6"/>
    <w:rsid w:val="002505BE"/>
    <w:rsid w:val="00251BCA"/>
    <w:rsid w:val="0025203F"/>
    <w:rsid w:val="002521FB"/>
    <w:rsid w:val="002533C3"/>
    <w:rsid w:val="00253849"/>
    <w:rsid w:val="00253A66"/>
    <w:rsid w:val="00254410"/>
    <w:rsid w:val="002558A5"/>
    <w:rsid w:val="00255BFE"/>
    <w:rsid w:val="00257405"/>
    <w:rsid w:val="00260327"/>
    <w:rsid w:val="00260B51"/>
    <w:rsid w:val="00261095"/>
    <w:rsid w:val="00261A38"/>
    <w:rsid w:val="002630E4"/>
    <w:rsid w:val="00263C9F"/>
    <w:rsid w:val="00263D7E"/>
    <w:rsid w:val="00264661"/>
    <w:rsid w:val="00264D38"/>
    <w:rsid w:val="002652CB"/>
    <w:rsid w:val="00266F9F"/>
    <w:rsid w:val="00270FAF"/>
    <w:rsid w:val="00271D35"/>
    <w:rsid w:val="00273F2E"/>
    <w:rsid w:val="0027480E"/>
    <w:rsid w:val="00274C5E"/>
    <w:rsid w:val="00275042"/>
    <w:rsid w:val="00275045"/>
    <w:rsid w:val="002762F1"/>
    <w:rsid w:val="002768D5"/>
    <w:rsid w:val="002771B6"/>
    <w:rsid w:val="002807E6"/>
    <w:rsid w:val="00280CEF"/>
    <w:rsid w:val="00282EA2"/>
    <w:rsid w:val="00283041"/>
    <w:rsid w:val="00283B39"/>
    <w:rsid w:val="002841F5"/>
    <w:rsid w:val="00284570"/>
    <w:rsid w:val="00284C34"/>
    <w:rsid w:val="00284D33"/>
    <w:rsid w:val="00285B56"/>
    <w:rsid w:val="00285F36"/>
    <w:rsid w:val="0028616E"/>
    <w:rsid w:val="00286E37"/>
    <w:rsid w:val="00290E73"/>
    <w:rsid w:val="00291BB3"/>
    <w:rsid w:val="0029202B"/>
    <w:rsid w:val="00292123"/>
    <w:rsid w:val="002931ED"/>
    <w:rsid w:val="00295C4A"/>
    <w:rsid w:val="00295E1B"/>
    <w:rsid w:val="00296214"/>
    <w:rsid w:val="002962FE"/>
    <w:rsid w:val="00296889"/>
    <w:rsid w:val="002A0F08"/>
    <w:rsid w:val="002A30FB"/>
    <w:rsid w:val="002A31B0"/>
    <w:rsid w:val="002A4A06"/>
    <w:rsid w:val="002A66D7"/>
    <w:rsid w:val="002A68F3"/>
    <w:rsid w:val="002A725C"/>
    <w:rsid w:val="002A7351"/>
    <w:rsid w:val="002A7A47"/>
    <w:rsid w:val="002B2B52"/>
    <w:rsid w:val="002B333F"/>
    <w:rsid w:val="002B3678"/>
    <w:rsid w:val="002B4064"/>
    <w:rsid w:val="002B41EB"/>
    <w:rsid w:val="002B4D4A"/>
    <w:rsid w:val="002B7079"/>
    <w:rsid w:val="002C13B7"/>
    <w:rsid w:val="002C1C56"/>
    <w:rsid w:val="002C30E2"/>
    <w:rsid w:val="002C364E"/>
    <w:rsid w:val="002C3A08"/>
    <w:rsid w:val="002C3B2A"/>
    <w:rsid w:val="002D02C0"/>
    <w:rsid w:val="002D1208"/>
    <w:rsid w:val="002D1480"/>
    <w:rsid w:val="002D241B"/>
    <w:rsid w:val="002D27B8"/>
    <w:rsid w:val="002D3370"/>
    <w:rsid w:val="002D3BE6"/>
    <w:rsid w:val="002D4841"/>
    <w:rsid w:val="002D4A24"/>
    <w:rsid w:val="002D5FDA"/>
    <w:rsid w:val="002D63C5"/>
    <w:rsid w:val="002D79B9"/>
    <w:rsid w:val="002E039A"/>
    <w:rsid w:val="002E1974"/>
    <w:rsid w:val="002E2A67"/>
    <w:rsid w:val="002E38CD"/>
    <w:rsid w:val="002E395C"/>
    <w:rsid w:val="002E46CF"/>
    <w:rsid w:val="002E4A5A"/>
    <w:rsid w:val="002E57DB"/>
    <w:rsid w:val="002E613E"/>
    <w:rsid w:val="002F04E9"/>
    <w:rsid w:val="002F0AD7"/>
    <w:rsid w:val="002F1A23"/>
    <w:rsid w:val="002F45D3"/>
    <w:rsid w:val="002F67E6"/>
    <w:rsid w:val="002F6F55"/>
    <w:rsid w:val="002F70BB"/>
    <w:rsid w:val="003002CF"/>
    <w:rsid w:val="00302072"/>
    <w:rsid w:val="00303CC3"/>
    <w:rsid w:val="0030423C"/>
    <w:rsid w:val="00304CD1"/>
    <w:rsid w:val="00305B85"/>
    <w:rsid w:val="00306CE4"/>
    <w:rsid w:val="00307AAD"/>
    <w:rsid w:val="00310897"/>
    <w:rsid w:val="00310C19"/>
    <w:rsid w:val="0031202B"/>
    <w:rsid w:val="00312D6A"/>
    <w:rsid w:val="00314ECA"/>
    <w:rsid w:val="003153E7"/>
    <w:rsid w:val="003156BB"/>
    <w:rsid w:val="0031579E"/>
    <w:rsid w:val="00316E21"/>
    <w:rsid w:val="00316E82"/>
    <w:rsid w:val="003179A9"/>
    <w:rsid w:val="003225E8"/>
    <w:rsid w:val="00322A6A"/>
    <w:rsid w:val="003234FE"/>
    <w:rsid w:val="00326311"/>
    <w:rsid w:val="0032665B"/>
    <w:rsid w:val="00327761"/>
    <w:rsid w:val="00332595"/>
    <w:rsid w:val="0033424D"/>
    <w:rsid w:val="00336A04"/>
    <w:rsid w:val="00336DD2"/>
    <w:rsid w:val="00337170"/>
    <w:rsid w:val="003374F5"/>
    <w:rsid w:val="003378F0"/>
    <w:rsid w:val="003406FD"/>
    <w:rsid w:val="003410DD"/>
    <w:rsid w:val="003411AC"/>
    <w:rsid w:val="003438CC"/>
    <w:rsid w:val="0034406D"/>
    <w:rsid w:val="00345257"/>
    <w:rsid w:val="00345DA3"/>
    <w:rsid w:val="003463F0"/>
    <w:rsid w:val="0034707F"/>
    <w:rsid w:val="0034770D"/>
    <w:rsid w:val="0035016B"/>
    <w:rsid w:val="003509A5"/>
    <w:rsid w:val="00350B45"/>
    <w:rsid w:val="00352B0C"/>
    <w:rsid w:val="003538DF"/>
    <w:rsid w:val="00353EE9"/>
    <w:rsid w:val="003546F7"/>
    <w:rsid w:val="0035510A"/>
    <w:rsid w:val="003567B4"/>
    <w:rsid w:val="00360DAD"/>
    <w:rsid w:val="003614E9"/>
    <w:rsid w:val="00363A62"/>
    <w:rsid w:val="00365C0F"/>
    <w:rsid w:val="00366594"/>
    <w:rsid w:val="00367AC0"/>
    <w:rsid w:val="003702BD"/>
    <w:rsid w:val="0037103D"/>
    <w:rsid w:val="00371C81"/>
    <w:rsid w:val="0037405E"/>
    <w:rsid w:val="00374E3C"/>
    <w:rsid w:val="003750CE"/>
    <w:rsid w:val="003764CC"/>
    <w:rsid w:val="00376E3E"/>
    <w:rsid w:val="003770B3"/>
    <w:rsid w:val="00377134"/>
    <w:rsid w:val="00377547"/>
    <w:rsid w:val="00377BFE"/>
    <w:rsid w:val="00380F15"/>
    <w:rsid w:val="003824A6"/>
    <w:rsid w:val="00382D83"/>
    <w:rsid w:val="00383694"/>
    <w:rsid w:val="00383863"/>
    <w:rsid w:val="00383E67"/>
    <w:rsid w:val="00383F2B"/>
    <w:rsid w:val="0038466B"/>
    <w:rsid w:val="00385369"/>
    <w:rsid w:val="003864A4"/>
    <w:rsid w:val="00386976"/>
    <w:rsid w:val="0038728A"/>
    <w:rsid w:val="00390940"/>
    <w:rsid w:val="003909FD"/>
    <w:rsid w:val="00391004"/>
    <w:rsid w:val="003912A6"/>
    <w:rsid w:val="00392966"/>
    <w:rsid w:val="00392B3D"/>
    <w:rsid w:val="00392B97"/>
    <w:rsid w:val="00392FFA"/>
    <w:rsid w:val="00393522"/>
    <w:rsid w:val="00393BFB"/>
    <w:rsid w:val="00394543"/>
    <w:rsid w:val="003946FD"/>
    <w:rsid w:val="00396904"/>
    <w:rsid w:val="00396A73"/>
    <w:rsid w:val="00396C81"/>
    <w:rsid w:val="00396CD9"/>
    <w:rsid w:val="0039702B"/>
    <w:rsid w:val="003A0E97"/>
    <w:rsid w:val="003A1DED"/>
    <w:rsid w:val="003A1E5F"/>
    <w:rsid w:val="003A6A9E"/>
    <w:rsid w:val="003A6D4C"/>
    <w:rsid w:val="003A74C0"/>
    <w:rsid w:val="003B1FB9"/>
    <w:rsid w:val="003B436E"/>
    <w:rsid w:val="003B54C0"/>
    <w:rsid w:val="003B6708"/>
    <w:rsid w:val="003B6C97"/>
    <w:rsid w:val="003B7C13"/>
    <w:rsid w:val="003C0F14"/>
    <w:rsid w:val="003C1BCC"/>
    <w:rsid w:val="003C3599"/>
    <w:rsid w:val="003C3F43"/>
    <w:rsid w:val="003C4F35"/>
    <w:rsid w:val="003C6B9E"/>
    <w:rsid w:val="003C7B9A"/>
    <w:rsid w:val="003D2C0E"/>
    <w:rsid w:val="003D2CAA"/>
    <w:rsid w:val="003D3363"/>
    <w:rsid w:val="003D5747"/>
    <w:rsid w:val="003D5FBE"/>
    <w:rsid w:val="003D733D"/>
    <w:rsid w:val="003D73B7"/>
    <w:rsid w:val="003E08E1"/>
    <w:rsid w:val="003E0905"/>
    <w:rsid w:val="003E1786"/>
    <w:rsid w:val="003E2252"/>
    <w:rsid w:val="003E2387"/>
    <w:rsid w:val="003E2509"/>
    <w:rsid w:val="003E439E"/>
    <w:rsid w:val="003E444D"/>
    <w:rsid w:val="003E4742"/>
    <w:rsid w:val="003E521E"/>
    <w:rsid w:val="003E5328"/>
    <w:rsid w:val="003E6AC6"/>
    <w:rsid w:val="003E720F"/>
    <w:rsid w:val="003E7E45"/>
    <w:rsid w:val="003F0A65"/>
    <w:rsid w:val="003F0B4C"/>
    <w:rsid w:val="003F0EDA"/>
    <w:rsid w:val="003F1C43"/>
    <w:rsid w:val="003F38EF"/>
    <w:rsid w:val="003F53FF"/>
    <w:rsid w:val="003F56BB"/>
    <w:rsid w:val="003F6E88"/>
    <w:rsid w:val="0040096A"/>
    <w:rsid w:val="00401806"/>
    <w:rsid w:val="00402A43"/>
    <w:rsid w:val="004033D5"/>
    <w:rsid w:val="004063A6"/>
    <w:rsid w:val="00407401"/>
    <w:rsid w:val="004077A4"/>
    <w:rsid w:val="00407949"/>
    <w:rsid w:val="00410F82"/>
    <w:rsid w:val="00412B89"/>
    <w:rsid w:val="00413260"/>
    <w:rsid w:val="00414D15"/>
    <w:rsid w:val="00415D10"/>
    <w:rsid w:val="00417C65"/>
    <w:rsid w:val="00417CD8"/>
    <w:rsid w:val="00417E2D"/>
    <w:rsid w:val="004218ED"/>
    <w:rsid w:val="00421BFD"/>
    <w:rsid w:val="00422B2B"/>
    <w:rsid w:val="00424CE7"/>
    <w:rsid w:val="00425973"/>
    <w:rsid w:val="00426C52"/>
    <w:rsid w:val="004270B2"/>
    <w:rsid w:val="00430503"/>
    <w:rsid w:val="00431B44"/>
    <w:rsid w:val="00431EBA"/>
    <w:rsid w:val="00432AA8"/>
    <w:rsid w:val="00432C51"/>
    <w:rsid w:val="00432D2A"/>
    <w:rsid w:val="00432E06"/>
    <w:rsid w:val="00433A07"/>
    <w:rsid w:val="0043592A"/>
    <w:rsid w:val="00436E02"/>
    <w:rsid w:val="00436FEC"/>
    <w:rsid w:val="00437314"/>
    <w:rsid w:val="00440AA8"/>
    <w:rsid w:val="0044112E"/>
    <w:rsid w:val="00442D55"/>
    <w:rsid w:val="00444391"/>
    <w:rsid w:val="004459B9"/>
    <w:rsid w:val="0044635D"/>
    <w:rsid w:val="00446892"/>
    <w:rsid w:val="0044740A"/>
    <w:rsid w:val="00452D93"/>
    <w:rsid w:val="0045418C"/>
    <w:rsid w:val="00454681"/>
    <w:rsid w:val="004549B0"/>
    <w:rsid w:val="00455095"/>
    <w:rsid w:val="004558B3"/>
    <w:rsid w:val="00455F40"/>
    <w:rsid w:val="004561B9"/>
    <w:rsid w:val="00456B78"/>
    <w:rsid w:val="0045729A"/>
    <w:rsid w:val="004616EA"/>
    <w:rsid w:val="00461CB8"/>
    <w:rsid w:val="00461DC6"/>
    <w:rsid w:val="00462606"/>
    <w:rsid w:val="00463870"/>
    <w:rsid w:val="00464519"/>
    <w:rsid w:val="00465BD2"/>
    <w:rsid w:val="00467E8C"/>
    <w:rsid w:val="00471337"/>
    <w:rsid w:val="00472789"/>
    <w:rsid w:val="00474082"/>
    <w:rsid w:val="0047529F"/>
    <w:rsid w:val="00475E67"/>
    <w:rsid w:val="0047777E"/>
    <w:rsid w:val="00477C47"/>
    <w:rsid w:val="00481822"/>
    <w:rsid w:val="0048307D"/>
    <w:rsid w:val="004833B6"/>
    <w:rsid w:val="00486727"/>
    <w:rsid w:val="00487C9D"/>
    <w:rsid w:val="004907F6"/>
    <w:rsid w:val="004908D9"/>
    <w:rsid w:val="0049374A"/>
    <w:rsid w:val="00495204"/>
    <w:rsid w:val="00495941"/>
    <w:rsid w:val="0049656E"/>
    <w:rsid w:val="00496952"/>
    <w:rsid w:val="0049761B"/>
    <w:rsid w:val="00497B94"/>
    <w:rsid w:val="00497CC7"/>
    <w:rsid w:val="00497D02"/>
    <w:rsid w:val="004A0803"/>
    <w:rsid w:val="004A205C"/>
    <w:rsid w:val="004A32AF"/>
    <w:rsid w:val="004A3893"/>
    <w:rsid w:val="004A3AC0"/>
    <w:rsid w:val="004A3FE6"/>
    <w:rsid w:val="004A4B98"/>
    <w:rsid w:val="004A5EFE"/>
    <w:rsid w:val="004A6165"/>
    <w:rsid w:val="004A6575"/>
    <w:rsid w:val="004A6FBD"/>
    <w:rsid w:val="004A7AF8"/>
    <w:rsid w:val="004A7E9F"/>
    <w:rsid w:val="004B21ED"/>
    <w:rsid w:val="004B7724"/>
    <w:rsid w:val="004C0186"/>
    <w:rsid w:val="004C030D"/>
    <w:rsid w:val="004C43B5"/>
    <w:rsid w:val="004C6D3B"/>
    <w:rsid w:val="004D141B"/>
    <w:rsid w:val="004D1C60"/>
    <w:rsid w:val="004D3ECE"/>
    <w:rsid w:val="004D52D6"/>
    <w:rsid w:val="004D6C1E"/>
    <w:rsid w:val="004D7234"/>
    <w:rsid w:val="004D7446"/>
    <w:rsid w:val="004E02FD"/>
    <w:rsid w:val="004E0430"/>
    <w:rsid w:val="004E157E"/>
    <w:rsid w:val="004E1C0A"/>
    <w:rsid w:val="004E1D7D"/>
    <w:rsid w:val="004E24FB"/>
    <w:rsid w:val="004E471D"/>
    <w:rsid w:val="004E533E"/>
    <w:rsid w:val="004E577B"/>
    <w:rsid w:val="004E58D5"/>
    <w:rsid w:val="004E5F17"/>
    <w:rsid w:val="004E63FA"/>
    <w:rsid w:val="004E6564"/>
    <w:rsid w:val="004E718A"/>
    <w:rsid w:val="004F2914"/>
    <w:rsid w:val="004F2DB2"/>
    <w:rsid w:val="004F3FF0"/>
    <w:rsid w:val="004F4C5D"/>
    <w:rsid w:val="004F578D"/>
    <w:rsid w:val="004F5BAB"/>
    <w:rsid w:val="004F6561"/>
    <w:rsid w:val="004F6A07"/>
    <w:rsid w:val="004F6DB1"/>
    <w:rsid w:val="004F6EDC"/>
    <w:rsid w:val="004F7AAD"/>
    <w:rsid w:val="004F7AFA"/>
    <w:rsid w:val="00501421"/>
    <w:rsid w:val="00501B7A"/>
    <w:rsid w:val="00503262"/>
    <w:rsid w:val="00503F25"/>
    <w:rsid w:val="005040E6"/>
    <w:rsid w:val="005045B3"/>
    <w:rsid w:val="00506330"/>
    <w:rsid w:val="0050696B"/>
    <w:rsid w:val="00510358"/>
    <w:rsid w:val="0051091C"/>
    <w:rsid w:val="00511627"/>
    <w:rsid w:val="00511841"/>
    <w:rsid w:val="005140C8"/>
    <w:rsid w:val="0051467A"/>
    <w:rsid w:val="00514DAE"/>
    <w:rsid w:val="005173C6"/>
    <w:rsid w:val="00517E35"/>
    <w:rsid w:val="00522061"/>
    <w:rsid w:val="00522803"/>
    <w:rsid w:val="005231A3"/>
    <w:rsid w:val="00523882"/>
    <w:rsid w:val="005263D7"/>
    <w:rsid w:val="00526D30"/>
    <w:rsid w:val="00530AAF"/>
    <w:rsid w:val="00532804"/>
    <w:rsid w:val="00532948"/>
    <w:rsid w:val="00532D4E"/>
    <w:rsid w:val="00533DFC"/>
    <w:rsid w:val="005347B5"/>
    <w:rsid w:val="005359A3"/>
    <w:rsid w:val="005359BB"/>
    <w:rsid w:val="0053658F"/>
    <w:rsid w:val="0053784A"/>
    <w:rsid w:val="00543223"/>
    <w:rsid w:val="00543EE8"/>
    <w:rsid w:val="00545DEF"/>
    <w:rsid w:val="0054638A"/>
    <w:rsid w:val="0054762B"/>
    <w:rsid w:val="00547D7E"/>
    <w:rsid w:val="005500C5"/>
    <w:rsid w:val="005508B9"/>
    <w:rsid w:val="005514BB"/>
    <w:rsid w:val="005516CF"/>
    <w:rsid w:val="0055213D"/>
    <w:rsid w:val="005532C8"/>
    <w:rsid w:val="00555191"/>
    <w:rsid w:val="00555EE8"/>
    <w:rsid w:val="00556B62"/>
    <w:rsid w:val="005603D5"/>
    <w:rsid w:val="00560B6D"/>
    <w:rsid w:val="005611AD"/>
    <w:rsid w:val="005612ED"/>
    <w:rsid w:val="00562191"/>
    <w:rsid w:val="00562D71"/>
    <w:rsid w:val="00562F51"/>
    <w:rsid w:val="00564F80"/>
    <w:rsid w:val="00565935"/>
    <w:rsid w:val="0056604B"/>
    <w:rsid w:val="00566407"/>
    <w:rsid w:val="00566EB3"/>
    <w:rsid w:val="00567ECA"/>
    <w:rsid w:val="00571276"/>
    <w:rsid w:val="00572C81"/>
    <w:rsid w:val="00574699"/>
    <w:rsid w:val="00574B00"/>
    <w:rsid w:val="00574C05"/>
    <w:rsid w:val="005758B7"/>
    <w:rsid w:val="005767F5"/>
    <w:rsid w:val="00580887"/>
    <w:rsid w:val="0058390F"/>
    <w:rsid w:val="00583DEA"/>
    <w:rsid w:val="0058433B"/>
    <w:rsid w:val="00585500"/>
    <w:rsid w:val="00585EA2"/>
    <w:rsid w:val="00593043"/>
    <w:rsid w:val="005933A5"/>
    <w:rsid w:val="00593D40"/>
    <w:rsid w:val="005940A2"/>
    <w:rsid w:val="005947E3"/>
    <w:rsid w:val="00595CF9"/>
    <w:rsid w:val="00596DF3"/>
    <w:rsid w:val="00596E13"/>
    <w:rsid w:val="0059741F"/>
    <w:rsid w:val="00597765"/>
    <w:rsid w:val="005A2C4D"/>
    <w:rsid w:val="005A303D"/>
    <w:rsid w:val="005A366C"/>
    <w:rsid w:val="005A3EB9"/>
    <w:rsid w:val="005A5802"/>
    <w:rsid w:val="005A5B4E"/>
    <w:rsid w:val="005A620E"/>
    <w:rsid w:val="005B2244"/>
    <w:rsid w:val="005B2DCE"/>
    <w:rsid w:val="005B5AB5"/>
    <w:rsid w:val="005B7B89"/>
    <w:rsid w:val="005C087F"/>
    <w:rsid w:val="005C3497"/>
    <w:rsid w:val="005C356C"/>
    <w:rsid w:val="005C4A9C"/>
    <w:rsid w:val="005C657B"/>
    <w:rsid w:val="005D02F6"/>
    <w:rsid w:val="005D0A11"/>
    <w:rsid w:val="005D0BAD"/>
    <w:rsid w:val="005D2034"/>
    <w:rsid w:val="005D2619"/>
    <w:rsid w:val="005D3DF7"/>
    <w:rsid w:val="005D6CF4"/>
    <w:rsid w:val="005D7EC2"/>
    <w:rsid w:val="005E01EC"/>
    <w:rsid w:val="005E0675"/>
    <w:rsid w:val="005E2870"/>
    <w:rsid w:val="005E3933"/>
    <w:rsid w:val="005E5003"/>
    <w:rsid w:val="005E618B"/>
    <w:rsid w:val="005F077F"/>
    <w:rsid w:val="005F0F07"/>
    <w:rsid w:val="005F2C0A"/>
    <w:rsid w:val="005F3133"/>
    <w:rsid w:val="005F35A6"/>
    <w:rsid w:val="005F4276"/>
    <w:rsid w:val="005F46FF"/>
    <w:rsid w:val="005F4F6B"/>
    <w:rsid w:val="005F79A2"/>
    <w:rsid w:val="00601693"/>
    <w:rsid w:val="00601895"/>
    <w:rsid w:val="00601F35"/>
    <w:rsid w:val="00602503"/>
    <w:rsid w:val="006035DF"/>
    <w:rsid w:val="00603A60"/>
    <w:rsid w:val="006040CB"/>
    <w:rsid w:val="006047A3"/>
    <w:rsid w:val="00604B79"/>
    <w:rsid w:val="006073A6"/>
    <w:rsid w:val="00607487"/>
    <w:rsid w:val="00611284"/>
    <w:rsid w:val="00614911"/>
    <w:rsid w:val="0061500A"/>
    <w:rsid w:val="00615481"/>
    <w:rsid w:val="0061604A"/>
    <w:rsid w:val="00616980"/>
    <w:rsid w:val="00616F8F"/>
    <w:rsid w:val="0061755E"/>
    <w:rsid w:val="006221CE"/>
    <w:rsid w:val="0062229A"/>
    <w:rsid w:val="00626F52"/>
    <w:rsid w:val="0062797A"/>
    <w:rsid w:val="00627A98"/>
    <w:rsid w:val="00630CA8"/>
    <w:rsid w:val="00632DA1"/>
    <w:rsid w:val="00634D30"/>
    <w:rsid w:val="00641746"/>
    <w:rsid w:val="00641DFC"/>
    <w:rsid w:val="006466C0"/>
    <w:rsid w:val="00647A35"/>
    <w:rsid w:val="00650920"/>
    <w:rsid w:val="00650A5E"/>
    <w:rsid w:val="0065119E"/>
    <w:rsid w:val="00651665"/>
    <w:rsid w:val="006518A2"/>
    <w:rsid w:val="006602AE"/>
    <w:rsid w:val="00660926"/>
    <w:rsid w:val="00660F14"/>
    <w:rsid w:val="00662918"/>
    <w:rsid w:val="006631E2"/>
    <w:rsid w:val="0066376F"/>
    <w:rsid w:val="006640FD"/>
    <w:rsid w:val="00664770"/>
    <w:rsid w:val="006648AC"/>
    <w:rsid w:val="00665FB4"/>
    <w:rsid w:val="006668B3"/>
    <w:rsid w:val="00667142"/>
    <w:rsid w:val="00667424"/>
    <w:rsid w:val="00670E39"/>
    <w:rsid w:val="00672E74"/>
    <w:rsid w:val="00673234"/>
    <w:rsid w:val="006732E8"/>
    <w:rsid w:val="00673F84"/>
    <w:rsid w:val="00674163"/>
    <w:rsid w:val="006749C3"/>
    <w:rsid w:val="00675622"/>
    <w:rsid w:val="00675A5A"/>
    <w:rsid w:val="006767C4"/>
    <w:rsid w:val="00676864"/>
    <w:rsid w:val="00676CF8"/>
    <w:rsid w:val="00681798"/>
    <w:rsid w:val="006835EA"/>
    <w:rsid w:val="00684C1E"/>
    <w:rsid w:val="00685F6E"/>
    <w:rsid w:val="00687023"/>
    <w:rsid w:val="0069152F"/>
    <w:rsid w:val="00691E5C"/>
    <w:rsid w:val="00692766"/>
    <w:rsid w:val="0069278A"/>
    <w:rsid w:val="00693B56"/>
    <w:rsid w:val="00693CCE"/>
    <w:rsid w:val="00693F0C"/>
    <w:rsid w:val="00694CD9"/>
    <w:rsid w:val="00694E20"/>
    <w:rsid w:val="00696099"/>
    <w:rsid w:val="0069618F"/>
    <w:rsid w:val="006978D8"/>
    <w:rsid w:val="006A1788"/>
    <w:rsid w:val="006A2891"/>
    <w:rsid w:val="006A3DA1"/>
    <w:rsid w:val="006A3FA1"/>
    <w:rsid w:val="006A4299"/>
    <w:rsid w:val="006A4598"/>
    <w:rsid w:val="006A521A"/>
    <w:rsid w:val="006A5468"/>
    <w:rsid w:val="006B077E"/>
    <w:rsid w:val="006B0E07"/>
    <w:rsid w:val="006B1743"/>
    <w:rsid w:val="006B1801"/>
    <w:rsid w:val="006B3835"/>
    <w:rsid w:val="006B4162"/>
    <w:rsid w:val="006B4368"/>
    <w:rsid w:val="006B532D"/>
    <w:rsid w:val="006B5684"/>
    <w:rsid w:val="006B629B"/>
    <w:rsid w:val="006B7D9B"/>
    <w:rsid w:val="006C13A1"/>
    <w:rsid w:val="006C21CD"/>
    <w:rsid w:val="006C4F32"/>
    <w:rsid w:val="006C56E4"/>
    <w:rsid w:val="006C7A86"/>
    <w:rsid w:val="006D0727"/>
    <w:rsid w:val="006D181C"/>
    <w:rsid w:val="006D3A54"/>
    <w:rsid w:val="006D3F86"/>
    <w:rsid w:val="006D4859"/>
    <w:rsid w:val="006D5116"/>
    <w:rsid w:val="006D75B8"/>
    <w:rsid w:val="006D767A"/>
    <w:rsid w:val="006D7A91"/>
    <w:rsid w:val="006E01A0"/>
    <w:rsid w:val="006E1642"/>
    <w:rsid w:val="006E1DBE"/>
    <w:rsid w:val="006E388E"/>
    <w:rsid w:val="006E3FCD"/>
    <w:rsid w:val="006E4CED"/>
    <w:rsid w:val="006E6540"/>
    <w:rsid w:val="006E7084"/>
    <w:rsid w:val="006E755B"/>
    <w:rsid w:val="006E7628"/>
    <w:rsid w:val="006F0C78"/>
    <w:rsid w:val="006F0E7E"/>
    <w:rsid w:val="006F1D12"/>
    <w:rsid w:val="006F2EAC"/>
    <w:rsid w:val="006F3098"/>
    <w:rsid w:val="006F35E0"/>
    <w:rsid w:val="006F3918"/>
    <w:rsid w:val="006F3A34"/>
    <w:rsid w:val="006F3BAE"/>
    <w:rsid w:val="006F4439"/>
    <w:rsid w:val="006F50A7"/>
    <w:rsid w:val="006F6742"/>
    <w:rsid w:val="006F6F8C"/>
    <w:rsid w:val="006F7385"/>
    <w:rsid w:val="006F7861"/>
    <w:rsid w:val="0070165A"/>
    <w:rsid w:val="00701A54"/>
    <w:rsid w:val="00701EB5"/>
    <w:rsid w:val="007040AA"/>
    <w:rsid w:val="007049B3"/>
    <w:rsid w:val="007055AF"/>
    <w:rsid w:val="007065D0"/>
    <w:rsid w:val="00707EAA"/>
    <w:rsid w:val="00710563"/>
    <w:rsid w:val="00710BF3"/>
    <w:rsid w:val="00712661"/>
    <w:rsid w:val="00712C21"/>
    <w:rsid w:val="007135B9"/>
    <w:rsid w:val="00714B8A"/>
    <w:rsid w:val="00716159"/>
    <w:rsid w:val="00716A62"/>
    <w:rsid w:val="007171F2"/>
    <w:rsid w:val="007179D6"/>
    <w:rsid w:val="00720163"/>
    <w:rsid w:val="00720FBF"/>
    <w:rsid w:val="00722374"/>
    <w:rsid w:val="0072284E"/>
    <w:rsid w:val="0072430E"/>
    <w:rsid w:val="0072455F"/>
    <w:rsid w:val="00726FDD"/>
    <w:rsid w:val="0072733C"/>
    <w:rsid w:val="00730C82"/>
    <w:rsid w:val="00730FC2"/>
    <w:rsid w:val="00732AA2"/>
    <w:rsid w:val="00732C68"/>
    <w:rsid w:val="0073318C"/>
    <w:rsid w:val="00733BD3"/>
    <w:rsid w:val="007348E5"/>
    <w:rsid w:val="00734F2A"/>
    <w:rsid w:val="0073598B"/>
    <w:rsid w:val="007367F7"/>
    <w:rsid w:val="007371DB"/>
    <w:rsid w:val="007406D0"/>
    <w:rsid w:val="0074077B"/>
    <w:rsid w:val="00740CDD"/>
    <w:rsid w:val="0074219A"/>
    <w:rsid w:val="00742B7C"/>
    <w:rsid w:val="007449D1"/>
    <w:rsid w:val="00744A16"/>
    <w:rsid w:val="00745520"/>
    <w:rsid w:val="0074571D"/>
    <w:rsid w:val="00746C8E"/>
    <w:rsid w:val="00746EAE"/>
    <w:rsid w:val="00747B76"/>
    <w:rsid w:val="00752D50"/>
    <w:rsid w:val="00752DC0"/>
    <w:rsid w:val="00753050"/>
    <w:rsid w:val="0075449A"/>
    <w:rsid w:val="00757476"/>
    <w:rsid w:val="007604AD"/>
    <w:rsid w:val="00762696"/>
    <w:rsid w:val="007626A5"/>
    <w:rsid w:val="00762908"/>
    <w:rsid w:val="00762B91"/>
    <w:rsid w:val="00763918"/>
    <w:rsid w:val="00764402"/>
    <w:rsid w:val="00765DA4"/>
    <w:rsid w:val="007661AE"/>
    <w:rsid w:val="00766458"/>
    <w:rsid w:val="007666CD"/>
    <w:rsid w:val="00767ADE"/>
    <w:rsid w:val="007704FA"/>
    <w:rsid w:val="00771DC0"/>
    <w:rsid w:val="00772E3A"/>
    <w:rsid w:val="007743B2"/>
    <w:rsid w:val="00774740"/>
    <w:rsid w:val="0077595D"/>
    <w:rsid w:val="007759E4"/>
    <w:rsid w:val="00776AC7"/>
    <w:rsid w:val="007771F8"/>
    <w:rsid w:val="00777F8D"/>
    <w:rsid w:val="00781542"/>
    <w:rsid w:val="00782956"/>
    <w:rsid w:val="00784ABC"/>
    <w:rsid w:val="00784AF2"/>
    <w:rsid w:val="0078613B"/>
    <w:rsid w:val="00786583"/>
    <w:rsid w:val="00786CE5"/>
    <w:rsid w:val="007927E1"/>
    <w:rsid w:val="007938A3"/>
    <w:rsid w:val="00793D33"/>
    <w:rsid w:val="007949BA"/>
    <w:rsid w:val="007952F4"/>
    <w:rsid w:val="00796B07"/>
    <w:rsid w:val="00796B1B"/>
    <w:rsid w:val="00797352"/>
    <w:rsid w:val="00797AC3"/>
    <w:rsid w:val="00797C8D"/>
    <w:rsid w:val="00797FF0"/>
    <w:rsid w:val="007A1FCE"/>
    <w:rsid w:val="007A409E"/>
    <w:rsid w:val="007A623B"/>
    <w:rsid w:val="007A758E"/>
    <w:rsid w:val="007B066F"/>
    <w:rsid w:val="007B0B49"/>
    <w:rsid w:val="007B0C81"/>
    <w:rsid w:val="007B124A"/>
    <w:rsid w:val="007B137A"/>
    <w:rsid w:val="007B21FB"/>
    <w:rsid w:val="007B2418"/>
    <w:rsid w:val="007B2971"/>
    <w:rsid w:val="007B4718"/>
    <w:rsid w:val="007B4B1E"/>
    <w:rsid w:val="007B5D9F"/>
    <w:rsid w:val="007B68C3"/>
    <w:rsid w:val="007C2378"/>
    <w:rsid w:val="007C27DC"/>
    <w:rsid w:val="007C6B1D"/>
    <w:rsid w:val="007D103E"/>
    <w:rsid w:val="007D19C3"/>
    <w:rsid w:val="007D1B01"/>
    <w:rsid w:val="007D25B7"/>
    <w:rsid w:val="007D3298"/>
    <w:rsid w:val="007D449C"/>
    <w:rsid w:val="007D5647"/>
    <w:rsid w:val="007D65E5"/>
    <w:rsid w:val="007D74EF"/>
    <w:rsid w:val="007D780E"/>
    <w:rsid w:val="007D7FE6"/>
    <w:rsid w:val="007E003F"/>
    <w:rsid w:val="007E32FB"/>
    <w:rsid w:val="007E3584"/>
    <w:rsid w:val="007E42A2"/>
    <w:rsid w:val="007E57CC"/>
    <w:rsid w:val="007E7337"/>
    <w:rsid w:val="007F1F64"/>
    <w:rsid w:val="007F3048"/>
    <w:rsid w:val="007F3724"/>
    <w:rsid w:val="007F67DE"/>
    <w:rsid w:val="007F6B17"/>
    <w:rsid w:val="007F7FB3"/>
    <w:rsid w:val="00801F72"/>
    <w:rsid w:val="00802771"/>
    <w:rsid w:val="00802924"/>
    <w:rsid w:val="00802B4B"/>
    <w:rsid w:val="00803832"/>
    <w:rsid w:val="00804035"/>
    <w:rsid w:val="00804A9A"/>
    <w:rsid w:val="00804E3C"/>
    <w:rsid w:val="008050BB"/>
    <w:rsid w:val="008056BF"/>
    <w:rsid w:val="00805BB6"/>
    <w:rsid w:val="00812EB2"/>
    <w:rsid w:val="00815495"/>
    <w:rsid w:val="00815AA5"/>
    <w:rsid w:val="008166C1"/>
    <w:rsid w:val="0081720F"/>
    <w:rsid w:val="0081737F"/>
    <w:rsid w:val="0081775B"/>
    <w:rsid w:val="00817854"/>
    <w:rsid w:val="00817DF2"/>
    <w:rsid w:val="00820FB5"/>
    <w:rsid w:val="00821661"/>
    <w:rsid w:val="008229F2"/>
    <w:rsid w:val="0082325E"/>
    <w:rsid w:val="008255E5"/>
    <w:rsid w:val="00831295"/>
    <w:rsid w:val="008318EF"/>
    <w:rsid w:val="00831E11"/>
    <w:rsid w:val="0083311C"/>
    <w:rsid w:val="00833430"/>
    <w:rsid w:val="00834616"/>
    <w:rsid w:val="008348E1"/>
    <w:rsid w:val="008349C2"/>
    <w:rsid w:val="00835216"/>
    <w:rsid w:val="008356F1"/>
    <w:rsid w:val="00835A55"/>
    <w:rsid w:val="00840353"/>
    <w:rsid w:val="00840F4A"/>
    <w:rsid w:val="00842D48"/>
    <w:rsid w:val="00843941"/>
    <w:rsid w:val="00843E0E"/>
    <w:rsid w:val="008441A3"/>
    <w:rsid w:val="008442A7"/>
    <w:rsid w:val="0084567D"/>
    <w:rsid w:val="0084791B"/>
    <w:rsid w:val="008500F8"/>
    <w:rsid w:val="008504BB"/>
    <w:rsid w:val="0085296D"/>
    <w:rsid w:val="00852BFC"/>
    <w:rsid w:val="008537C0"/>
    <w:rsid w:val="008540AC"/>
    <w:rsid w:val="00854142"/>
    <w:rsid w:val="00854628"/>
    <w:rsid w:val="008547B3"/>
    <w:rsid w:val="00857305"/>
    <w:rsid w:val="00857607"/>
    <w:rsid w:val="00857AEE"/>
    <w:rsid w:val="00861521"/>
    <w:rsid w:val="0086161F"/>
    <w:rsid w:val="00862210"/>
    <w:rsid w:val="00862598"/>
    <w:rsid w:val="0086360D"/>
    <w:rsid w:val="00864885"/>
    <w:rsid w:val="00864C4A"/>
    <w:rsid w:val="00865591"/>
    <w:rsid w:val="00867BE1"/>
    <w:rsid w:val="00870BA1"/>
    <w:rsid w:val="008712E5"/>
    <w:rsid w:val="00872A2D"/>
    <w:rsid w:val="0087343D"/>
    <w:rsid w:val="0087368B"/>
    <w:rsid w:val="00873A6E"/>
    <w:rsid w:val="008758CB"/>
    <w:rsid w:val="00880023"/>
    <w:rsid w:val="00883EF9"/>
    <w:rsid w:val="008845A4"/>
    <w:rsid w:val="0088519C"/>
    <w:rsid w:val="00885D2B"/>
    <w:rsid w:val="008870A6"/>
    <w:rsid w:val="008879B6"/>
    <w:rsid w:val="00887E29"/>
    <w:rsid w:val="00890296"/>
    <w:rsid w:val="00890431"/>
    <w:rsid w:val="008910B8"/>
    <w:rsid w:val="0089313C"/>
    <w:rsid w:val="00893A25"/>
    <w:rsid w:val="00894222"/>
    <w:rsid w:val="00894728"/>
    <w:rsid w:val="0089477F"/>
    <w:rsid w:val="00894F54"/>
    <w:rsid w:val="00896EE5"/>
    <w:rsid w:val="008A2970"/>
    <w:rsid w:val="008A4E8C"/>
    <w:rsid w:val="008A5405"/>
    <w:rsid w:val="008A5675"/>
    <w:rsid w:val="008A5BDB"/>
    <w:rsid w:val="008A610E"/>
    <w:rsid w:val="008B0821"/>
    <w:rsid w:val="008B1D6F"/>
    <w:rsid w:val="008B1E76"/>
    <w:rsid w:val="008B33A0"/>
    <w:rsid w:val="008B3D29"/>
    <w:rsid w:val="008B52DF"/>
    <w:rsid w:val="008B6737"/>
    <w:rsid w:val="008B7C0B"/>
    <w:rsid w:val="008C1FB4"/>
    <w:rsid w:val="008C2E3B"/>
    <w:rsid w:val="008C3EA6"/>
    <w:rsid w:val="008C41AD"/>
    <w:rsid w:val="008C48B0"/>
    <w:rsid w:val="008C54EC"/>
    <w:rsid w:val="008C5E0D"/>
    <w:rsid w:val="008D000C"/>
    <w:rsid w:val="008D1C3A"/>
    <w:rsid w:val="008D31CC"/>
    <w:rsid w:val="008D393E"/>
    <w:rsid w:val="008D3B8A"/>
    <w:rsid w:val="008D56FE"/>
    <w:rsid w:val="008D64D6"/>
    <w:rsid w:val="008D73B8"/>
    <w:rsid w:val="008D77D2"/>
    <w:rsid w:val="008D7E61"/>
    <w:rsid w:val="008E043A"/>
    <w:rsid w:val="008E052B"/>
    <w:rsid w:val="008E0DAB"/>
    <w:rsid w:val="008E15A9"/>
    <w:rsid w:val="008E19F3"/>
    <w:rsid w:val="008E1E00"/>
    <w:rsid w:val="008E255F"/>
    <w:rsid w:val="008E350C"/>
    <w:rsid w:val="008E5F38"/>
    <w:rsid w:val="008E638C"/>
    <w:rsid w:val="008E7ABA"/>
    <w:rsid w:val="008E7BE6"/>
    <w:rsid w:val="008F001D"/>
    <w:rsid w:val="008F0258"/>
    <w:rsid w:val="008F2B68"/>
    <w:rsid w:val="008F3570"/>
    <w:rsid w:val="008F431F"/>
    <w:rsid w:val="008F4340"/>
    <w:rsid w:val="008F49CC"/>
    <w:rsid w:val="008F4B58"/>
    <w:rsid w:val="008F50AE"/>
    <w:rsid w:val="008F5941"/>
    <w:rsid w:val="008F646D"/>
    <w:rsid w:val="008F67DA"/>
    <w:rsid w:val="008F6BEA"/>
    <w:rsid w:val="008F6BEB"/>
    <w:rsid w:val="008F7196"/>
    <w:rsid w:val="008F766E"/>
    <w:rsid w:val="008F7F5F"/>
    <w:rsid w:val="0090035F"/>
    <w:rsid w:val="009003A0"/>
    <w:rsid w:val="0090134D"/>
    <w:rsid w:val="009028BB"/>
    <w:rsid w:val="0090365B"/>
    <w:rsid w:val="00904108"/>
    <w:rsid w:val="00905393"/>
    <w:rsid w:val="0090604F"/>
    <w:rsid w:val="009076E1"/>
    <w:rsid w:val="00907BAF"/>
    <w:rsid w:val="00910D2E"/>
    <w:rsid w:val="00911A56"/>
    <w:rsid w:val="00911C59"/>
    <w:rsid w:val="00912312"/>
    <w:rsid w:val="00912E35"/>
    <w:rsid w:val="0091332B"/>
    <w:rsid w:val="009134C1"/>
    <w:rsid w:val="009143E4"/>
    <w:rsid w:val="00914B4E"/>
    <w:rsid w:val="00915115"/>
    <w:rsid w:val="00915C74"/>
    <w:rsid w:val="009172BD"/>
    <w:rsid w:val="00917CC3"/>
    <w:rsid w:val="00920993"/>
    <w:rsid w:val="0092144B"/>
    <w:rsid w:val="00921552"/>
    <w:rsid w:val="00921E98"/>
    <w:rsid w:val="0092200A"/>
    <w:rsid w:val="0092220A"/>
    <w:rsid w:val="009223E7"/>
    <w:rsid w:val="00922A40"/>
    <w:rsid w:val="009233F5"/>
    <w:rsid w:val="00925008"/>
    <w:rsid w:val="00926F6C"/>
    <w:rsid w:val="0092707B"/>
    <w:rsid w:val="009308AB"/>
    <w:rsid w:val="009310FA"/>
    <w:rsid w:val="00931219"/>
    <w:rsid w:val="00931297"/>
    <w:rsid w:val="0093192F"/>
    <w:rsid w:val="00932195"/>
    <w:rsid w:val="00932817"/>
    <w:rsid w:val="00932890"/>
    <w:rsid w:val="00932D7E"/>
    <w:rsid w:val="00933AEE"/>
    <w:rsid w:val="00934298"/>
    <w:rsid w:val="00935262"/>
    <w:rsid w:val="0093536F"/>
    <w:rsid w:val="009363D8"/>
    <w:rsid w:val="00936C58"/>
    <w:rsid w:val="0093725C"/>
    <w:rsid w:val="00937C5C"/>
    <w:rsid w:val="009428DD"/>
    <w:rsid w:val="00944924"/>
    <w:rsid w:val="00945577"/>
    <w:rsid w:val="0094578C"/>
    <w:rsid w:val="009467FF"/>
    <w:rsid w:val="00946BC2"/>
    <w:rsid w:val="00946FE1"/>
    <w:rsid w:val="0095041F"/>
    <w:rsid w:val="00950496"/>
    <w:rsid w:val="00951532"/>
    <w:rsid w:val="00951A70"/>
    <w:rsid w:val="00951B22"/>
    <w:rsid w:val="00951DB0"/>
    <w:rsid w:val="00952A48"/>
    <w:rsid w:val="009538B0"/>
    <w:rsid w:val="00953F00"/>
    <w:rsid w:val="00954EE8"/>
    <w:rsid w:val="009552A8"/>
    <w:rsid w:val="00955F82"/>
    <w:rsid w:val="00956390"/>
    <w:rsid w:val="009569F2"/>
    <w:rsid w:val="009575B5"/>
    <w:rsid w:val="0096028C"/>
    <w:rsid w:val="00960FE1"/>
    <w:rsid w:val="00961D46"/>
    <w:rsid w:val="00961F56"/>
    <w:rsid w:val="00962444"/>
    <w:rsid w:val="009628A0"/>
    <w:rsid w:val="009631A8"/>
    <w:rsid w:val="00964DFD"/>
    <w:rsid w:val="0096501D"/>
    <w:rsid w:val="00966911"/>
    <w:rsid w:val="00970224"/>
    <w:rsid w:val="00970F48"/>
    <w:rsid w:val="00971320"/>
    <w:rsid w:val="0097132F"/>
    <w:rsid w:val="009725B1"/>
    <w:rsid w:val="009732F4"/>
    <w:rsid w:val="00973F2A"/>
    <w:rsid w:val="009743CB"/>
    <w:rsid w:val="0097454B"/>
    <w:rsid w:val="009748E5"/>
    <w:rsid w:val="009753EA"/>
    <w:rsid w:val="00975B51"/>
    <w:rsid w:val="00975F25"/>
    <w:rsid w:val="0097607A"/>
    <w:rsid w:val="00977411"/>
    <w:rsid w:val="009802E8"/>
    <w:rsid w:val="0098331C"/>
    <w:rsid w:val="0098338F"/>
    <w:rsid w:val="00984261"/>
    <w:rsid w:val="00984985"/>
    <w:rsid w:val="00984CFC"/>
    <w:rsid w:val="009863D7"/>
    <w:rsid w:val="009864EA"/>
    <w:rsid w:val="009874A6"/>
    <w:rsid w:val="00987F72"/>
    <w:rsid w:val="009902EA"/>
    <w:rsid w:val="0099106B"/>
    <w:rsid w:val="00991EF4"/>
    <w:rsid w:val="00992EA2"/>
    <w:rsid w:val="00993445"/>
    <w:rsid w:val="00993D71"/>
    <w:rsid w:val="00994674"/>
    <w:rsid w:val="00994C24"/>
    <w:rsid w:val="00996DEA"/>
    <w:rsid w:val="009A070C"/>
    <w:rsid w:val="009A1585"/>
    <w:rsid w:val="009A16D1"/>
    <w:rsid w:val="009A200C"/>
    <w:rsid w:val="009A46B0"/>
    <w:rsid w:val="009A52D0"/>
    <w:rsid w:val="009B0481"/>
    <w:rsid w:val="009B0804"/>
    <w:rsid w:val="009B1A01"/>
    <w:rsid w:val="009B1ACA"/>
    <w:rsid w:val="009B6451"/>
    <w:rsid w:val="009C0669"/>
    <w:rsid w:val="009C15BA"/>
    <w:rsid w:val="009C1862"/>
    <w:rsid w:val="009C382C"/>
    <w:rsid w:val="009C39FD"/>
    <w:rsid w:val="009C3F70"/>
    <w:rsid w:val="009C41AF"/>
    <w:rsid w:val="009C4E16"/>
    <w:rsid w:val="009C5BDF"/>
    <w:rsid w:val="009C5FFA"/>
    <w:rsid w:val="009C730D"/>
    <w:rsid w:val="009C7321"/>
    <w:rsid w:val="009C7940"/>
    <w:rsid w:val="009D086E"/>
    <w:rsid w:val="009E1B11"/>
    <w:rsid w:val="009E240D"/>
    <w:rsid w:val="009E2766"/>
    <w:rsid w:val="009E3A96"/>
    <w:rsid w:val="009E41D9"/>
    <w:rsid w:val="009E4D32"/>
    <w:rsid w:val="009E4F6F"/>
    <w:rsid w:val="009E5A07"/>
    <w:rsid w:val="009E608A"/>
    <w:rsid w:val="009E6144"/>
    <w:rsid w:val="009E62C4"/>
    <w:rsid w:val="009E6685"/>
    <w:rsid w:val="009E67D2"/>
    <w:rsid w:val="009E69F8"/>
    <w:rsid w:val="009E71D1"/>
    <w:rsid w:val="009E7477"/>
    <w:rsid w:val="009E773A"/>
    <w:rsid w:val="009E7834"/>
    <w:rsid w:val="009F0573"/>
    <w:rsid w:val="009F1AD0"/>
    <w:rsid w:val="009F1DFB"/>
    <w:rsid w:val="009F28D4"/>
    <w:rsid w:val="009F4568"/>
    <w:rsid w:val="009F4DC7"/>
    <w:rsid w:val="009F59E4"/>
    <w:rsid w:val="00A02DA8"/>
    <w:rsid w:val="00A02FD5"/>
    <w:rsid w:val="00A03076"/>
    <w:rsid w:val="00A05CE4"/>
    <w:rsid w:val="00A07BCC"/>
    <w:rsid w:val="00A10366"/>
    <w:rsid w:val="00A123B6"/>
    <w:rsid w:val="00A12883"/>
    <w:rsid w:val="00A1339E"/>
    <w:rsid w:val="00A14507"/>
    <w:rsid w:val="00A15BC9"/>
    <w:rsid w:val="00A169F3"/>
    <w:rsid w:val="00A22C47"/>
    <w:rsid w:val="00A22DD4"/>
    <w:rsid w:val="00A22F13"/>
    <w:rsid w:val="00A236F4"/>
    <w:rsid w:val="00A238AE"/>
    <w:rsid w:val="00A23F33"/>
    <w:rsid w:val="00A25813"/>
    <w:rsid w:val="00A25F45"/>
    <w:rsid w:val="00A2720E"/>
    <w:rsid w:val="00A30219"/>
    <w:rsid w:val="00A33285"/>
    <w:rsid w:val="00A33F7F"/>
    <w:rsid w:val="00A35B9C"/>
    <w:rsid w:val="00A36886"/>
    <w:rsid w:val="00A36E4C"/>
    <w:rsid w:val="00A375D1"/>
    <w:rsid w:val="00A37D43"/>
    <w:rsid w:val="00A40A0C"/>
    <w:rsid w:val="00A4120D"/>
    <w:rsid w:val="00A41AA9"/>
    <w:rsid w:val="00A42028"/>
    <w:rsid w:val="00A437FC"/>
    <w:rsid w:val="00A43EAB"/>
    <w:rsid w:val="00A43F92"/>
    <w:rsid w:val="00A443FC"/>
    <w:rsid w:val="00A44B72"/>
    <w:rsid w:val="00A45688"/>
    <w:rsid w:val="00A52988"/>
    <w:rsid w:val="00A53D24"/>
    <w:rsid w:val="00A54235"/>
    <w:rsid w:val="00A556F8"/>
    <w:rsid w:val="00A55A2F"/>
    <w:rsid w:val="00A55B09"/>
    <w:rsid w:val="00A56C23"/>
    <w:rsid w:val="00A607E2"/>
    <w:rsid w:val="00A60AF8"/>
    <w:rsid w:val="00A61B6A"/>
    <w:rsid w:val="00A6263C"/>
    <w:rsid w:val="00A63520"/>
    <w:rsid w:val="00A63E8A"/>
    <w:rsid w:val="00A652F3"/>
    <w:rsid w:val="00A65493"/>
    <w:rsid w:val="00A66845"/>
    <w:rsid w:val="00A66A07"/>
    <w:rsid w:val="00A67BEA"/>
    <w:rsid w:val="00A67F97"/>
    <w:rsid w:val="00A701AD"/>
    <w:rsid w:val="00A70433"/>
    <w:rsid w:val="00A704E9"/>
    <w:rsid w:val="00A72F77"/>
    <w:rsid w:val="00A7325E"/>
    <w:rsid w:val="00A7368F"/>
    <w:rsid w:val="00A74169"/>
    <w:rsid w:val="00A76EFE"/>
    <w:rsid w:val="00A8157A"/>
    <w:rsid w:val="00A829E1"/>
    <w:rsid w:val="00A82E11"/>
    <w:rsid w:val="00A8707E"/>
    <w:rsid w:val="00A90566"/>
    <w:rsid w:val="00A91A80"/>
    <w:rsid w:val="00A91B89"/>
    <w:rsid w:val="00A92922"/>
    <w:rsid w:val="00A92CD7"/>
    <w:rsid w:val="00A931AD"/>
    <w:rsid w:val="00A9394D"/>
    <w:rsid w:val="00A93F0D"/>
    <w:rsid w:val="00AA128E"/>
    <w:rsid w:val="00AA3342"/>
    <w:rsid w:val="00AA404C"/>
    <w:rsid w:val="00AA6E6A"/>
    <w:rsid w:val="00AA748C"/>
    <w:rsid w:val="00AA7E46"/>
    <w:rsid w:val="00AB00ED"/>
    <w:rsid w:val="00AB0A54"/>
    <w:rsid w:val="00AB1FD1"/>
    <w:rsid w:val="00AB245F"/>
    <w:rsid w:val="00AB2B51"/>
    <w:rsid w:val="00AB4025"/>
    <w:rsid w:val="00AB4455"/>
    <w:rsid w:val="00AB51C3"/>
    <w:rsid w:val="00AB6A38"/>
    <w:rsid w:val="00AB6AAA"/>
    <w:rsid w:val="00AB7786"/>
    <w:rsid w:val="00AC1CF0"/>
    <w:rsid w:val="00AC219D"/>
    <w:rsid w:val="00AC2298"/>
    <w:rsid w:val="00AC2838"/>
    <w:rsid w:val="00AC30E2"/>
    <w:rsid w:val="00AC6433"/>
    <w:rsid w:val="00AC7E63"/>
    <w:rsid w:val="00AD023D"/>
    <w:rsid w:val="00AD0D3A"/>
    <w:rsid w:val="00AD0F53"/>
    <w:rsid w:val="00AD33EA"/>
    <w:rsid w:val="00AD3530"/>
    <w:rsid w:val="00AD3B7D"/>
    <w:rsid w:val="00AD4FB3"/>
    <w:rsid w:val="00AD5A29"/>
    <w:rsid w:val="00AD6C9F"/>
    <w:rsid w:val="00AD6E3C"/>
    <w:rsid w:val="00AD70C1"/>
    <w:rsid w:val="00AD7A63"/>
    <w:rsid w:val="00AE08FF"/>
    <w:rsid w:val="00AE1261"/>
    <w:rsid w:val="00AE227D"/>
    <w:rsid w:val="00AE23A9"/>
    <w:rsid w:val="00AE320C"/>
    <w:rsid w:val="00AE3CC9"/>
    <w:rsid w:val="00AE40C5"/>
    <w:rsid w:val="00AF4A97"/>
    <w:rsid w:val="00AF53AA"/>
    <w:rsid w:val="00AF53F5"/>
    <w:rsid w:val="00AF5A6D"/>
    <w:rsid w:val="00AF5D64"/>
    <w:rsid w:val="00AF6B36"/>
    <w:rsid w:val="00B0167E"/>
    <w:rsid w:val="00B04624"/>
    <w:rsid w:val="00B04645"/>
    <w:rsid w:val="00B05416"/>
    <w:rsid w:val="00B058F9"/>
    <w:rsid w:val="00B10118"/>
    <w:rsid w:val="00B113AA"/>
    <w:rsid w:val="00B11450"/>
    <w:rsid w:val="00B120E5"/>
    <w:rsid w:val="00B129E0"/>
    <w:rsid w:val="00B13B72"/>
    <w:rsid w:val="00B1471D"/>
    <w:rsid w:val="00B14BF3"/>
    <w:rsid w:val="00B14E80"/>
    <w:rsid w:val="00B15769"/>
    <w:rsid w:val="00B16D52"/>
    <w:rsid w:val="00B1743E"/>
    <w:rsid w:val="00B1772B"/>
    <w:rsid w:val="00B2027B"/>
    <w:rsid w:val="00B20BC7"/>
    <w:rsid w:val="00B22E20"/>
    <w:rsid w:val="00B24C2B"/>
    <w:rsid w:val="00B251FF"/>
    <w:rsid w:val="00B2598B"/>
    <w:rsid w:val="00B26435"/>
    <w:rsid w:val="00B2705B"/>
    <w:rsid w:val="00B30737"/>
    <w:rsid w:val="00B3084C"/>
    <w:rsid w:val="00B308B4"/>
    <w:rsid w:val="00B30C28"/>
    <w:rsid w:val="00B32325"/>
    <w:rsid w:val="00B3486C"/>
    <w:rsid w:val="00B34EBF"/>
    <w:rsid w:val="00B3787F"/>
    <w:rsid w:val="00B37A70"/>
    <w:rsid w:val="00B40054"/>
    <w:rsid w:val="00B40BF4"/>
    <w:rsid w:val="00B410E4"/>
    <w:rsid w:val="00B42302"/>
    <w:rsid w:val="00B464AD"/>
    <w:rsid w:val="00B46C70"/>
    <w:rsid w:val="00B47505"/>
    <w:rsid w:val="00B50500"/>
    <w:rsid w:val="00B509BF"/>
    <w:rsid w:val="00B51039"/>
    <w:rsid w:val="00B51B03"/>
    <w:rsid w:val="00B5396C"/>
    <w:rsid w:val="00B53B80"/>
    <w:rsid w:val="00B545BC"/>
    <w:rsid w:val="00B55A3F"/>
    <w:rsid w:val="00B57DED"/>
    <w:rsid w:val="00B6130F"/>
    <w:rsid w:val="00B6266B"/>
    <w:rsid w:val="00B63848"/>
    <w:rsid w:val="00B63CEC"/>
    <w:rsid w:val="00B64BC5"/>
    <w:rsid w:val="00B64DCD"/>
    <w:rsid w:val="00B64E45"/>
    <w:rsid w:val="00B65856"/>
    <w:rsid w:val="00B66E8A"/>
    <w:rsid w:val="00B67B8B"/>
    <w:rsid w:val="00B702F1"/>
    <w:rsid w:val="00B70DD2"/>
    <w:rsid w:val="00B74195"/>
    <w:rsid w:val="00B77320"/>
    <w:rsid w:val="00B77856"/>
    <w:rsid w:val="00B80A3E"/>
    <w:rsid w:val="00B81014"/>
    <w:rsid w:val="00B81FCF"/>
    <w:rsid w:val="00B86BAD"/>
    <w:rsid w:val="00B87334"/>
    <w:rsid w:val="00B93EB2"/>
    <w:rsid w:val="00B94B8E"/>
    <w:rsid w:val="00B96450"/>
    <w:rsid w:val="00BA092B"/>
    <w:rsid w:val="00BA2F3B"/>
    <w:rsid w:val="00BA3CE6"/>
    <w:rsid w:val="00BA4B52"/>
    <w:rsid w:val="00BA4F86"/>
    <w:rsid w:val="00BA5672"/>
    <w:rsid w:val="00BA68F2"/>
    <w:rsid w:val="00BA7A02"/>
    <w:rsid w:val="00BB0CCF"/>
    <w:rsid w:val="00BB0F80"/>
    <w:rsid w:val="00BB2381"/>
    <w:rsid w:val="00BB2BB2"/>
    <w:rsid w:val="00BB3A47"/>
    <w:rsid w:val="00BB495F"/>
    <w:rsid w:val="00BB4D3C"/>
    <w:rsid w:val="00BB54C0"/>
    <w:rsid w:val="00BB5F11"/>
    <w:rsid w:val="00BB6428"/>
    <w:rsid w:val="00BB7741"/>
    <w:rsid w:val="00BC03F4"/>
    <w:rsid w:val="00BC367B"/>
    <w:rsid w:val="00BC5B59"/>
    <w:rsid w:val="00BC7787"/>
    <w:rsid w:val="00BC7B26"/>
    <w:rsid w:val="00BD0BB3"/>
    <w:rsid w:val="00BD18C5"/>
    <w:rsid w:val="00BD324A"/>
    <w:rsid w:val="00BD3FE6"/>
    <w:rsid w:val="00BD4C7E"/>
    <w:rsid w:val="00BD5199"/>
    <w:rsid w:val="00BD5307"/>
    <w:rsid w:val="00BD556A"/>
    <w:rsid w:val="00BD5994"/>
    <w:rsid w:val="00BD5E6D"/>
    <w:rsid w:val="00BD6F0C"/>
    <w:rsid w:val="00BD725A"/>
    <w:rsid w:val="00BD7CE3"/>
    <w:rsid w:val="00BE06B4"/>
    <w:rsid w:val="00BE0C08"/>
    <w:rsid w:val="00BE156C"/>
    <w:rsid w:val="00BE23CB"/>
    <w:rsid w:val="00BE281B"/>
    <w:rsid w:val="00BE3C1E"/>
    <w:rsid w:val="00BE601E"/>
    <w:rsid w:val="00BE64A5"/>
    <w:rsid w:val="00BF1078"/>
    <w:rsid w:val="00BF1082"/>
    <w:rsid w:val="00BF15EC"/>
    <w:rsid w:val="00BF1A3F"/>
    <w:rsid w:val="00BF2A9D"/>
    <w:rsid w:val="00BF2EDE"/>
    <w:rsid w:val="00BF4B19"/>
    <w:rsid w:val="00BF4CA9"/>
    <w:rsid w:val="00BF514E"/>
    <w:rsid w:val="00C00B64"/>
    <w:rsid w:val="00C01969"/>
    <w:rsid w:val="00C0271A"/>
    <w:rsid w:val="00C03156"/>
    <w:rsid w:val="00C041B1"/>
    <w:rsid w:val="00C051C1"/>
    <w:rsid w:val="00C05FA8"/>
    <w:rsid w:val="00C06BC9"/>
    <w:rsid w:val="00C06E3B"/>
    <w:rsid w:val="00C06FE5"/>
    <w:rsid w:val="00C100DE"/>
    <w:rsid w:val="00C1029E"/>
    <w:rsid w:val="00C11DDC"/>
    <w:rsid w:val="00C12752"/>
    <w:rsid w:val="00C144CB"/>
    <w:rsid w:val="00C155F5"/>
    <w:rsid w:val="00C16454"/>
    <w:rsid w:val="00C179CC"/>
    <w:rsid w:val="00C20247"/>
    <w:rsid w:val="00C213A4"/>
    <w:rsid w:val="00C222E0"/>
    <w:rsid w:val="00C226E5"/>
    <w:rsid w:val="00C24AC7"/>
    <w:rsid w:val="00C25038"/>
    <w:rsid w:val="00C254A6"/>
    <w:rsid w:val="00C25542"/>
    <w:rsid w:val="00C275A3"/>
    <w:rsid w:val="00C31AEE"/>
    <w:rsid w:val="00C33468"/>
    <w:rsid w:val="00C340E5"/>
    <w:rsid w:val="00C35648"/>
    <w:rsid w:val="00C35887"/>
    <w:rsid w:val="00C3596B"/>
    <w:rsid w:val="00C36728"/>
    <w:rsid w:val="00C36DE1"/>
    <w:rsid w:val="00C37D54"/>
    <w:rsid w:val="00C423CA"/>
    <w:rsid w:val="00C42505"/>
    <w:rsid w:val="00C451E6"/>
    <w:rsid w:val="00C458AF"/>
    <w:rsid w:val="00C4786A"/>
    <w:rsid w:val="00C478C9"/>
    <w:rsid w:val="00C53A8C"/>
    <w:rsid w:val="00C53E54"/>
    <w:rsid w:val="00C54087"/>
    <w:rsid w:val="00C54206"/>
    <w:rsid w:val="00C5493D"/>
    <w:rsid w:val="00C56D89"/>
    <w:rsid w:val="00C621A0"/>
    <w:rsid w:val="00C64512"/>
    <w:rsid w:val="00C64721"/>
    <w:rsid w:val="00C64B40"/>
    <w:rsid w:val="00C656DE"/>
    <w:rsid w:val="00C65DAD"/>
    <w:rsid w:val="00C66057"/>
    <w:rsid w:val="00C6648C"/>
    <w:rsid w:val="00C67615"/>
    <w:rsid w:val="00C70A1F"/>
    <w:rsid w:val="00C7162E"/>
    <w:rsid w:val="00C71A4B"/>
    <w:rsid w:val="00C72B59"/>
    <w:rsid w:val="00C73293"/>
    <w:rsid w:val="00C7337D"/>
    <w:rsid w:val="00C7496A"/>
    <w:rsid w:val="00C75508"/>
    <w:rsid w:val="00C7627C"/>
    <w:rsid w:val="00C76710"/>
    <w:rsid w:val="00C773F1"/>
    <w:rsid w:val="00C809F9"/>
    <w:rsid w:val="00C838E9"/>
    <w:rsid w:val="00C900CB"/>
    <w:rsid w:val="00C92D83"/>
    <w:rsid w:val="00C93416"/>
    <w:rsid w:val="00C94AE1"/>
    <w:rsid w:val="00C96058"/>
    <w:rsid w:val="00C978C3"/>
    <w:rsid w:val="00C97E4E"/>
    <w:rsid w:val="00C97F42"/>
    <w:rsid w:val="00C97FDD"/>
    <w:rsid w:val="00CA12AE"/>
    <w:rsid w:val="00CA20F8"/>
    <w:rsid w:val="00CA361E"/>
    <w:rsid w:val="00CA3785"/>
    <w:rsid w:val="00CA4050"/>
    <w:rsid w:val="00CA44ED"/>
    <w:rsid w:val="00CA61E1"/>
    <w:rsid w:val="00CA6297"/>
    <w:rsid w:val="00CA649B"/>
    <w:rsid w:val="00CA6723"/>
    <w:rsid w:val="00CA68D0"/>
    <w:rsid w:val="00CB11C3"/>
    <w:rsid w:val="00CB22CE"/>
    <w:rsid w:val="00CB2831"/>
    <w:rsid w:val="00CB2FF1"/>
    <w:rsid w:val="00CB35A5"/>
    <w:rsid w:val="00CB391D"/>
    <w:rsid w:val="00CB5688"/>
    <w:rsid w:val="00CB7787"/>
    <w:rsid w:val="00CB79CE"/>
    <w:rsid w:val="00CB7C5C"/>
    <w:rsid w:val="00CC01B7"/>
    <w:rsid w:val="00CC1C8B"/>
    <w:rsid w:val="00CC222E"/>
    <w:rsid w:val="00CC2C85"/>
    <w:rsid w:val="00CC45D2"/>
    <w:rsid w:val="00CC6907"/>
    <w:rsid w:val="00CD0BF2"/>
    <w:rsid w:val="00CD238C"/>
    <w:rsid w:val="00CD2A99"/>
    <w:rsid w:val="00CD332C"/>
    <w:rsid w:val="00CD3C13"/>
    <w:rsid w:val="00CD5CF1"/>
    <w:rsid w:val="00CE14DA"/>
    <w:rsid w:val="00CE36DF"/>
    <w:rsid w:val="00CE40CB"/>
    <w:rsid w:val="00CE7207"/>
    <w:rsid w:val="00CF0036"/>
    <w:rsid w:val="00CF09EA"/>
    <w:rsid w:val="00CF16C1"/>
    <w:rsid w:val="00CF17E2"/>
    <w:rsid w:val="00CF218F"/>
    <w:rsid w:val="00CF29F6"/>
    <w:rsid w:val="00CF2F42"/>
    <w:rsid w:val="00CF3B2F"/>
    <w:rsid w:val="00CF48F6"/>
    <w:rsid w:val="00CF65DB"/>
    <w:rsid w:val="00CF713C"/>
    <w:rsid w:val="00CF71AA"/>
    <w:rsid w:val="00CF7F60"/>
    <w:rsid w:val="00D0169C"/>
    <w:rsid w:val="00D03F73"/>
    <w:rsid w:val="00D0492A"/>
    <w:rsid w:val="00D0579D"/>
    <w:rsid w:val="00D05B73"/>
    <w:rsid w:val="00D07552"/>
    <w:rsid w:val="00D103EA"/>
    <w:rsid w:val="00D105FD"/>
    <w:rsid w:val="00D13BBC"/>
    <w:rsid w:val="00D146E1"/>
    <w:rsid w:val="00D14E92"/>
    <w:rsid w:val="00D1663B"/>
    <w:rsid w:val="00D171EA"/>
    <w:rsid w:val="00D17DFC"/>
    <w:rsid w:val="00D23190"/>
    <w:rsid w:val="00D236F9"/>
    <w:rsid w:val="00D23BE5"/>
    <w:rsid w:val="00D24E2A"/>
    <w:rsid w:val="00D26277"/>
    <w:rsid w:val="00D3064F"/>
    <w:rsid w:val="00D32AF3"/>
    <w:rsid w:val="00D33376"/>
    <w:rsid w:val="00D33A76"/>
    <w:rsid w:val="00D35785"/>
    <w:rsid w:val="00D3628F"/>
    <w:rsid w:val="00D36F27"/>
    <w:rsid w:val="00D377F5"/>
    <w:rsid w:val="00D412BB"/>
    <w:rsid w:val="00D41AB7"/>
    <w:rsid w:val="00D421EC"/>
    <w:rsid w:val="00D42213"/>
    <w:rsid w:val="00D43E39"/>
    <w:rsid w:val="00D43F73"/>
    <w:rsid w:val="00D43F83"/>
    <w:rsid w:val="00D44A7B"/>
    <w:rsid w:val="00D44CB1"/>
    <w:rsid w:val="00D454FC"/>
    <w:rsid w:val="00D4585E"/>
    <w:rsid w:val="00D47D8A"/>
    <w:rsid w:val="00D53C2E"/>
    <w:rsid w:val="00D545E8"/>
    <w:rsid w:val="00D549BF"/>
    <w:rsid w:val="00D54F56"/>
    <w:rsid w:val="00D56C4C"/>
    <w:rsid w:val="00D618D0"/>
    <w:rsid w:val="00D61CAC"/>
    <w:rsid w:val="00D63D79"/>
    <w:rsid w:val="00D65D2A"/>
    <w:rsid w:val="00D6629E"/>
    <w:rsid w:val="00D66394"/>
    <w:rsid w:val="00D67ABC"/>
    <w:rsid w:val="00D70EE8"/>
    <w:rsid w:val="00D73265"/>
    <w:rsid w:val="00D73A04"/>
    <w:rsid w:val="00D7787D"/>
    <w:rsid w:val="00D77A48"/>
    <w:rsid w:val="00D8069A"/>
    <w:rsid w:val="00D808B6"/>
    <w:rsid w:val="00D80C4E"/>
    <w:rsid w:val="00D821D1"/>
    <w:rsid w:val="00D82696"/>
    <w:rsid w:val="00D8356F"/>
    <w:rsid w:val="00D83912"/>
    <w:rsid w:val="00D840B8"/>
    <w:rsid w:val="00D84F49"/>
    <w:rsid w:val="00D85109"/>
    <w:rsid w:val="00D85AE3"/>
    <w:rsid w:val="00D85B08"/>
    <w:rsid w:val="00D86113"/>
    <w:rsid w:val="00D873F5"/>
    <w:rsid w:val="00D91217"/>
    <w:rsid w:val="00D932A6"/>
    <w:rsid w:val="00D93C4B"/>
    <w:rsid w:val="00D95640"/>
    <w:rsid w:val="00D95659"/>
    <w:rsid w:val="00D95D0A"/>
    <w:rsid w:val="00D97A49"/>
    <w:rsid w:val="00DA0B5C"/>
    <w:rsid w:val="00DA2F11"/>
    <w:rsid w:val="00DA2F76"/>
    <w:rsid w:val="00DA301F"/>
    <w:rsid w:val="00DA361E"/>
    <w:rsid w:val="00DA419E"/>
    <w:rsid w:val="00DA42EF"/>
    <w:rsid w:val="00DA50BF"/>
    <w:rsid w:val="00DA6972"/>
    <w:rsid w:val="00DA77D4"/>
    <w:rsid w:val="00DA7B43"/>
    <w:rsid w:val="00DB11EB"/>
    <w:rsid w:val="00DB5652"/>
    <w:rsid w:val="00DB5D26"/>
    <w:rsid w:val="00DB6C41"/>
    <w:rsid w:val="00DB70C4"/>
    <w:rsid w:val="00DB7BFC"/>
    <w:rsid w:val="00DC1142"/>
    <w:rsid w:val="00DC21CE"/>
    <w:rsid w:val="00DC3015"/>
    <w:rsid w:val="00DC3E89"/>
    <w:rsid w:val="00DC3F1E"/>
    <w:rsid w:val="00DC5666"/>
    <w:rsid w:val="00DC63E2"/>
    <w:rsid w:val="00DC6649"/>
    <w:rsid w:val="00DC7D11"/>
    <w:rsid w:val="00DD0642"/>
    <w:rsid w:val="00DD0E0E"/>
    <w:rsid w:val="00DD12C1"/>
    <w:rsid w:val="00DD2907"/>
    <w:rsid w:val="00DD2B6F"/>
    <w:rsid w:val="00DD2CF3"/>
    <w:rsid w:val="00DD60C6"/>
    <w:rsid w:val="00DD7275"/>
    <w:rsid w:val="00DD761A"/>
    <w:rsid w:val="00DE0610"/>
    <w:rsid w:val="00DE0DA0"/>
    <w:rsid w:val="00DE0EB3"/>
    <w:rsid w:val="00DE13D7"/>
    <w:rsid w:val="00DE2034"/>
    <w:rsid w:val="00DE23AA"/>
    <w:rsid w:val="00DE7114"/>
    <w:rsid w:val="00DE72F2"/>
    <w:rsid w:val="00DF0A74"/>
    <w:rsid w:val="00DF2312"/>
    <w:rsid w:val="00DF2343"/>
    <w:rsid w:val="00DF3E7A"/>
    <w:rsid w:val="00DF47FD"/>
    <w:rsid w:val="00DF5911"/>
    <w:rsid w:val="00DF5B9E"/>
    <w:rsid w:val="00E00330"/>
    <w:rsid w:val="00E00471"/>
    <w:rsid w:val="00E01108"/>
    <w:rsid w:val="00E0238A"/>
    <w:rsid w:val="00E02FC6"/>
    <w:rsid w:val="00E034B9"/>
    <w:rsid w:val="00E042C0"/>
    <w:rsid w:val="00E049FC"/>
    <w:rsid w:val="00E05B34"/>
    <w:rsid w:val="00E0788B"/>
    <w:rsid w:val="00E07D24"/>
    <w:rsid w:val="00E07EAE"/>
    <w:rsid w:val="00E10351"/>
    <w:rsid w:val="00E109C0"/>
    <w:rsid w:val="00E118B4"/>
    <w:rsid w:val="00E14D42"/>
    <w:rsid w:val="00E170CB"/>
    <w:rsid w:val="00E2055D"/>
    <w:rsid w:val="00E22CBC"/>
    <w:rsid w:val="00E23DA8"/>
    <w:rsid w:val="00E23DEB"/>
    <w:rsid w:val="00E262BA"/>
    <w:rsid w:val="00E26C98"/>
    <w:rsid w:val="00E30D1C"/>
    <w:rsid w:val="00E30F0B"/>
    <w:rsid w:val="00E321B4"/>
    <w:rsid w:val="00E33388"/>
    <w:rsid w:val="00E33570"/>
    <w:rsid w:val="00E37A67"/>
    <w:rsid w:val="00E413B9"/>
    <w:rsid w:val="00E42322"/>
    <w:rsid w:val="00E42AA2"/>
    <w:rsid w:val="00E47452"/>
    <w:rsid w:val="00E4795A"/>
    <w:rsid w:val="00E5033F"/>
    <w:rsid w:val="00E50B62"/>
    <w:rsid w:val="00E5111C"/>
    <w:rsid w:val="00E54442"/>
    <w:rsid w:val="00E54685"/>
    <w:rsid w:val="00E5472E"/>
    <w:rsid w:val="00E55203"/>
    <w:rsid w:val="00E55429"/>
    <w:rsid w:val="00E55A37"/>
    <w:rsid w:val="00E56452"/>
    <w:rsid w:val="00E56572"/>
    <w:rsid w:val="00E56F92"/>
    <w:rsid w:val="00E575DC"/>
    <w:rsid w:val="00E601A3"/>
    <w:rsid w:val="00E60BE9"/>
    <w:rsid w:val="00E61CBE"/>
    <w:rsid w:val="00E63297"/>
    <w:rsid w:val="00E6707C"/>
    <w:rsid w:val="00E677C2"/>
    <w:rsid w:val="00E7028E"/>
    <w:rsid w:val="00E70A58"/>
    <w:rsid w:val="00E714A5"/>
    <w:rsid w:val="00E71885"/>
    <w:rsid w:val="00E72CA3"/>
    <w:rsid w:val="00E72FDB"/>
    <w:rsid w:val="00E73A9F"/>
    <w:rsid w:val="00E742D4"/>
    <w:rsid w:val="00E7523E"/>
    <w:rsid w:val="00E753F8"/>
    <w:rsid w:val="00E77513"/>
    <w:rsid w:val="00E77A7D"/>
    <w:rsid w:val="00E84237"/>
    <w:rsid w:val="00E85BC3"/>
    <w:rsid w:val="00E85C41"/>
    <w:rsid w:val="00E86439"/>
    <w:rsid w:val="00E87668"/>
    <w:rsid w:val="00E87937"/>
    <w:rsid w:val="00E87AD1"/>
    <w:rsid w:val="00E90CFB"/>
    <w:rsid w:val="00E91ADC"/>
    <w:rsid w:val="00E92BEF"/>
    <w:rsid w:val="00E93F51"/>
    <w:rsid w:val="00E94028"/>
    <w:rsid w:val="00E953BF"/>
    <w:rsid w:val="00E96250"/>
    <w:rsid w:val="00E97CD6"/>
    <w:rsid w:val="00EA0D65"/>
    <w:rsid w:val="00EA38C4"/>
    <w:rsid w:val="00EA4A4C"/>
    <w:rsid w:val="00EA4D04"/>
    <w:rsid w:val="00EA5037"/>
    <w:rsid w:val="00EA5CE6"/>
    <w:rsid w:val="00EA5EA0"/>
    <w:rsid w:val="00EA6694"/>
    <w:rsid w:val="00EB05F2"/>
    <w:rsid w:val="00EB0986"/>
    <w:rsid w:val="00EB0D40"/>
    <w:rsid w:val="00EB1198"/>
    <w:rsid w:val="00EB11C7"/>
    <w:rsid w:val="00EB1917"/>
    <w:rsid w:val="00EB247F"/>
    <w:rsid w:val="00EB3374"/>
    <w:rsid w:val="00EB5464"/>
    <w:rsid w:val="00EB5722"/>
    <w:rsid w:val="00EB5CCC"/>
    <w:rsid w:val="00EB5F4E"/>
    <w:rsid w:val="00EC10CA"/>
    <w:rsid w:val="00EC1848"/>
    <w:rsid w:val="00EC2190"/>
    <w:rsid w:val="00EC2DBF"/>
    <w:rsid w:val="00EC2F98"/>
    <w:rsid w:val="00EC430C"/>
    <w:rsid w:val="00EC4816"/>
    <w:rsid w:val="00EC4C0D"/>
    <w:rsid w:val="00EC619D"/>
    <w:rsid w:val="00EC7490"/>
    <w:rsid w:val="00EC767E"/>
    <w:rsid w:val="00EC7957"/>
    <w:rsid w:val="00ED0202"/>
    <w:rsid w:val="00ED3C4A"/>
    <w:rsid w:val="00ED4335"/>
    <w:rsid w:val="00ED491A"/>
    <w:rsid w:val="00ED4BBB"/>
    <w:rsid w:val="00ED5659"/>
    <w:rsid w:val="00ED5AA5"/>
    <w:rsid w:val="00ED7283"/>
    <w:rsid w:val="00ED77D5"/>
    <w:rsid w:val="00EE2089"/>
    <w:rsid w:val="00EE20E2"/>
    <w:rsid w:val="00EE2431"/>
    <w:rsid w:val="00EE25AA"/>
    <w:rsid w:val="00EE4FD2"/>
    <w:rsid w:val="00EE538E"/>
    <w:rsid w:val="00EE660E"/>
    <w:rsid w:val="00EF2CB4"/>
    <w:rsid w:val="00EF32BF"/>
    <w:rsid w:val="00EF42E4"/>
    <w:rsid w:val="00EF53B7"/>
    <w:rsid w:val="00EF5615"/>
    <w:rsid w:val="00EF5775"/>
    <w:rsid w:val="00EF64E4"/>
    <w:rsid w:val="00EF6FD4"/>
    <w:rsid w:val="00EF7D34"/>
    <w:rsid w:val="00F0232A"/>
    <w:rsid w:val="00F02A1F"/>
    <w:rsid w:val="00F05E12"/>
    <w:rsid w:val="00F06F22"/>
    <w:rsid w:val="00F10AF5"/>
    <w:rsid w:val="00F12537"/>
    <w:rsid w:val="00F14023"/>
    <w:rsid w:val="00F14454"/>
    <w:rsid w:val="00F14AB3"/>
    <w:rsid w:val="00F153B0"/>
    <w:rsid w:val="00F15702"/>
    <w:rsid w:val="00F17B09"/>
    <w:rsid w:val="00F17B6D"/>
    <w:rsid w:val="00F17F8C"/>
    <w:rsid w:val="00F2086E"/>
    <w:rsid w:val="00F20C4C"/>
    <w:rsid w:val="00F21A3B"/>
    <w:rsid w:val="00F2422A"/>
    <w:rsid w:val="00F24921"/>
    <w:rsid w:val="00F25B35"/>
    <w:rsid w:val="00F26227"/>
    <w:rsid w:val="00F27433"/>
    <w:rsid w:val="00F27D01"/>
    <w:rsid w:val="00F30319"/>
    <w:rsid w:val="00F31072"/>
    <w:rsid w:val="00F310EB"/>
    <w:rsid w:val="00F3152C"/>
    <w:rsid w:val="00F3174F"/>
    <w:rsid w:val="00F3204A"/>
    <w:rsid w:val="00F32D67"/>
    <w:rsid w:val="00F32DEC"/>
    <w:rsid w:val="00F33448"/>
    <w:rsid w:val="00F334C1"/>
    <w:rsid w:val="00F33707"/>
    <w:rsid w:val="00F33B6C"/>
    <w:rsid w:val="00F33C99"/>
    <w:rsid w:val="00F33E3F"/>
    <w:rsid w:val="00F3529E"/>
    <w:rsid w:val="00F359E4"/>
    <w:rsid w:val="00F3716D"/>
    <w:rsid w:val="00F405A5"/>
    <w:rsid w:val="00F4129B"/>
    <w:rsid w:val="00F42BB5"/>
    <w:rsid w:val="00F43716"/>
    <w:rsid w:val="00F44671"/>
    <w:rsid w:val="00F452BB"/>
    <w:rsid w:val="00F4768C"/>
    <w:rsid w:val="00F478FE"/>
    <w:rsid w:val="00F47CB9"/>
    <w:rsid w:val="00F50B1A"/>
    <w:rsid w:val="00F50B75"/>
    <w:rsid w:val="00F5155E"/>
    <w:rsid w:val="00F52065"/>
    <w:rsid w:val="00F5389C"/>
    <w:rsid w:val="00F538E7"/>
    <w:rsid w:val="00F53D70"/>
    <w:rsid w:val="00F56822"/>
    <w:rsid w:val="00F568BD"/>
    <w:rsid w:val="00F57150"/>
    <w:rsid w:val="00F57749"/>
    <w:rsid w:val="00F57D68"/>
    <w:rsid w:val="00F61DD7"/>
    <w:rsid w:val="00F646BE"/>
    <w:rsid w:val="00F70FDF"/>
    <w:rsid w:val="00F716AD"/>
    <w:rsid w:val="00F71A32"/>
    <w:rsid w:val="00F720C1"/>
    <w:rsid w:val="00F73311"/>
    <w:rsid w:val="00F744FF"/>
    <w:rsid w:val="00F75929"/>
    <w:rsid w:val="00F76193"/>
    <w:rsid w:val="00F76307"/>
    <w:rsid w:val="00F7708A"/>
    <w:rsid w:val="00F80B92"/>
    <w:rsid w:val="00F823A0"/>
    <w:rsid w:val="00F8397D"/>
    <w:rsid w:val="00F84FDF"/>
    <w:rsid w:val="00F85A71"/>
    <w:rsid w:val="00F86346"/>
    <w:rsid w:val="00F86931"/>
    <w:rsid w:val="00F8745F"/>
    <w:rsid w:val="00F87EE0"/>
    <w:rsid w:val="00F938F3"/>
    <w:rsid w:val="00F941F9"/>
    <w:rsid w:val="00F94B05"/>
    <w:rsid w:val="00F95120"/>
    <w:rsid w:val="00F9527D"/>
    <w:rsid w:val="00F952BC"/>
    <w:rsid w:val="00F9685B"/>
    <w:rsid w:val="00F97926"/>
    <w:rsid w:val="00F97C1E"/>
    <w:rsid w:val="00FA034C"/>
    <w:rsid w:val="00FA0564"/>
    <w:rsid w:val="00FA194E"/>
    <w:rsid w:val="00FA4388"/>
    <w:rsid w:val="00FA43DF"/>
    <w:rsid w:val="00FB199D"/>
    <w:rsid w:val="00FB4DA3"/>
    <w:rsid w:val="00FB4F3D"/>
    <w:rsid w:val="00FB4FB8"/>
    <w:rsid w:val="00FB56DA"/>
    <w:rsid w:val="00FB5E50"/>
    <w:rsid w:val="00FB72BC"/>
    <w:rsid w:val="00FB77C3"/>
    <w:rsid w:val="00FB7943"/>
    <w:rsid w:val="00FC11EB"/>
    <w:rsid w:val="00FC14AF"/>
    <w:rsid w:val="00FC1793"/>
    <w:rsid w:val="00FC308C"/>
    <w:rsid w:val="00FC315F"/>
    <w:rsid w:val="00FC385A"/>
    <w:rsid w:val="00FC3AAD"/>
    <w:rsid w:val="00FC473B"/>
    <w:rsid w:val="00FC4F84"/>
    <w:rsid w:val="00FC5F47"/>
    <w:rsid w:val="00FC60C5"/>
    <w:rsid w:val="00FC720A"/>
    <w:rsid w:val="00FC7AC2"/>
    <w:rsid w:val="00FC7F88"/>
    <w:rsid w:val="00FC7FE9"/>
    <w:rsid w:val="00FD04D3"/>
    <w:rsid w:val="00FD12E0"/>
    <w:rsid w:val="00FD346A"/>
    <w:rsid w:val="00FD4AB0"/>
    <w:rsid w:val="00FD5EE5"/>
    <w:rsid w:val="00FD79B4"/>
    <w:rsid w:val="00FD7C2D"/>
    <w:rsid w:val="00FE1DAA"/>
    <w:rsid w:val="00FE2BD9"/>
    <w:rsid w:val="00FE30C6"/>
    <w:rsid w:val="00FE33A0"/>
    <w:rsid w:val="00FE48D0"/>
    <w:rsid w:val="00FE5882"/>
    <w:rsid w:val="00FF3414"/>
    <w:rsid w:val="00FF54A7"/>
    <w:rsid w:val="00FF5CFF"/>
    <w:rsid w:val="00FF6B86"/>
    <w:rsid w:val="00FF6DF6"/>
    <w:rsid w:val="00FF7FD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45"/>
    <o:shapelayout v:ext="edit">
      <o:idmap v:ext="edit" data="1"/>
    </o:shapelayout>
  </w:shapeDefaults>
  <w:decimalSymbol w:val=","/>
  <w:listSeparator w:val=";"/>
  <w15:docId w15:val="{7F81FEEF-A085-4F28-B117-3A461DDCBD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semiHidden="1"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7927E1"/>
    <w:pPr>
      <w:spacing w:after="200" w:line="276" w:lineRule="auto"/>
    </w:pPr>
    <w:rPr>
      <w:lang w:eastAsia="en-US"/>
    </w:rPr>
  </w:style>
  <w:style w:type="paragraph" w:styleId="1">
    <w:name w:val="heading 1"/>
    <w:aliases w:val="Заголовок 1 Знак Знак,Заголовок 1 Знак Знак Знак"/>
    <w:basedOn w:val="a0"/>
    <w:next w:val="a0"/>
    <w:link w:val="10"/>
    <w:uiPriority w:val="99"/>
    <w:qFormat/>
    <w:rsid w:val="00C144CB"/>
    <w:pPr>
      <w:keepNext/>
      <w:pageBreakBefore/>
      <w:tabs>
        <w:tab w:val="left" w:pos="851"/>
      </w:tabs>
      <w:spacing w:before="240" w:after="120" w:line="240" w:lineRule="auto"/>
      <w:jc w:val="center"/>
      <w:outlineLvl w:val="0"/>
    </w:pPr>
    <w:rPr>
      <w:rFonts w:ascii="Times New Roman" w:eastAsia="Times New Roman" w:hAnsi="Times New Roman"/>
      <w:b/>
      <w:bCs/>
      <w:caps/>
      <w:kern w:val="32"/>
      <w:sz w:val="24"/>
      <w:szCs w:val="28"/>
    </w:rPr>
  </w:style>
  <w:style w:type="paragraph" w:styleId="2">
    <w:name w:val="heading 2"/>
    <w:aliases w:val="Знак2 Знак,Знак2,Знак2 Знак Знак Знак,Знак2 Знак1,Заголовок 2 Знак1,Заголовок 2 Знак Знак,ГЛАВА"/>
    <w:basedOn w:val="a0"/>
    <w:next w:val="a0"/>
    <w:link w:val="20"/>
    <w:uiPriority w:val="99"/>
    <w:qFormat/>
    <w:rsid w:val="007927E1"/>
    <w:pPr>
      <w:keepNext/>
      <w:tabs>
        <w:tab w:val="left" w:pos="1134"/>
        <w:tab w:val="left" w:pos="1276"/>
      </w:tabs>
      <w:spacing w:before="180" w:after="60" w:line="240" w:lineRule="auto"/>
      <w:outlineLvl w:val="1"/>
    </w:pPr>
    <w:rPr>
      <w:rFonts w:ascii="Times New Roman" w:eastAsia="Times New Roman" w:hAnsi="Times New Roman"/>
      <w:b/>
      <w:bCs/>
      <w:iCs/>
      <w:sz w:val="28"/>
      <w:szCs w:val="28"/>
      <w:lang w:eastAsia="ru-RU"/>
    </w:rPr>
  </w:style>
  <w:style w:type="paragraph" w:styleId="3">
    <w:name w:val="heading 3"/>
    <w:basedOn w:val="a0"/>
    <w:next w:val="a0"/>
    <w:link w:val="30"/>
    <w:uiPriority w:val="99"/>
    <w:qFormat/>
    <w:rsid w:val="00305B85"/>
    <w:pPr>
      <w:keepNext/>
      <w:spacing w:after="0" w:line="360" w:lineRule="auto"/>
      <w:jc w:val="both"/>
      <w:outlineLvl w:val="2"/>
    </w:pPr>
    <w:rPr>
      <w:rFonts w:ascii="Times New Roman" w:eastAsia="Times New Roman" w:hAnsi="Times New Roman"/>
      <w:b/>
      <w:bCs/>
      <w:sz w:val="24"/>
      <w:szCs w:val="26"/>
    </w:rPr>
  </w:style>
  <w:style w:type="paragraph" w:styleId="4">
    <w:name w:val="heading 4"/>
    <w:basedOn w:val="a0"/>
    <w:next w:val="a0"/>
    <w:link w:val="40"/>
    <w:uiPriority w:val="99"/>
    <w:qFormat/>
    <w:rsid w:val="00F02A1F"/>
    <w:pPr>
      <w:keepNext/>
      <w:spacing w:before="240" w:after="60" w:line="240" w:lineRule="auto"/>
      <w:outlineLvl w:val="3"/>
    </w:pPr>
    <w:rPr>
      <w:b/>
      <w:bCs/>
      <w:sz w:val="28"/>
      <w:szCs w:val="28"/>
      <w:lang w:val="en-US" w:eastAsia="ru-RU"/>
    </w:rPr>
  </w:style>
  <w:style w:type="paragraph" w:styleId="5">
    <w:name w:val="heading 5"/>
    <w:basedOn w:val="a0"/>
    <w:next w:val="a0"/>
    <w:link w:val="50"/>
    <w:uiPriority w:val="99"/>
    <w:qFormat/>
    <w:rsid w:val="00F02A1F"/>
    <w:pPr>
      <w:spacing w:before="240" w:after="60" w:line="240" w:lineRule="auto"/>
      <w:outlineLvl w:val="4"/>
    </w:pPr>
    <w:rPr>
      <w:b/>
      <w:bCs/>
      <w:i/>
      <w:iCs/>
      <w:sz w:val="26"/>
      <w:szCs w:val="26"/>
      <w:lang w:val="en-US" w:eastAsia="ru-RU"/>
    </w:rPr>
  </w:style>
  <w:style w:type="paragraph" w:styleId="6">
    <w:name w:val="heading 6"/>
    <w:basedOn w:val="a0"/>
    <w:next w:val="a0"/>
    <w:link w:val="60"/>
    <w:uiPriority w:val="99"/>
    <w:qFormat/>
    <w:rsid w:val="005C4A9C"/>
    <w:pPr>
      <w:keepNext/>
      <w:keepLines/>
      <w:spacing w:before="200" w:after="0"/>
      <w:outlineLvl w:val="5"/>
    </w:pPr>
    <w:rPr>
      <w:rFonts w:ascii="Cambria" w:eastAsia="Times New Roman" w:hAnsi="Cambria"/>
      <w:i/>
      <w:iCs/>
      <w:color w:val="243F60"/>
      <w:sz w:val="20"/>
      <w:szCs w:val="20"/>
      <w:lang w:eastAsia="ru-RU"/>
    </w:rPr>
  </w:style>
  <w:style w:type="paragraph" w:styleId="7">
    <w:name w:val="heading 7"/>
    <w:basedOn w:val="a0"/>
    <w:next w:val="a0"/>
    <w:link w:val="70"/>
    <w:uiPriority w:val="99"/>
    <w:qFormat/>
    <w:rsid w:val="00F02A1F"/>
    <w:pPr>
      <w:spacing w:before="240" w:after="60" w:line="240" w:lineRule="auto"/>
      <w:outlineLvl w:val="6"/>
    </w:pPr>
    <w:rPr>
      <w:sz w:val="24"/>
      <w:szCs w:val="24"/>
      <w:lang w:val="en-US" w:eastAsia="ru-RU"/>
    </w:rPr>
  </w:style>
  <w:style w:type="paragraph" w:styleId="8">
    <w:name w:val="heading 8"/>
    <w:basedOn w:val="a0"/>
    <w:next w:val="a0"/>
    <w:link w:val="80"/>
    <w:uiPriority w:val="99"/>
    <w:qFormat/>
    <w:rsid w:val="00F02A1F"/>
    <w:pPr>
      <w:spacing w:before="240" w:after="60" w:line="240" w:lineRule="auto"/>
      <w:outlineLvl w:val="7"/>
    </w:pPr>
    <w:rPr>
      <w:i/>
      <w:iCs/>
      <w:sz w:val="24"/>
      <w:szCs w:val="24"/>
      <w:lang w:val="en-US" w:eastAsia="ru-RU"/>
    </w:rPr>
  </w:style>
  <w:style w:type="paragraph" w:styleId="9">
    <w:name w:val="heading 9"/>
    <w:basedOn w:val="a0"/>
    <w:next w:val="a0"/>
    <w:link w:val="90"/>
    <w:uiPriority w:val="99"/>
    <w:qFormat/>
    <w:rsid w:val="00F02A1F"/>
    <w:pPr>
      <w:spacing w:before="240" w:after="60" w:line="240" w:lineRule="auto"/>
      <w:outlineLvl w:val="8"/>
    </w:pPr>
    <w:rPr>
      <w:rFonts w:ascii="Cambria" w:eastAsia="Times New Roman" w:hAnsi="Cambria"/>
      <w:sz w:val="20"/>
      <w:szCs w:val="20"/>
      <w:lang w:val="en-US"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аголовок 1 Знак Знак Знак1,Заголовок 1 Знак Знак Знак Знак"/>
    <w:basedOn w:val="a1"/>
    <w:link w:val="1"/>
    <w:uiPriority w:val="99"/>
    <w:locked/>
    <w:rsid w:val="00C144CB"/>
    <w:rPr>
      <w:rFonts w:ascii="Times New Roman" w:hAnsi="Times New Roman" w:cs="Times New Roman"/>
      <w:b/>
      <w:caps/>
      <w:kern w:val="32"/>
      <w:sz w:val="28"/>
      <w:lang w:eastAsia="en-US"/>
    </w:rPr>
  </w:style>
  <w:style w:type="character" w:customStyle="1" w:styleId="20">
    <w:name w:val="Заголовок 2 Знак"/>
    <w:aliases w:val="Знак2 Знак Знак,Знак2 Знак2,Знак2 Знак Знак Знак Знак,Знак2 Знак1 Знак,Заголовок 2 Знак1 Знак,Заголовок 2 Знак Знак Знак,ГЛАВА Знак"/>
    <w:basedOn w:val="a1"/>
    <w:link w:val="2"/>
    <w:uiPriority w:val="99"/>
    <w:locked/>
    <w:rsid w:val="007927E1"/>
    <w:rPr>
      <w:rFonts w:ascii="Times New Roman" w:hAnsi="Times New Roman" w:cs="Times New Roman"/>
      <w:b/>
      <w:sz w:val="28"/>
    </w:rPr>
  </w:style>
  <w:style w:type="character" w:customStyle="1" w:styleId="30">
    <w:name w:val="Заголовок 3 Знак"/>
    <w:basedOn w:val="a1"/>
    <w:link w:val="3"/>
    <w:uiPriority w:val="99"/>
    <w:locked/>
    <w:rsid w:val="00305B85"/>
    <w:rPr>
      <w:rFonts w:ascii="Times New Roman" w:hAnsi="Times New Roman" w:cs="Times New Roman"/>
      <w:b/>
      <w:sz w:val="26"/>
      <w:lang w:eastAsia="en-US"/>
    </w:rPr>
  </w:style>
  <w:style w:type="character" w:customStyle="1" w:styleId="40">
    <w:name w:val="Заголовок 4 Знак"/>
    <w:basedOn w:val="a1"/>
    <w:link w:val="4"/>
    <w:uiPriority w:val="99"/>
    <w:locked/>
    <w:rsid w:val="00F02A1F"/>
    <w:rPr>
      <w:rFonts w:cs="Times New Roman"/>
      <w:b/>
      <w:sz w:val="28"/>
      <w:lang w:val="en-US"/>
    </w:rPr>
  </w:style>
  <w:style w:type="character" w:customStyle="1" w:styleId="50">
    <w:name w:val="Заголовок 5 Знак"/>
    <w:basedOn w:val="a1"/>
    <w:link w:val="5"/>
    <w:uiPriority w:val="99"/>
    <w:locked/>
    <w:rsid w:val="00F02A1F"/>
    <w:rPr>
      <w:rFonts w:cs="Times New Roman"/>
      <w:b/>
      <w:i/>
      <w:sz w:val="26"/>
      <w:lang w:val="en-US"/>
    </w:rPr>
  </w:style>
  <w:style w:type="character" w:customStyle="1" w:styleId="60">
    <w:name w:val="Заголовок 6 Знак"/>
    <w:basedOn w:val="a1"/>
    <w:link w:val="6"/>
    <w:uiPriority w:val="99"/>
    <w:locked/>
    <w:rsid w:val="005C4A9C"/>
    <w:rPr>
      <w:rFonts w:ascii="Cambria" w:hAnsi="Cambria" w:cs="Times New Roman"/>
      <w:i/>
      <w:color w:val="243F60"/>
    </w:rPr>
  </w:style>
  <w:style w:type="character" w:customStyle="1" w:styleId="70">
    <w:name w:val="Заголовок 7 Знак"/>
    <w:basedOn w:val="a1"/>
    <w:link w:val="7"/>
    <w:uiPriority w:val="99"/>
    <w:semiHidden/>
    <w:locked/>
    <w:rsid w:val="00F02A1F"/>
    <w:rPr>
      <w:rFonts w:cs="Times New Roman"/>
      <w:sz w:val="24"/>
      <w:lang w:val="en-US"/>
    </w:rPr>
  </w:style>
  <w:style w:type="character" w:customStyle="1" w:styleId="80">
    <w:name w:val="Заголовок 8 Знак"/>
    <w:basedOn w:val="a1"/>
    <w:link w:val="8"/>
    <w:uiPriority w:val="99"/>
    <w:semiHidden/>
    <w:locked/>
    <w:rsid w:val="00F02A1F"/>
    <w:rPr>
      <w:rFonts w:cs="Times New Roman"/>
      <w:i/>
      <w:sz w:val="24"/>
      <w:lang w:val="en-US"/>
    </w:rPr>
  </w:style>
  <w:style w:type="character" w:customStyle="1" w:styleId="90">
    <w:name w:val="Заголовок 9 Знак"/>
    <w:basedOn w:val="a1"/>
    <w:link w:val="9"/>
    <w:uiPriority w:val="99"/>
    <w:semiHidden/>
    <w:locked/>
    <w:rsid w:val="00F02A1F"/>
    <w:rPr>
      <w:rFonts w:ascii="Cambria" w:hAnsi="Cambria" w:cs="Times New Roman"/>
      <w:lang w:val="en-US"/>
    </w:rPr>
  </w:style>
  <w:style w:type="character" w:styleId="a4">
    <w:name w:val="Hyperlink"/>
    <w:basedOn w:val="a1"/>
    <w:uiPriority w:val="99"/>
    <w:rsid w:val="007927E1"/>
    <w:rPr>
      <w:rFonts w:ascii="Times New Roman" w:hAnsi="Times New Roman" w:cs="Times New Roman"/>
      <w:color w:val="0000FF"/>
      <w:u w:val="single"/>
    </w:rPr>
  </w:style>
  <w:style w:type="paragraph" w:styleId="11">
    <w:name w:val="toc 1"/>
    <w:basedOn w:val="a0"/>
    <w:next w:val="a0"/>
    <w:autoRedefine/>
    <w:uiPriority w:val="99"/>
    <w:rsid w:val="00DB70C4"/>
    <w:pPr>
      <w:tabs>
        <w:tab w:val="left" w:pos="0"/>
        <w:tab w:val="right" w:leader="dot" w:pos="8580"/>
      </w:tabs>
      <w:spacing w:after="0" w:line="360" w:lineRule="auto"/>
      <w:jc w:val="both"/>
    </w:pPr>
    <w:rPr>
      <w:rFonts w:eastAsia="Times New Roman"/>
      <w:noProof/>
      <w:color w:val="FF0000"/>
      <w:sz w:val="24"/>
      <w:szCs w:val="24"/>
      <w:lang w:eastAsia="ru-RU"/>
    </w:rPr>
  </w:style>
  <w:style w:type="paragraph" w:styleId="21">
    <w:name w:val="toc 2"/>
    <w:basedOn w:val="a0"/>
    <w:next w:val="a0"/>
    <w:autoRedefine/>
    <w:uiPriority w:val="99"/>
    <w:rsid w:val="007927E1"/>
    <w:pPr>
      <w:spacing w:after="100"/>
      <w:ind w:left="220"/>
    </w:pPr>
    <w:rPr>
      <w:rFonts w:eastAsia="Times New Roman"/>
      <w:lang w:eastAsia="ru-RU"/>
    </w:rPr>
  </w:style>
  <w:style w:type="paragraph" w:styleId="a5">
    <w:name w:val="footer"/>
    <w:aliases w:val="Знак,Знак6,Знак14"/>
    <w:basedOn w:val="a0"/>
    <w:link w:val="a6"/>
    <w:uiPriority w:val="99"/>
    <w:rsid w:val="007927E1"/>
    <w:pPr>
      <w:tabs>
        <w:tab w:val="center" w:pos="4677"/>
        <w:tab w:val="right" w:pos="9355"/>
      </w:tabs>
      <w:spacing w:after="0" w:line="240" w:lineRule="auto"/>
      <w:ind w:firstLine="680"/>
      <w:jc w:val="both"/>
    </w:pPr>
    <w:rPr>
      <w:rFonts w:ascii="Times New Roman" w:eastAsia="Times New Roman" w:hAnsi="Times New Roman"/>
      <w:sz w:val="24"/>
      <w:szCs w:val="24"/>
      <w:lang w:eastAsia="ru-RU"/>
    </w:rPr>
  </w:style>
  <w:style w:type="character" w:customStyle="1" w:styleId="a6">
    <w:name w:val="Нижний колонтитул Знак"/>
    <w:aliases w:val="Знак Знак,Знак6 Знак,Знак14 Знак"/>
    <w:basedOn w:val="a1"/>
    <w:link w:val="a5"/>
    <w:uiPriority w:val="99"/>
    <w:locked/>
    <w:rsid w:val="007927E1"/>
    <w:rPr>
      <w:rFonts w:ascii="Times New Roman" w:hAnsi="Times New Roman" w:cs="Times New Roman"/>
      <w:sz w:val="24"/>
    </w:rPr>
  </w:style>
  <w:style w:type="paragraph" w:styleId="a7">
    <w:name w:val="List Paragraph"/>
    <w:basedOn w:val="a0"/>
    <w:link w:val="a8"/>
    <w:uiPriority w:val="99"/>
    <w:qFormat/>
    <w:rsid w:val="007927E1"/>
    <w:pPr>
      <w:ind w:left="720"/>
      <w:contextualSpacing/>
    </w:pPr>
    <w:rPr>
      <w:sz w:val="20"/>
      <w:szCs w:val="20"/>
      <w:lang w:eastAsia="ru-RU"/>
    </w:rPr>
  </w:style>
  <w:style w:type="character" w:customStyle="1" w:styleId="a8">
    <w:name w:val="Абзац списка Знак"/>
    <w:link w:val="a7"/>
    <w:uiPriority w:val="99"/>
    <w:locked/>
    <w:rsid w:val="007927E1"/>
    <w:rPr>
      <w:rFonts w:ascii="Calibri" w:hAnsi="Calibri"/>
    </w:rPr>
  </w:style>
  <w:style w:type="paragraph" w:styleId="a9">
    <w:name w:val="List"/>
    <w:basedOn w:val="a0"/>
    <w:link w:val="aa"/>
    <w:uiPriority w:val="99"/>
    <w:rsid w:val="002106E3"/>
    <w:pPr>
      <w:spacing w:after="60" w:line="240" w:lineRule="auto"/>
      <w:jc w:val="both"/>
    </w:pPr>
    <w:rPr>
      <w:rFonts w:ascii="Times New Roman" w:hAnsi="Times New Roman"/>
      <w:sz w:val="24"/>
      <w:szCs w:val="20"/>
      <w:lang w:eastAsia="ru-RU"/>
    </w:rPr>
  </w:style>
  <w:style w:type="character" w:customStyle="1" w:styleId="aa">
    <w:name w:val="Список Знак"/>
    <w:link w:val="a9"/>
    <w:uiPriority w:val="99"/>
    <w:locked/>
    <w:rsid w:val="002106E3"/>
    <w:rPr>
      <w:rFonts w:ascii="Times New Roman" w:hAnsi="Times New Roman"/>
      <w:sz w:val="24"/>
    </w:rPr>
  </w:style>
  <w:style w:type="paragraph" w:customStyle="1" w:styleId="ab">
    <w:name w:val="Абзац"/>
    <w:basedOn w:val="a0"/>
    <w:link w:val="ac"/>
    <w:uiPriority w:val="99"/>
    <w:rsid w:val="002106E3"/>
    <w:pPr>
      <w:spacing w:before="120" w:after="60" w:line="240" w:lineRule="auto"/>
      <w:ind w:firstLine="567"/>
      <w:jc w:val="both"/>
    </w:pPr>
    <w:rPr>
      <w:rFonts w:ascii="Times New Roman" w:hAnsi="Times New Roman"/>
      <w:sz w:val="24"/>
      <w:szCs w:val="20"/>
      <w:lang w:eastAsia="ru-RU"/>
    </w:rPr>
  </w:style>
  <w:style w:type="character" w:customStyle="1" w:styleId="ac">
    <w:name w:val="Абзац Знак"/>
    <w:link w:val="ab"/>
    <w:uiPriority w:val="99"/>
    <w:locked/>
    <w:rsid w:val="002106E3"/>
    <w:rPr>
      <w:rFonts w:ascii="Times New Roman" w:hAnsi="Times New Roman"/>
      <w:sz w:val="24"/>
    </w:rPr>
  </w:style>
  <w:style w:type="paragraph" w:customStyle="1" w:styleId="Default">
    <w:name w:val="Default"/>
    <w:uiPriority w:val="99"/>
    <w:rsid w:val="00FD4AB0"/>
    <w:pPr>
      <w:autoSpaceDE w:val="0"/>
      <w:autoSpaceDN w:val="0"/>
      <w:adjustRightInd w:val="0"/>
    </w:pPr>
    <w:rPr>
      <w:rFonts w:ascii="Times New Roman" w:hAnsi="Times New Roman"/>
      <w:color w:val="000000"/>
      <w:sz w:val="24"/>
      <w:szCs w:val="24"/>
      <w:lang w:eastAsia="en-US"/>
    </w:rPr>
  </w:style>
  <w:style w:type="paragraph" w:styleId="ad">
    <w:name w:val="Balloon Text"/>
    <w:basedOn w:val="a0"/>
    <w:link w:val="ae"/>
    <w:uiPriority w:val="99"/>
    <w:semiHidden/>
    <w:rsid w:val="00044298"/>
    <w:pPr>
      <w:spacing w:after="0" w:line="240" w:lineRule="auto"/>
    </w:pPr>
    <w:rPr>
      <w:rFonts w:ascii="Tahoma" w:hAnsi="Tahoma"/>
      <w:sz w:val="16"/>
      <w:szCs w:val="16"/>
      <w:lang w:eastAsia="ru-RU"/>
    </w:rPr>
  </w:style>
  <w:style w:type="character" w:customStyle="1" w:styleId="ae">
    <w:name w:val="Текст выноски Знак"/>
    <w:basedOn w:val="a1"/>
    <w:link w:val="ad"/>
    <w:uiPriority w:val="99"/>
    <w:semiHidden/>
    <w:locked/>
    <w:rsid w:val="00044298"/>
    <w:rPr>
      <w:rFonts w:ascii="Tahoma" w:hAnsi="Tahoma" w:cs="Times New Roman"/>
      <w:sz w:val="16"/>
    </w:rPr>
  </w:style>
  <w:style w:type="paragraph" w:customStyle="1" w:styleId="ConsPlusNormal">
    <w:name w:val="ConsPlusNormal"/>
    <w:link w:val="ConsPlusNormal0"/>
    <w:uiPriority w:val="99"/>
    <w:rsid w:val="00EB0D40"/>
    <w:pPr>
      <w:widowControl w:val="0"/>
      <w:autoSpaceDE w:val="0"/>
      <w:autoSpaceDN w:val="0"/>
      <w:adjustRightInd w:val="0"/>
    </w:pPr>
    <w:rPr>
      <w:rFonts w:ascii="Arial" w:hAnsi="Arial"/>
    </w:rPr>
  </w:style>
  <w:style w:type="paragraph" w:customStyle="1" w:styleId="a">
    <w:name w:val="_список"/>
    <w:basedOn w:val="a0"/>
    <w:uiPriority w:val="99"/>
    <w:rsid w:val="00F5389C"/>
    <w:pPr>
      <w:numPr>
        <w:numId w:val="19"/>
      </w:numPr>
      <w:tabs>
        <w:tab w:val="left" w:pos="993"/>
      </w:tabs>
      <w:spacing w:after="0" w:line="240" w:lineRule="auto"/>
      <w:jc w:val="both"/>
    </w:pPr>
    <w:rPr>
      <w:rFonts w:ascii="Times New Roman" w:hAnsi="Times New Roman"/>
      <w:sz w:val="24"/>
      <w:szCs w:val="24"/>
    </w:rPr>
  </w:style>
  <w:style w:type="paragraph" w:customStyle="1" w:styleId="af">
    <w:name w:val="Табличный_заголовки"/>
    <w:basedOn w:val="a0"/>
    <w:uiPriority w:val="99"/>
    <w:rsid w:val="005C4A9C"/>
    <w:pPr>
      <w:keepNext/>
      <w:keepLines/>
      <w:spacing w:after="0" w:line="240" w:lineRule="auto"/>
      <w:jc w:val="center"/>
    </w:pPr>
    <w:rPr>
      <w:rFonts w:ascii="Times New Roman" w:eastAsia="Times New Roman" w:hAnsi="Times New Roman"/>
      <w:b/>
      <w:lang w:eastAsia="ru-RU"/>
    </w:rPr>
  </w:style>
  <w:style w:type="paragraph" w:styleId="af0">
    <w:name w:val="TOC Heading"/>
    <w:basedOn w:val="1"/>
    <w:next w:val="a0"/>
    <w:uiPriority w:val="99"/>
    <w:qFormat/>
    <w:rsid w:val="00630CA8"/>
    <w:pPr>
      <w:keepLines/>
      <w:pageBreakBefore w:val="0"/>
      <w:tabs>
        <w:tab w:val="clear" w:pos="851"/>
      </w:tabs>
      <w:spacing w:before="480" w:after="0" w:line="276" w:lineRule="auto"/>
      <w:jc w:val="left"/>
      <w:outlineLvl w:val="9"/>
    </w:pPr>
    <w:rPr>
      <w:rFonts w:ascii="Cambria" w:hAnsi="Cambria"/>
      <w:caps w:val="0"/>
      <w:color w:val="365F91"/>
      <w:kern w:val="0"/>
    </w:rPr>
  </w:style>
  <w:style w:type="paragraph" w:styleId="31">
    <w:name w:val="toc 3"/>
    <w:basedOn w:val="a0"/>
    <w:next w:val="a0"/>
    <w:autoRedefine/>
    <w:uiPriority w:val="99"/>
    <w:rsid w:val="00DB70C4"/>
    <w:pPr>
      <w:tabs>
        <w:tab w:val="right" w:leader="dot" w:pos="8580"/>
      </w:tabs>
      <w:spacing w:after="100"/>
      <w:ind w:left="440"/>
      <w:jc w:val="both"/>
    </w:pPr>
  </w:style>
  <w:style w:type="paragraph" w:styleId="af1">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0"/>
    <w:next w:val="a0"/>
    <w:link w:val="22"/>
    <w:uiPriority w:val="99"/>
    <w:qFormat/>
    <w:rsid w:val="00396904"/>
    <w:pPr>
      <w:spacing w:line="240" w:lineRule="auto"/>
    </w:pPr>
    <w:rPr>
      <w:b/>
      <w:color w:val="4F81BD"/>
      <w:sz w:val="18"/>
      <w:szCs w:val="20"/>
      <w:lang w:eastAsia="ru-RU"/>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1"/>
    <w:uiPriority w:val="99"/>
    <w:locked/>
    <w:rsid w:val="00396904"/>
    <w:rPr>
      <w:b/>
      <w:color w:val="4F81BD"/>
      <w:sz w:val="18"/>
    </w:rPr>
  </w:style>
  <w:style w:type="paragraph" w:styleId="af2">
    <w:name w:val="No Spacing"/>
    <w:link w:val="af3"/>
    <w:uiPriority w:val="99"/>
    <w:qFormat/>
    <w:rsid w:val="00E60BE9"/>
    <w:rPr>
      <w:rFonts w:eastAsia="Times New Roman"/>
    </w:rPr>
  </w:style>
  <w:style w:type="paragraph" w:customStyle="1" w:styleId="12">
    <w:name w:val="Стиль1"/>
    <w:basedOn w:val="a0"/>
    <w:uiPriority w:val="99"/>
    <w:rsid w:val="00E60BE9"/>
    <w:pPr>
      <w:spacing w:after="0"/>
      <w:ind w:firstLine="720"/>
      <w:jc w:val="both"/>
    </w:pPr>
    <w:rPr>
      <w:rFonts w:ascii="Times New Roman" w:eastAsia="Times New Roman" w:hAnsi="Times New Roman"/>
      <w:sz w:val="26"/>
      <w:szCs w:val="26"/>
      <w:lang w:eastAsia="ru-RU"/>
    </w:rPr>
  </w:style>
  <w:style w:type="table" w:styleId="af4">
    <w:name w:val="Table Grid"/>
    <w:basedOn w:val="a2"/>
    <w:uiPriority w:val="99"/>
    <w:rsid w:val="00E60BE9"/>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1"/>
    <w:uiPriority w:val="99"/>
    <w:rsid w:val="00E60BE9"/>
    <w:rPr>
      <w:rFonts w:cs="Times New Roman"/>
    </w:rPr>
  </w:style>
  <w:style w:type="paragraph" w:styleId="af5">
    <w:name w:val="Normal (Web)"/>
    <w:basedOn w:val="a0"/>
    <w:uiPriority w:val="99"/>
    <w:rsid w:val="007D5647"/>
    <w:pPr>
      <w:spacing w:before="100" w:beforeAutospacing="1" w:after="100" w:afterAutospacing="1" w:line="240" w:lineRule="auto"/>
    </w:pPr>
    <w:rPr>
      <w:rFonts w:ascii="Times New Roman" w:eastAsia="Times New Roman" w:hAnsi="Times New Roman"/>
      <w:sz w:val="24"/>
      <w:szCs w:val="24"/>
      <w:lang w:eastAsia="ru-RU"/>
    </w:rPr>
  </w:style>
  <w:style w:type="paragraph" w:styleId="23">
    <w:name w:val="Body Text Indent 2"/>
    <w:basedOn w:val="a0"/>
    <w:link w:val="24"/>
    <w:uiPriority w:val="99"/>
    <w:rsid w:val="00B65856"/>
    <w:pPr>
      <w:spacing w:after="120" w:line="480" w:lineRule="auto"/>
      <w:ind w:left="283"/>
    </w:pPr>
    <w:rPr>
      <w:rFonts w:ascii="Times New Roman" w:eastAsia="Times New Roman" w:hAnsi="Times New Roman"/>
      <w:sz w:val="24"/>
      <w:szCs w:val="24"/>
      <w:lang w:eastAsia="ru-RU"/>
    </w:rPr>
  </w:style>
  <w:style w:type="character" w:customStyle="1" w:styleId="24">
    <w:name w:val="Основной текст с отступом 2 Знак"/>
    <w:basedOn w:val="a1"/>
    <w:link w:val="23"/>
    <w:uiPriority w:val="99"/>
    <w:locked/>
    <w:rsid w:val="00B65856"/>
    <w:rPr>
      <w:rFonts w:ascii="Times New Roman" w:hAnsi="Times New Roman" w:cs="Times New Roman"/>
      <w:sz w:val="24"/>
    </w:rPr>
  </w:style>
  <w:style w:type="paragraph" w:styleId="af6">
    <w:name w:val="Body Text Indent"/>
    <w:basedOn w:val="a0"/>
    <w:link w:val="af7"/>
    <w:uiPriority w:val="99"/>
    <w:rsid w:val="00B65856"/>
    <w:pPr>
      <w:spacing w:after="120" w:line="240" w:lineRule="auto"/>
      <w:ind w:left="283"/>
    </w:pPr>
    <w:rPr>
      <w:rFonts w:ascii="Times New Roman" w:eastAsia="Times New Roman" w:hAnsi="Times New Roman"/>
      <w:sz w:val="26"/>
      <w:szCs w:val="26"/>
      <w:lang w:eastAsia="ru-RU"/>
    </w:rPr>
  </w:style>
  <w:style w:type="character" w:customStyle="1" w:styleId="af7">
    <w:name w:val="Основной текст с отступом Знак"/>
    <w:basedOn w:val="a1"/>
    <w:link w:val="af6"/>
    <w:uiPriority w:val="99"/>
    <w:locked/>
    <w:rsid w:val="00B65856"/>
    <w:rPr>
      <w:rFonts w:ascii="Times New Roman" w:hAnsi="Times New Roman" w:cs="Times New Roman"/>
      <w:sz w:val="26"/>
      <w:lang w:eastAsia="ru-RU"/>
    </w:rPr>
  </w:style>
  <w:style w:type="character" w:customStyle="1" w:styleId="af3">
    <w:name w:val="Без интервала Знак"/>
    <w:link w:val="af2"/>
    <w:uiPriority w:val="99"/>
    <w:locked/>
    <w:rsid w:val="00B65856"/>
    <w:rPr>
      <w:rFonts w:eastAsia="Times New Roman"/>
      <w:sz w:val="22"/>
      <w:lang w:val="ru-RU" w:eastAsia="ru-RU"/>
    </w:rPr>
  </w:style>
  <w:style w:type="paragraph" w:customStyle="1" w:styleId="210">
    <w:name w:val="Основной текст с отступом 21"/>
    <w:basedOn w:val="a0"/>
    <w:uiPriority w:val="99"/>
    <w:rsid w:val="00283041"/>
    <w:pPr>
      <w:spacing w:after="0" w:line="360" w:lineRule="auto"/>
      <w:ind w:firstLine="709"/>
    </w:pPr>
    <w:rPr>
      <w:rFonts w:ascii="Times New Roman" w:eastAsia="Times New Roman" w:hAnsi="Times New Roman"/>
      <w:i/>
      <w:iCs/>
      <w:color w:val="FF0000"/>
      <w:sz w:val="24"/>
      <w:szCs w:val="24"/>
      <w:lang w:eastAsia="ar-SA"/>
    </w:rPr>
  </w:style>
  <w:style w:type="paragraph" w:styleId="af8">
    <w:name w:val="footnote text"/>
    <w:basedOn w:val="a0"/>
    <w:link w:val="af9"/>
    <w:uiPriority w:val="99"/>
    <w:semiHidden/>
    <w:rsid w:val="00283041"/>
    <w:pPr>
      <w:spacing w:after="0" w:line="240" w:lineRule="auto"/>
    </w:pPr>
    <w:rPr>
      <w:sz w:val="20"/>
      <w:szCs w:val="20"/>
      <w:lang w:eastAsia="ru-RU"/>
    </w:rPr>
  </w:style>
  <w:style w:type="character" w:customStyle="1" w:styleId="af9">
    <w:name w:val="Текст сноски Знак"/>
    <w:basedOn w:val="a1"/>
    <w:link w:val="af8"/>
    <w:uiPriority w:val="99"/>
    <w:semiHidden/>
    <w:locked/>
    <w:rsid w:val="00283041"/>
    <w:rPr>
      <w:rFonts w:cs="Times New Roman"/>
      <w:sz w:val="20"/>
    </w:rPr>
  </w:style>
  <w:style w:type="character" w:styleId="afa">
    <w:name w:val="footnote reference"/>
    <w:basedOn w:val="a1"/>
    <w:uiPriority w:val="99"/>
    <w:semiHidden/>
    <w:rsid w:val="00283041"/>
    <w:rPr>
      <w:rFonts w:cs="Times New Roman"/>
      <w:vertAlign w:val="superscript"/>
    </w:rPr>
  </w:style>
  <w:style w:type="paragraph" w:customStyle="1" w:styleId="afb">
    <w:name w:val="_Обычный"/>
    <w:basedOn w:val="a0"/>
    <w:link w:val="afc"/>
    <w:uiPriority w:val="99"/>
    <w:rsid w:val="005612ED"/>
    <w:pPr>
      <w:spacing w:after="0" w:line="240" w:lineRule="auto"/>
      <w:ind w:firstLine="709"/>
      <w:jc w:val="both"/>
    </w:pPr>
    <w:rPr>
      <w:rFonts w:ascii="Times New Roman" w:hAnsi="Times New Roman"/>
      <w:sz w:val="20"/>
      <w:szCs w:val="20"/>
      <w:lang w:eastAsia="ru-RU"/>
    </w:rPr>
  </w:style>
  <w:style w:type="character" w:customStyle="1" w:styleId="afc">
    <w:name w:val="_Обычный Знак"/>
    <w:link w:val="afb"/>
    <w:uiPriority w:val="99"/>
    <w:locked/>
    <w:rsid w:val="005612ED"/>
    <w:rPr>
      <w:rFonts w:ascii="Times New Roman" w:hAnsi="Times New Roman"/>
      <w:sz w:val="20"/>
      <w:lang w:eastAsia="ru-RU"/>
    </w:rPr>
  </w:style>
  <w:style w:type="character" w:customStyle="1" w:styleId="CharStyle8">
    <w:name w:val="Char Style 8"/>
    <w:uiPriority w:val="99"/>
    <w:rsid w:val="008D64D6"/>
    <w:rPr>
      <w:b/>
      <w:sz w:val="27"/>
      <w:lang w:eastAsia="ar-SA" w:bidi="ar-SA"/>
    </w:rPr>
  </w:style>
  <w:style w:type="paragraph" w:customStyle="1" w:styleId="western">
    <w:name w:val="western"/>
    <w:basedOn w:val="a0"/>
    <w:uiPriority w:val="99"/>
    <w:rsid w:val="008D64D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3">
    <w:name w:val="Абзац списка1"/>
    <w:basedOn w:val="a0"/>
    <w:uiPriority w:val="99"/>
    <w:rsid w:val="008D64D6"/>
    <w:pPr>
      <w:ind w:left="720"/>
    </w:pPr>
    <w:rPr>
      <w:rFonts w:eastAsia="Times New Roman"/>
    </w:rPr>
  </w:style>
  <w:style w:type="paragraph" w:customStyle="1" w:styleId="ConsPlusNonformat">
    <w:name w:val="ConsPlusNonformat"/>
    <w:uiPriority w:val="99"/>
    <w:rsid w:val="008D64D6"/>
    <w:pPr>
      <w:widowControl w:val="0"/>
      <w:autoSpaceDE w:val="0"/>
      <w:autoSpaceDN w:val="0"/>
      <w:adjustRightInd w:val="0"/>
    </w:pPr>
    <w:rPr>
      <w:rFonts w:ascii="Courier New" w:eastAsia="Times New Roman" w:hAnsi="Courier New" w:cs="Courier New"/>
      <w:sz w:val="20"/>
      <w:szCs w:val="20"/>
    </w:rPr>
  </w:style>
  <w:style w:type="paragraph" w:styleId="25">
    <w:name w:val="Body Text 2"/>
    <w:basedOn w:val="a0"/>
    <w:link w:val="26"/>
    <w:uiPriority w:val="99"/>
    <w:rsid w:val="00ED7283"/>
    <w:pPr>
      <w:spacing w:after="0" w:line="240" w:lineRule="auto"/>
      <w:jc w:val="both"/>
    </w:pPr>
    <w:rPr>
      <w:rFonts w:ascii="Arial" w:eastAsia="Times New Roman" w:hAnsi="Arial"/>
      <w:sz w:val="24"/>
      <w:szCs w:val="20"/>
      <w:lang w:eastAsia="ru-RU"/>
    </w:rPr>
  </w:style>
  <w:style w:type="character" w:customStyle="1" w:styleId="26">
    <w:name w:val="Основной текст 2 Знак"/>
    <w:basedOn w:val="a1"/>
    <w:link w:val="25"/>
    <w:uiPriority w:val="99"/>
    <w:locked/>
    <w:rsid w:val="00ED7283"/>
    <w:rPr>
      <w:rFonts w:ascii="Arial" w:hAnsi="Arial" w:cs="Times New Roman"/>
      <w:sz w:val="20"/>
      <w:lang w:eastAsia="ru-RU"/>
    </w:rPr>
  </w:style>
  <w:style w:type="paragraph" w:customStyle="1" w:styleId="ConsPlusCell">
    <w:name w:val="ConsPlusCell"/>
    <w:uiPriority w:val="99"/>
    <w:rsid w:val="00ED7283"/>
    <w:pPr>
      <w:widowControl w:val="0"/>
      <w:autoSpaceDE w:val="0"/>
      <w:autoSpaceDN w:val="0"/>
      <w:adjustRightInd w:val="0"/>
    </w:pPr>
    <w:rPr>
      <w:rFonts w:ascii="Times New Roman" w:eastAsia="Times New Roman" w:hAnsi="Times New Roman"/>
      <w:sz w:val="26"/>
      <w:szCs w:val="26"/>
    </w:rPr>
  </w:style>
  <w:style w:type="paragraph" w:customStyle="1" w:styleId="ConsPlusTitle">
    <w:name w:val="ConsPlusTitle"/>
    <w:uiPriority w:val="99"/>
    <w:rsid w:val="00ED7283"/>
    <w:pPr>
      <w:widowControl w:val="0"/>
      <w:autoSpaceDE w:val="0"/>
      <w:autoSpaceDN w:val="0"/>
      <w:adjustRightInd w:val="0"/>
    </w:pPr>
    <w:rPr>
      <w:rFonts w:ascii="Times New Roman" w:eastAsia="Times New Roman" w:hAnsi="Times New Roman"/>
      <w:b/>
      <w:bCs/>
      <w:sz w:val="24"/>
      <w:szCs w:val="24"/>
    </w:rPr>
  </w:style>
  <w:style w:type="paragraph" w:customStyle="1" w:styleId="27">
    <w:name w:val="Абзац списка2"/>
    <w:basedOn w:val="a0"/>
    <w:uiPriority w:val="99"/>
    <w:rsid w:val="00ED7283"/>
    <w:pPr>
      <w:ind w:left="720"/>
    </w:pPr>
    <w:rPr>
      <w:rFonts w:eastAsia="Times New Roman"/>
    </w:rPr>
  </w:style>
  <w:style w:type="paragraph" w:customStyle="1" w:styleId="paragraphjustifyindent">
    <w:name w:val="paragraph_justify_indent"/>
    <w:basedOn w:val="a0"/>
    <w:uiPriority w:val="99"/>
    <w:rsid w:val="00ED7283"/>
    <w:pPr>
      <w:spacing w:before="150" w:after="150" w:line="240" w:lineRule="auto"/>
      <w:ind w:left="450" w:right="450" w:firstLine="300"/>
      <w:jc w:val="both"/>
    </w:pPr>
    <w:rPr>
      <w:rFonts w:ascii="Times New Roman" w:eastAsia="Times New Roman" w:hAnsi="Times New Roman"/>
      <w:sz w:val="24"/>
      <w:szCs w:val="24"/>
      <w:lang w:eastAsia="ru-RU"/>
    </w:rPr>
  </w:style>
  <w:style w:type="character" w:customStyle="1" w:styleId="textdefault">
    <w:name w:val="text_default"/>
    <w:uiPriority w:val="99"/>
    <w:rsid w:val="00ED7283"/>
    <w:rPr>
      <w:rFonts w:ascii="Arial" w:hAnsi="Arial"/>
      <w:color w:val="000000"/>
      <w:sz w:val="21"/>
      <w:u w:val="none"/>
      <w:effect w:val="none"/>
    </w:rPr>
  </w:style>
  <w:style w:type="paragraph" w:customStyle="1" w:styleId="28">
    <w:name w:val="Знак Знак2 Знак Знак"/>
    <w:basedOn w:val="a0"/>
    <w:uiPriority w:val="99"/>
    <w:rsid w:val="00ED7283"/>
    <w:pPr>
      <w:widowControl w:val="0"/>
      <w:adjustRightInd w:val="0"/>
      <w:spacing w:after="160" w:line="240" w:lineRule="exact"/>
      <w:jc w:val="right"/>
    </w:pPr>
    <w:rPr>
      <w:rFonts w:ascii="Times New Roman" w:eastAsia="Times New Roman" w:hAnsi="Times New Roman"/>
      <w:sz w:val="20"/>
      <w:szCs w:val="20"/>
      <w:lang w:val="en-GB"/>
    </w:rPr>
  </w:style>
  <w:style w:type="character" w:customStyle="1" w:styleId="HTMLPreformattedChar">
    <w:name w:val="HTML Preformatted Char"/>
    <w:uiPriority w:val="99"/>
    <w:locked/>
    <w:rsid w:val="00ED7283"/>
    <w:rPr>
      <w:rFonts w:ascii="Courier New" w:hAnsi="Courier New"/>
      <w:lang w:eastAsia="ru-RU"/>
    </w:rPr>
  </w:style>
  <w:style w:type="paragraph" w:styleId="HTML">
    <w:name w:val="HTML Preformatted"/>
    <w:basedOn w:val="a0"/>
    <w:link w:val="HTML0"/>
    <w:uiPriority w:val="99"/>
    <w:rsid w:val="00ED72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sz w:val="20"/>
      <w:szCs w:val="20"/>
      <w:lang w:eastAsia="ru-RU"/>
    </w:rPr>
  </w:style>
  <w:style w:type="character" w:customStyle="1" w:styleId="HTML0">
    <w:name w:val="Стандартный HTML Знак"/>
    <w:basedOn w:val="a1"/>
    <w:link w:val="HTML"/>
    <w:uiPriority w:val="99"/>
    <w:semiHidden/>
    <w:locked/>
    <w:rsid w:val="009C39FD"/>
    <w:rPr>
      <w:rFonts w:ascii="Courier New" w:hAnsi="Courier New" w:cs="Courier New"/>
      <w:sz w:val="20"/>
      <w:szCs w:val="20"/>
      <w:lang w:eastAsia="en-US"/>
    </w:rPr>
  </w:style>
  <w:style w:type="character" w:customStyle="1" w:styleId="HTML1">
    <w:name w:val="Стандартный HTML Знак1"/>
    <w:uiPriority w:val="99"/>
    <w:semiHidden/>
    <w:rsid w:val="00ED7283"/>
    <w:rPr>
      <w:rFonts w:ascii="Consolas" w:hAnsi="Consolas"/>
      <w:sz w:val="20"/>
    </w:rPr>
  </w:style>
  <w:style w:type="paragraph" w:customStyle="1" w:styleId="c1">
    <w:name w:val="c1"/>
    <w:basedOn w:val="a0"/>
    <w:uiPriority w:val="99"/>
    <w:rsid w:val="00ED7283"/>
    <w:pPr>
      <w:spacing w:before="90" w:after="90" w:line="240" w:lineRule="auto"/>
    </w:pPr>
    <w:rPr>
      <w:rFonts w:ascii="Times New Roman" w:eastAsia="Times New Roman" w:hAnsi="Times New Roman"/>
      <w:sz w:val="24"/>
      <w:szCs w:val="24"/>
      <w:lang w:eastAsia="ru-RU"/>
    </w:rPr>
  </w:style>
  <w:style w:type="character" w:customStyle="1" w:styleId="c57">
    <w:name w:val="c57"/>
    <w:basedOn w:val="a1"/>
    <w:uiPriority w:val="99"/>
    <w:rsid w:val="00ED7283"/>
    <w:rPr>
      <w:rFonts w:cs="Times New Roman"/>
    </w:rPr>
  </w:style>
  <w:style w:type="paragraph" w:customStyle="1" w:styleId="afd">
    <w:name w:val="Обычный (паспорт)"/>
    <w:basedOn w:val="a0"/>
    <w:uiPriority w:val="99"/>
    <w:rsid w:val="00ED7283"/>
    <w:pPr>
      <w:spacing w:before="120" w:after="0" w:line="240" w:lineRule="auto"/>
      <w:jc w:val="both"/>
    </w:pPr>
    <w:rPr>
      <w:rFonts w:ascii="Times New Roman" w:eastAsia="Times New Roman" w:hAnsi="Times New Roman"/>
      <w:sz w:val="28"/>
      <w:szCs w:val="28"/>
      <w:lang w:eastAsia="ru-RU"/>
    </w:rPr>
  </w:style>
  <w:style w:type="paragraph" w:styleId="afe">
    <w:name w:val="header"/>
    <w:basedOn w:val="a0"/>
    <w:link w:val="aff"/>
    <w:uiPriority w:val="99"/>
    <w:rsid w:val="00716159"/>
    <w:pPr>
      <w:tabs>
        <w:tab w:val="center" w:pos="4677"/>
        <w:tab w:val="right" w:pos="9355"/>
      </w:tabs>
      <w:spacing w:after="0" w:line="240" w:lineRule="auto"/>
    </w:pPr>
  </w:style>
  <w:style w:type="character" w:customStyle="1" w:styleId="aff">
    <w:name w:val="Верхний колонтитул Знак"/>
    <w:basedOn w:val="a1"/>
    <w:link w:val="afe"/>
    <w:uiPriority w:val="99"/>
    <w:locked/>
    <w:rsid w:val="00716159"/>
    <w:rPr>
      <w:rFonts w:cs="Times New Roman"/>
    </w:rPr>
  </w:style>
  <w:style w:type="paragraph" w:styleId="aff0">
    <w:name w:val="Title"/>
    <w:basedOn w:val="a0"/>
    <w:next w:val="a0"/>
    <w:link w:val="aff1"/>
    <w:uiPriority w:val="99"/>
    <w:qFormat/>
    <w:rsid w:val="00F02A1F"/>
    <w:pPr>
      <w:spacing w:before="240" w:after="60" w:line="240" w:lineRule="auto"/>
      <w:jc w:val="center"/>
      <w:outlineLvl w:val="0"/>
    </w:pPr>
    <w:rPr>
      <w:rFonts w:ascii="Cambria" w:eastAsia="Times New Roman" w:hAnsi="Cambria"/>
      <w:b/>
      <w:bCs/>
      <w:kern w:val="28"/>
      <w:sz w:val="32"/>
      <w:szCs w:val="32"/>
      <w:lang w:val="en-US" w:eastAsia="ru-RU"/>
    </w:rPr>
  </w:style>
  <w:style w:type="character" w:customStyle="1" w:styleId="aff1">
    <w:name w:val="Название Знак"/>
    <w:basedOn w:val="a1"/>
    <w:link w:val="aff0"/>
    <w:uiPriority w:val="99"/>
    <w:locked/>
    <w:rsid w:val="00F02A1F"/>
    <w:rPr>
      <w:rFonts w:ascii="Cambria" w:hAnsi="Cambria" w:cs="Times New Roman"/>
      <w:b/>
      <w:kern w:val="28"/>
      <w:sz w:val="32"/>
      <w:lang w:val="en-US"/>
    </w:rPr>
  </w:style>
  <w:style w:type="paragraph" w:styleId="aff2">
    <w:name w:val="Subtitle"/>
    <w:basedOn w:val="a0"/>
    <w:next w:val="a0"/>
    <w:link w:val="aff3"/>
    <w:uiPriority w:val="99"/>
    <w:qFormat/>
    <w:rsid w:val="00F02A1F"/>
    <w:pPr>
      <w:spacing w:after="60" w:line="240" w:lineRule="auto"/>
      <w:jc w:val="center"/>
      <w:outlineLvl w:val="1"/>
    </w:pPr>
    <w:rPr>
      <w:rFonts w:ascii="Cambria" w:eastAsia="Times New Roman" w:hAnsi="Cambria"/>
      <w:sz w:val="24"/>
      <w:szCs w:val="24"/>
      <w:lang w:val="en-US" w:eastAsia="ru-RU"/>
    </w:rPr>
  </w:style>
  <w:style w:type="character" w:customStyle="1" w:styleId="aff3">
    <w:name w:val="Подзаголовок Знак"/>
    <w:basedOn w:val="a1"/>
    <w:link w:val="aff2"/>
    <w:uiPriority w:val="99"/>
    <w:locked/>
    <w:rsid w:val="00F02A1F"/>
    <w:rPr>
      <w:rFonts w:ascii="Cambria" w:hAnsi="Cambria" w:cs="Times New Roman"/>
      <w:sz w:val="24"/>
      <w:lang w:val="en-US"/>
    </w:rPr>
  </w:style>
  <w:style w:type="character" w:styleId="aff4">
    <w:name w:val="Strong"/>
    <w:basedOn w:val="a1"/>
    <w:uiPriority w:val="99"/>
    <w:qFormat/>
    <w:rsid w:val="00F02A1F"/>
    <w:rPr>
      <w:rFonts w:cs="Times New Roman"/>
      <w:b/>
    </w:rPr>
  </w:style>
  <w:style w:type="character" w:styleId="aff5">
    <w:name w:val="Emphasis"/>
    <w:basedOn w:val="a1"/>
    <w:uiPriority w:val="99"/>
    <w:qFormat/>
    <w:rsid w:val="00F02A1F"/>
    <w:rPr>
      <w:rFonts w:ascii="Calibri" w:hAnsi="Calibri" w:cs="Times New Roman"/>
      <w:b/>
      <w:i/>
    </w:rPr>
  </w:style>
  <w:style w:type="paragraph" w:styleId="29">
    <w:name w:val="Quote"/>
    <w:basedOn w:val="a0"/>
    <w:next w:val="a0"/>
    <w:link w:val="2a"/>
    <w:uiPriority w:val="99"/>
    <w:qFormat/>
    <w:rsid w:val="00F02A1F"/>
    <w:pPr>
      <w:spacing w:after="0" w:line="240" w:lineRule="auto"/>
    </w:pPr>
    <w:rPr>
      <w:i/>
      <w:sz w:val="24"/>
      <w:szCs w:val="24"/>
      <w:lang w:val="en-US" w:eastAsia="ru-RU"/>
    </w:rPr>
  </w:style>
  <w:style w:type="character" w:customStyle="1" w:styleId="2a">
    <w:name w:val="Цитата 2 Знак"/>
    <w:basedOn w:val="a1"/>
    <w:link w:val="29"/>
    <w:uiPriority w:val="99"/>
    <w:locked/>
    <w:rsid w:val="00F02A1F"/>
    <w:rPr>
      <w:rFonts w:cs="Times New Roman"/>
      <w:i/>
      <w:sz w:val="24"/>
      <w:lang w:val="en-US"/>
    </w:rPr>
  </w:style>
  <w:style w:type="paragraph" w:styleId="aff6">
    <w:name w:val="Intense Quote"/>
    <w:basedOn w:val="a0"/>
    <w:next w:val="a0"/>
    <w:link w:val="aff7"/>
    <w:uiPriority w:val="99"/>
    <w:qFormat/>
    <w:rsid w:val="00F02A1F"/>
    <w:pPr>
      <w:spacing w:after="0" w:line="240" w:lineRule="auto"/>
      <w:ind w:left="720" w:right="720"/>
    </w:pPr>
    <w:rPr>
      <w:b/>
      <w:i/>
      <w:sz w:val="24"/>
      <w:szCs w:val="20"/>
      <w:lang w:val="en-US" w:eastAsia="ru-RU"/>
    </w:rPr>
  </w:style>
  <w:style w:type="character" w:customStyle="1" w:styleId="aff7">
    <w:name w:val="Выделенная цитата Знак"/>
    <w:basedOn w:val="a1"/>
    <w:link w:val="aff6"/>
    <w:uiPriority w:val="99"/>
    <w:locked/>
    <w:rsid w:val="00F02A1F"/>
    <w:rPr>
      <w:rFonts w:cs="Times New Roman"/>
      <w:b/>
      <w:i/>
      <w:sz w:val="24"/>
      <w:lang w:val="en-US"/>
    </w:rPr>
  </w:style>
  <w:style w:type="character" w:styleId="aff8">
    <w:name w:val="Subtle Emphasis"/>
    <w:basedOn w:val="a1"/>
    <w:uiPriority w:val="99"/>
    <w:qFormat/>
    <w:rsid w:val="00F02A1F"/>
    <w:rPr>
      <w:rFonts w:cs="Times New Roman"/>
      <w:i/>
      <w:color w:val="5A5A5A"/>
    </w:rPr>
  </w:style>
  <w:style w:type="character" w:styleId="aff9">
    <w:name w:val="Intense Emphasis"/>
    <w:basedOn w:val="a1"/>
    <w:uiPriority w:val="99"/>
    <w:qFormat/>
    <w:rsid w:val="00F02A1F"/>
    <w:rPr>
      <w:rFonts w:cs="Times New Roman"/>
      <w:b/>
      <w:i/>
      <w:sz w:val="24"/>
      <w:u w:val="single"/>
    </w:rPr>
  </w:style>
  <w:style w:type="character" w:styleId="affa">
    <w:name w:val="Subtle Reference"/>
    <w:basedOn w:val="a1"/>
    <w:uiPriority w:val="99"/>
    <w:qFormat/>
    <w:rsid w:val="00F02A1F"/>
    <w:rPr>
      <w:rFonts w:cs="Times New Roman"/>
      <w:sz w:val="24"/>
      <w:u w:val="single"/>
    </w:rPr>
  </w:style>
  <w:style w:type="character" w:styleId="affb">
    <w:name w:val="Intense Reference"/>
    <w:basedOn w:val="a1"/>
    <w:uiPriority w:val="99"/>
    <w:qFormat/>
    <w:rsid w:val="00F02A1F"/>
    <w:rPr>
      <w:rFonts w:cs="Times New Roman"/>
      <w:b/>
      <w:sz w:val="24"/>
      <w:u w:val="single"/>
    </w:rPr>
  </w:style>
  <w:style w:type="character" w:styleId="affc">
    <w:name w:val="Book Title"/>
    <w:basedOn w:val="a1"/>
    <w:uiPriority w:val="99"/>
    <w:qFormat/>
    <w:rsid w:val="00F02A1F"/>
    <w:rPr>
      <w:rFonts w:ascii="Cambria" w:hAnsi="Cambria" w:cs="Times New Roman"/>
      <w:b/>
      <w:i/>
      <w:sz w:val="24"/>
    </w:rPr>
  </w:style>
  <w:style w:type="character" w:styleId="affd">
    <w:name w:val="annotation reference"/>
    <w:basedOn w:val="a1"/>
    <w:uiPriority w:val="99"/>
    <w:semiHidden/>
    <w:rsid w:val="00F02A1F"/>
    <w:rPr>
      <w:rFonts w:cs="Times New Roman"/>
      <w:sz w:val="16"/>
    </w:rPr>
  </w:style>
  <w:style w:type="paragraph" w:styleId="affe">
    <w:name w:val="annotation text"/>
    <w:basedOn w:val="a0"/>
    <w:link w:val="afff"/>
    <w:uiPriority w:val="99"/>
    <w:semiHidden/>
    <w:rsid w:val="00F02A1F"/>
    <w:pPr>
      <w:spacing w:after="0" w:line="240" w:lineRule="auto"/>
      <w:ind w:firstLine="709"/>
      <w:jc w:val="both"/>
    </w:pPr>
    <w:rPr>
      <w:rFonts w:ascii="Times New Roman" w:hAnsi="Times New Roman"/>
      <w:sz w:val="20"/>
      <w:szCs w:val="20"/>
      <w:lang w:eastAsia="ru-RU"/>
    </w:rPr>
  </w:style>
  <w:style w:type="character" w:customStyle="1" w:styleId="afff">
    <w:name w:val="Текст примечания Знак"/>
    <w:basedOn w:val="a1"/>
    <w:link w:val="affe"/>
    <w:uiPriority w:val="99"/>
    <w:semiHidden/>
    <w:locked/>
    <w:rsid w:val="00F02A1F"/>
    <w:rPr>
      <w:rFonts w:ascii="Times New Roman" w:hAnsi="Times New Roman" w:cs="Times New Roman"/>
      <w:sz w:val="20"/>
    </w:rPr>
  </w:style>
  <w:style w:type="table" w:customStyle="1" w:styleId="14">
    <w:name w:val="Сетка таблицы1"/>
    <w:uiPriority w:val="99"/>
    <w:rsid w:val="00F02A1F"/>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p">
    <w:name w:val="ep"/>
    <w:basedOn w:val="a1"/>
    <w:uiPriority w:val="99"/>
    <w:rsid w:val="000B1F7F"/>
    <w:rPr>
      <w:rFonts w:cs="Times New Roman"/>
    </w:rPr>
  </w:style>
  <w:style w:type="character" w:customStyle="1" w:styleId="epm">
    <w:name w:val="epm"/>
    <w:basedOn w:val="a1"/>
    <w:uiPriority w:val="99"/>
    <w:rsid w:val="000B1F7F"/>
    <w:rPr>
      <w:rFonts w:cs="Times New Roman"/>
    </w:rPr>
  </w:style>
  <w:style w:type="character" w:customStyle="1" w:styleId="f">
    <w:name w:val="f"/>
    <w:basedOn w:val="a1"/>
    <w:uiPriority w:val="99"/>
    <w:rsid w:val="000B1F7F"/>
    <w:rPr>
      <w:rFonts w:cs="Times New Roman"/>
    </w:rPr>
  </w:style>
  <w:style w:type="paragraph" w:customStyle="1" w:styleId="afff0">
    <w:name w:val="Знак Знак Знак"/>
    <w:basedOn w:val="a0"/>
    <w:uiPriority w:val="99"/>
    <w:rsid w:val="003411AC"/>
    <w:pPr>
      <w:spacing w:before="100" w:beforeAutospacing="1" w:after="100" w:afterAutospacing="1" w:line="240" w:lineRule="auto"/>
    </w:pPr>
    <w:rPr>
      <w:rFonts w:ascii="Tahoma" w:eastAsia="Times New Roman" w:hAnsi="Tahoma"/>
      <w:sz w:val="20"/>
      <w:szCs w:val="20"/>
      <w:lang w:val="en-US"/>
    </w:rPr>
  </w:style>
  <w:style w:type="paragraph" w:customStyle="1" w:styleId="ConsNormal">
    <w:name w:val="ConsNormal"/>
    <w:uiPriority w:val="99"/>
    <w:rsid w:val="003411AC"/>
    <w:pPr>
      <w:widowControl w:val="0"/>
      <w:autoSpaceDE w:val="0"/>
      <w:autoSpaceDN w:val="0"/>
      <w:adjustRightInd w:val="0"/>
      <w:ind w:right="19772" w:firstLine="720"/>
    </w:pPr>
    <w:rPr>
      <w:rFonts w:ascii="Arial" w:eastAsia="Times New Roman" w:hAnsi="Arial" w:cs="Arial"/>
      <w:sz w:val="20"/>
      <w:szCs w:val="20"/>
    </w:rPr>
  </w:style>
  <w:style w:type="character" w:styleId="afff1">
    <w:name w:val="FollowedHyperlink"/>
    <w:basedOn w:val="a1"/>
    <w:uiPriority w:val="99"/>
    <w:semiHidden/>
    <w:rsid w:val="00F0232A"/>
    <w:rPr>
      <w:rFonts w:cs="Times New Roman"/>
      <w:color w:val="800080"/>
      <w:u w:val="single"/>
    </w:rPr>
  </w:style>
  <w:style w:type="character" w:customStyle="1" w:styleId="ConsPlusNormal0">
    <w:name w:val="ConsPlusNormal Знак"/>
    <w:link w:val="ConsPlusNormal"/>
    <w:uiPriority w:val="99"/>
    <w:locked/>
    <w:rsid w:val="00C05FA8"/>
    <w:rPr>
      <w:rFonts w:ascii="Arial" w:hAnsi="Arial"/>
      <w:sz w:val="22"/>
      <w:lang w:val="ru-RU" w:eastAsia="ru-RU"/>
    </w:rPr>
  </w:style>
  <w:style w:type="table" w:customStyle="1" w:styleId="TableNormal1">
    <w:name w:val="Table Normal1"/>
    <w:uiPriority w:val="99"/>
    <w:rsid w:val="00F334C1"/>
    <w:pPr>
      <w:spacing w:line="276" w:lineRule="auto"/>
    </w:pPr>
    <w:rPr>
      <w:rFonts w:ascii="Arial" w:hAnsi="Arial" w:cs="Arial"/>
      <w:color w:val="000000"/>
      <w:szCs w:val="20"/>
    </w:rPr>
    <w:tblPr>
      <w:tblCellMar>
        <w:top w:w="0" w:type="dxa"/>
        <w:left w:w="0" w:type="dxa"/>
        <w:bottom w:w="0" w:type="dxa"/>
        <w:right w:w="0" w:type="dxa"/>
      </w:tblCellMar>
    </w:tblPr>
  </w:style>
  <w:style w:type="paragraph" w:styleId="afff2">
    <w:name w:val="annotation subject"/>
    <w:basedOn w:val="affe"/>
    <w:next w:val="affe"/>
    <w:link w:val="afff3"/>
    <w:uiPriority w:val="99"/>
    <w:semiHidden/>
    <w:rsid w:val="00F334C1"/>
    <w:pPr>
      <w:ind w:firstLine="0"/>
      <w:jc w:val="left"/>
    </w:pPr>
    <w:rPr>
      <w:rFonts w:ascii="Arial" w:hAnsi="Arial"/>
      <w:b/>
      <w:bCs/>
      <w:color w:val="000000"/>
    </w:rPr>
  </w:style>
  <w:style w:type="character" w:customStyle="1" w:styleId="afff3">
    <w:name w:val="Тема примечания Знак"/>
    <w:basedOn w:val="afff"/>
    <w:link w:val="afff2"/>
    <w:uiPriority w:val="99"/>
    <w:semiHidden/>
    <w:locked/>
    <w:rsid w:val="00F334C1"/>
    <w:rPr>
      <w:rFonts w:ascii="Arial" w:hAnsi="Arial" w:cs="Times New Roman"/>
      <w:b/>
      <w:color w:val="000000"/>
      <w:sz w:val="20"/>
    </w:rPr>
  </w:style>
  <w:style w:type="paragraph" w:styleId="afff4">
    <w:name w:val="Revision"/>
    <w:hidden/>
    <w:uiPriority w:val="99"/>
    <w:semiHidden/>
    <w:rsid w:val="00F334C1"/>
    <w:rPr>
      <w:rFonts w:ascii="Arial" w:hAnsi="Arial" w:cs="Arial"/>
      <w:color w:val="000000"/>
      <w:szCs w:val="20"/>
    </w:rPr>
  </w:style>
  <w:style w:type="paragraph" w:styleId="41">
    <w:name w:val="toc 4"/>
    <w:basedOn w:val="a0"/>
    <w:next w:val="a0"/>
    <w:autoRedefine/>
    <w:uiPriority w:val="99"/>
    <w:rsid w:val="00D42213"/>
    <w:pPr>
      <w:spacing w:after="100"/>
      <w:ind w:left="660"/>
    </w:pPr>
    <w:rPr>
      <w:rFonts w:eastAsia="Times New Roman"/>
      <w:lang w:eastAsia="ru-RU"/>
    </w:rPr>
  </w:style>
  <w:style w:type="paragraph" w:styleId="51">
    <w:name w:val="toc 5"/>
    <w:basedOn w:val="a0"/>
    <w:next w:val="a0"/>
    <w:autoRedefine/>
    <w:uiPriority w:val="99"/>
    <w:rsid w:val="00D42213"/>
    <w:pPr>
      <w:spacing w:after="100"/>
      <w:ind w:left="880"/>
    </w:pPr>
    <w:rPr>
      <w:rFonts w:eastAsia="Times New Roman"/>
      <w:lang w:eastAsia="ru-RU"/>
    </w:rPr>
  </w:style>
  <w:style w:type="paragraph" w:styleId="61">
    <w:name w:val="toc 6"/>
    <w:basedOn w:val="a0"/>
    <w:next w:val="a0"/>
    <w:autoRedefine/>
    <w:uiPriority w:val="99"/>
    <w:rsid w:val="00D42213"/>
    <w:pPr>
      <w:spacing w:after="100"/>
      <w:ind w:left="1100"/>
    </w:pPr>
    <w:rPr>
      <w:rFonts w:eastAsia="Times New Roman"/>
      <w:lang w:eastAsia="ru-RU"/>
    </w:rPr>
  </w:style>
  <w:style w:type="paragraph" w:styleId="71">
    <w:name w:val="toc 7"/>
    <w:basedOn w:val="a0"/>
    <w:next w:val="a0"/>
    <w:autoRedefine/>
    <w:uiPriority w:val="99"/>
    <w:rsid w:val="00D42213"/>
    <w:pPr>
      <w:spacing w:after="100"/>
      <w:ind w:left="1320"/>
    </w:pPr>
    <w:rPr>
      <w:rFonts w:eastAsia="Times New Roman"/>
      <w:lang w:eastAsia="ru-RU"/>
    </w:rPr>
  </w:style>
  <w:style w:type="paragraph" w:styleId="81">
    <w:name w:val="toc 8"/>
    <w:basedOn w:val="a0"/>
    <w:next w:val="a0"/>
    <w:autoRedefine/>
    <w:uiPriority w:val="99"/>
    <w:rsid w:val="00D42213"/>
    <w:pPr>
      <w:spacing w:after="100"/>
      <w:ind w:left="1540"/>
    </w:pPr>
    <w:rPr>
      <w:rFonts w:eastAsia="Times New Roman"/>
      <w:lang w:eastAsia="ru-RU"/>
    </w:rPr>
  </w:style>
  <w:style w:type="paragraph" w:styleId="91">
    <w:name w:val="toc 9"/>
    <w:basedOn w:val="a0"/>
    <w:next w:val="a0"/>
    <w:autoRedefine/>
    <w:uiPriority w:val="99"/>
    <w:rsid w:val="00D42213"/>
    <w:pPr>
      <w:spacing w:after="100"/>
      <w:ind w:left="1760"/>
    </w:pPr>
    <w:rPr>
      <w:rFonts w:eastAsia="Times New Roman"/>
      <w:lang w:eastAsia="ru-RU"/>
    </w:rPr>
  </w:style>
  <w:style w:type="character" w:styleId="afff5">
    <w:name w:val="page number"/>
    <w:basedOn w:val="a1"/>
    <w:uiPriority w:val="99"/>
    <w:rsid w:val="00DB70C4"/>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088777">
      <w:marLeft w:val="0"/>
      <w:marRight w:val="0"/>
      <w:marTop w:val="0"/>
      <w:marBottom w:val="0"/>
      <w:divBdr>
        <w:top w:val="none" w:sz="0" w:space="0" w:color="auto"/>
        <w:left w:val="none" w:sz="0" w:space="0" w:color="auto"/>
        <w:bottom w:val="none" w:sz="0" w:space="0" w:color="auto"/>
        <w:right w:val="none" w:sz="0" w:space="0" w:color="auto"/>
      </w:divBdr>
    </w:div>
    <w:div w:id="89088778">
      <w:marLeft w:val="0"/>
      <w:marRight w:val="0"/>
      <w:marTop w:val="0"/>
      <w:marBottom w:val="0"/>
      <w:divBdr>
        <w:top w:val="none" w:sz="0" w:space="0" w:color="auto"/>
        <w:left w:val="none" w:sz="0" w:space="0" w:color="auto"/>
        <w:bottom w:val="none" w:sz="0" w:space="0" w:color="auto"/>
        <w:right w:val="none" w:sz="0" w:space="0" w:color="auto"/>
      </w:divBdr>
    </w:div>
    <w:div w:id="89088780">
      <w:marLeft w:val="0"/>
      <w:marRight w:val="0"/>
      <w:marTop w:val="0"/>
      <w:marBottom w:val="0"/>
      <w:divBdr>
        <w:top w:val="none" w:sz="0" w:space="0" w:color="auto"/>
        <w:left w:val="none" w:sz="0" w:space="0" w:color="auto"/>
        <w:bottom w:val="none" w:sz="0" w:space="0" w:color="auto"/>
        <w:right w:val="none" w:sz="0" w:space="0" w:color="auto"/>
      </w:divBdr>
    </w:div>
    <w:div w:id="89088781">
      <w:marLeft w:val="0"/>
      <w:marRight w:val="0"/>
      <w:marTop w:val="0"/>
      <w:marBottom w:val="0"/>
      <w:divBdr>
        <w:top w:val="none" w:sz="0" w:space="0" w:color="auto"/>
        <w:left w:val="none" w:sz="0" w:space="0" w:color="auto"/>
        <w:bottom w:val="none" w:sz="0" w:space="0" w:color="auto"/>
        <w:right w:val="none" w:sz="0" w:space="0" w:color="auto"/>
      </w:divBdr>
    </w:div>
    <w:div w:id="89088783">
      <w:marLeft w:val="0"/>
      <w:marRight w:val="0"/>
      <w:marTop w:val="0"/>
      <w:marBottom w:val="0"/>
      <w:divBdr>
        <w:top w:val="none" w:sz="0" w:space="0" w:color="auto"/>
        <w:left w:val="none" w:sz="0" w:space="0" w:color="auto"/>
        <w:bottom w:val="none" w:sz="0" w:space="0" w:color="auto"/>
        <w:right w:val="none" w:sz="0" w:space="0" w:color="auto"/>
      </w:divBdr>
    </w:div>
    <w:div w:id="89088784">
      <w:marLeft w:val="0"/>
      <w:marRight w:val="0"/>
      <w:marTop w:val="0"/>
      <w:marBottom w:val="0"/>
      <w:divBdr>
        <w:top w:val="none" w:sz="0" w:space="0" w:color="auto"/>
        <w:left w:val="none" w:sz="0" w:space="0" w:color="auto"/>
        <w:bottom w:val="none" w:sz="0" w:space="0" w:color="auto"/>
        <w:right w:val="none" w:sz="0" w:space="0" w:color="auto"/>
      </w:divBdr>
    </w:div>
    <w:div w:id="89088785">
      <w:marLeft w:val="0"/>
      <w:marRight w:val="0"/>
      <w:marTop w:val="0"/>
      <w:marBottom w:val="0"/>
      <w:divBdr>
        <w:top w:val="none" w:sz="0" w:space="0" w:color="auto"/>
        <w:left w:val="none" w:sz="0" w:space="0" w:color="auto"/>
        <w:bottom w:val="none" w:sz="0" w:space="0" w:color="auto"/>
        <w:right w:val="none" w:sz="0" w:space="0" w:color="auto"/>
      </w:divBdr>
    </w:div>
    <w:div w:id="89088786">
      <w:marLeft w:val="0"/>
      <w:marRight w:val="0"/>
      <w:marTop w:val="0"/>
      <w:marBottom w:val="0"/>
      <w:divBdr>
        <w:top w:val="none" w:sz="0" w:space="0" w:color="auto"/>
        <w:left w:val="none" w:sz="0" w:space="0" w:color="auto"/>
        <w:bottom w:val="none" w:sz="0" w:space="0" w:color="auto"/>
        <w:right w:val="none" w:sz="0" w:space="0" w:color="auto"/>
      </w:divBdr>
    </w:div>
    <w:div w:id="89088787">
      <w:marLeft w:val="0"/>
      <w:marRight w:val="0"/>
      <w:marTop w:val="0"/>
      <w:marBottom w:val="0"/>
      <w:divBdr>
        <w:top w:val="none" w:sz="0" w:space="0" w:color="auto"/>
        <w:left w:val="none" w:sz="0" w:space="0" w:color="auto"/>
        <w:bottom w:val="none" w:sz="0" w:space="0" w:color="auto"/>
        <w:right w:val="none" w:sz="0" w:space="0" w:color="auto"/>
      </w:divBdr>
    </w:div>
    <w:div w:id="89088788">
      <w:marLeft w:val="0"/>
      <w:marRight w:val="0"/>
      <w:marTop w:val="0"/>
      <w:marBottom w:val="0"/>
      <w:divBdr>
        <w:top w:val="none" w:sz="0" w:space="0" w:color="auto"/>
        <w:left w:val="none" w:sz="0" w:space="0" w:color="auto"/>
        <w:bottom w:val="none" w:sz="0" w:space="0" w:color="auto"/>
        <w:right w:val="none" w:sz="0" w:space="0" w:color="auto"/>
      </w:divBdr>
    </w:div>
    <w:div w:id="89088789">
      <w:marLeft w:val="0"/>
      <w:marRight w:val="0"/>
      <w:marTop w:val="0"/>
      <w:marBottom w:val="0"/>
      <w:divBdr>
        <w:top w:val="none" w:sz="0" w:space="0" w:color="auto"/>
        <w:left w:val="none" w:sz="0" w:space="0" w:color="auto"/>
        <w:bottom w:val="none" w:sz="0" w:space="0" w:color="auto"/>
        <w:right w:val="none" w:sz="0" w:space="0" w:color="auto"/>
      </w:divBdr>
    </w:div>
    <w:div w:id="89088790">
      <w:marLeft w:val="0"/>
      <w:marRight w:val="0"/>
      <w:marTop w:val="0"/>
      <w:marBottom w:val="0"/>
      <w:divBdr>
        <w:top w:val="none" w:sz="0" w:space="0" w:color="auto"/>
        <w:left w:val="none" w:sz="0" w:space="0" w:color="auto"/>
        <w:bottom w:val="none" w:sz="0" w:space="0" w:color="auto"/>
        <w:right w:val="none" w:sz="0" w:space="0" w:color="auto"/>
      </w:divBdr>
    </w:div>
    <w:div w:id="89088791">
      <w:marLeft w:val="0"/>
      <w:marRight w:val="0"/>
      <w:marTop w:val="0"/>
      <w:marBottom w:val="0"/>
      <w:divBdr>
        <w:top w:val="none" w:sz="0" w:space="0" w:color="auto"/>
        <w:left w:val="none" w:sz="0" w:space="0" w:color="auto"/>
        <w:bottom w:val="none" w:sz="0" w:space="0" w:color="auto"/>
        <w:right w:val="none" w:sz="0" w:space="0" w:color="auto"/>
      </w:divBdr>
    </w:div>
    <w:div w:id="89088792">
      <w:marLeft w:val="0"/>
      <w:marRight w:val="0"/>
      <w:marTop w:val="0"/>
      <w:marBottom w:val="0"/>
      <w:divBdr>
        <w:top w:val="none" w:sz="0" w:space="0" w:color="auto"/>
        <w:left w:val="none" w:sz="0" w:space="0" w:color="auto"/>
        <w:bottom w:val="none" w:sz="0" w:space="0" w:color="auto"/>
        <w:right w:val="none" w:sz="0" w:space="0" w:color="auto"/>
      </w:divBdr>
      <w:divsChild>
        <w:div w:id="89088782">
          <w:marLeft w:val="0"/>
          <w:marRight w:val="0"/>
          <w:marTop w:val="0"/>
          <w:marBottom w:val="0"/>
          <w:divBdr>
            <w:top w:val="none" w:sz="0" w:space="0" w:color="auto"/>
            <w:left w:val="none" w:sz="0" w:space="0" w:color="auto"/>
            <w:bottom w:val="none" w:sz="0" w:space="0" w:color="auto"/>
            <w:right w:val="none" w:sz="0" w:space="0" w:color="auto"/>
          </w:divBdr>
        </w:div>
      </w:divsChild>
    </w:div>
    <w:div w:id="89088793">
      <w:marLeft w:val="0"/>
      <w:marRight w:val="0"/>
      <w:marTop w:val="0"/>
      <w:marBottom w:val="0"/>
      <w:divBdr>
        <w:top w:val="none" w:sz="0" w:space="0" w:color="auto"/>
        <w:left w:val="none" w:sz="0" w:space="0" w:color="auto"/>
        <w:bottom w:val="none" w:sz="0" w:space="0" w:color="auto"/>
        <w:right w:val="none" w:sz="0" w:space="0" w:color="auto"/>
      </w:divBdr>
    </w:div>
    <w:div w:id="89088794">
      <w:marLeft w:val="0"/>
      <w:marRight w:val="0"/>
      <w:marTop w:val="0"/>
      <w:marBottom w:val="0"/>
      <w:divBdr>
        <w:top w:val="none" w:sz="0" w:space="0" w:color="auto"/>
        <w:left w:val="none" w:sz="0" w:space="0" w:color="auto"/>
        <w:bottom w:val="none" w:sz="0" w:space="0" w:color="auto"/>
        <w:right w:val="none" w:sz="0" w:space="0" w:color="auto"/>
      </w:divBdr>
    </w:div>
    <w:div w:id="89088795">
      <w:marLeft w:val="0"/>
      <w:marRight w:val="0"/>
      <w:marTop w:val="0"/>
      <w:marBottom w:val="0"/>
      <w:divBdr>
        <w:top w:val="none" w:sz="0" w:space="0" w:color="auto"/>
        <w:left w:val="none" w:sz="0" w:space="0" w:color="auto"/>
        <w:bottom w:val="none" w:sz="0" w:space="0" w:color="auto"/>
        <w:right w:val="none" w:sz="0" w:space="0" w:color="auto"/>
      </w:divBdr>
    </w:div>
    <w:div w:id="89088796">
      <w:marLeft w:val="0"/>
      <w:marRight w:val="0"/>
      <w:marTop w:val="0"/>
      <w:marBottom w:val="0"/>
      <w:divBdr>
        <w:top w:val="none" w:sz="0" w:space="0" w:color="auto"/>
        <w:left w:val="none" w:sz="0" w:space="0" w:color="auto"/>
        <w:bottom w:val="none" w:sz="0" w:space="0" w:color="auto"/>
        <w:right w:val="none" w:sz="0" w:space="0" w:color="auto"/>
      </w:divBdr>
    </w:div>
    <w:div w:id="89088797">
      <w:marLeft w:val="0"/>
      <w:marRight w:val="0"/>
      <w:marTop w:val="0"/>
      <w:marBottom w:val="0"/>
      <w:divBdr>
        <w:top w:val="none" w:sz="0" w:space="0" w:color="auto"/>
        <w:left w:val="none" w:sz="0" w:space="0" w:color="auto"/>
        <w:bottom w:val="none" w:sz="0" w:space="0" w:color="auto"/>
        <w:right w:val="none" w:sz="0" w:space="0" w:color="auto"/>
      </w:divBdr>
    </w:div>
    <w:div w:id="89088799">
      <w:marLeft w:val="0"/>
      <w:marRight w:val="0"/>
      <w:marTop w:val="0"/>
      <w:marBottom w:val="0"/>
      <w:divBdr>
        <w:top w:val="none" w:sz="0" w:space="0" w:color="auto"/>
        <w:left w:val="none" w:sz="0" w:space="0" w:color="auto"/>
        <w:bottom w:val="none" w:sz="0" w:space="0" w:color="auto"/>
        <w:right w:val="none" w:sz="0" w:space="0" w:color="auto"/>
      </w:divBdr>
    </w:div>
    <w:div w:id="89088800">
      <w:marLeft w:val="0"/>
      <w:marRight w:val="0"/>
      <w:marTop w:val="0"/>
      <w:marBottom w:val="0"/>
      <w:divBdr>
        <w:top w:val="none" w:sz="0" w:space="0" w:color="auto"/>
        <w:left w:val="none" w:sz="0" w:space="0" w:color="auto"/>
        <w:bottom w:val="none" w:sz="0" w:space="0" w:color="auto"/>
        <w:right w:val="none" w:sz="0" w:space="0" w:color="auto"/>
      </w:divBdr>
      <w:divsChild>
        <w:div w:id="89088798">
          <w:marLeft w:val="0"/>
          <w:marRight w:val="0"/>
          <w:marTop w:val="0"/>
          <w:marBottom w:val="0"/>
          <w:divBdr>
            <w:top w:val="none" w:sz="0" w:space="0" w:color="auto"/>
            <w:left w:val="none" w:sz="0" w:space="0" w:color="auto"/>
            <w:bottom w:val="none" w:sz="0" w:space="0" w:color="auto"/>
            <w:right w:val="none" w:sz="0" w:space="0" w:color="auto"/>
          </w:divBdr>
        </w:div>
      </w:divsChild>
    </w:div>
    <w:div w:id="89088801">
      <w:marLeft w:val="0"/>
      <w:marRight w:val="0"/>
      <w:marTop w:val="0"/>
      <w:marBottom w:val="0"/>
      <w:divBdr>
        <w:top w:val="none" w:sz="0" w:space="0" w:color="auto"/>
        <w:left w:val="none" w:sz="0" w:space="0" w:color="auto"/>
        <w:bottom w:val="none" w:sz="0" w:space="0" w:color="auto"/>
        <w:right w:val="none" w:sz="0" w:space="0" w:color="auto"/>
      </w:divBdr>
      <w:divsChild>
        <w:div w:id="89088779">
          <w:marLeft w:val="0"/>
          <w:marRight w:val="0"/>
          <w:marTop w:val="0"/>
          <w:marBottom w:val="0"/>
          <w:divBdr>
            <w:top w:val="none" w:sz="0" w:space="0" w:color="auto"/>
            <w:left w:val="none" w:sz="0" w:space="0" w:color="auto"/>
            <w:bottom w:val="none" w:sz="0" w:space="0" w:color="auto"/>
            <w:right w:val="none" w:sz="0" w:space="0" w:color="auto"/>
          </w:divBdr>
        </w:div>
      </w:divsChild>
    </w:div>
    <w:div w:id="89088802">
      <w:marLeft w:val="0"/>
      <w:marRight w:val="0"/>
      <w:marTop w:val="0"/>
      <w:marBottom w:val="0"/>
      <w:divBdr>
        <w:top w:val="none" w:sz="0" w:space="0" w:color="auto"/>
        <w:left w:val="none" w:sz="0" w:space="0" w:color="auto"/>
        <w:bottom w:val="none" w:sz="0" w:space="0" w:color="auto"/>
        <w:right w:val="none" w:sz="0" w:space="0" w:color="auto"/>
      </w:divBdr>
    </w:div>
    <w:div w:id="8908880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chart" Target="charts/chart1.xml"/><Relationship Id="rId21" Type="http://schemas.openxmlformats.org/officeDocument/2006/relationships/image" Target="media/image7.emf"/><Relationship Id="rId42" Type="http://schemas.openxmlformats.org/officeDocument/2006/relationships/image" Target="media/image15.jpeg"/><Relationship Id="rId47" Type="http://schemas.openxmlformats.org/officeDocument/2006/relationships/image" Target="media/image20.png"/><Relationship Id="rId63" Type="http://schemas.openxmlformats.org/officeDocument/2006/relationships/image" Target="media/image29.emf"/><Relationship Id="rId68" Type="http://schemas.openxmlformats.org/officeDocument/2006/relationships/oleObject" Target="embeddings/oleObject3.bin"/><Relationship Id="rId84" Type="http://schemas.openxmlformats.org/officeDocument/2006/relationships/chart" Target="charts/chart16.xml"/><Relationship Id="rId89" Type="http://schemas.openxmlformats.org/officeDocument/2006/relationships/theme" Target="theme/theme1.xml"/><Relationship Id="rId16" Type="http://schemas.openxmlformats.org/officeDocument/2006/relationships/package" Target="embeddings/_____Microsoft_Excel4.xlsx"/><Relationship Id="rId11" Type="http://schemas.openxmlformats.org/officeDocument/2006/relationships/image" Target="media/image2.emf"/><Relationship Id="rId32" Type="http://schemas.openxmlformats.org/officeDocument/2006/relationships/image" Target="media/image11.emf"/><Relationship Id="rId37" Type="http://schemas.openxmlformats.org/officeDocument/2006/relationships/package" Target="embeddings/_____Microsoft_Excel15.xlsx"/><Relationship Id="rId53" Type="http://schemas.openxmlformats.org/officeDocument/2006/relationships/chart" Target="charts/chart5.xml"/><Relationship Id="rId58" Type="http://schemas.openxmlformats.org/officeDocument/2006/relationships/chart" Target="charts/chart7.xml"/><Relationship Id="rId74" Type="http://schemas.openxmlformats.org/officeDocument/2006/relationships/hyperlink" Target="http://ru.wikipedia.org/wiki/%D0%A0%D0%B5%D1%81%D1%83%D1%80%D1%81%D1%8B" TargetMode="External"/><Relationship Id="rId79" Type="http://schemas.openxmlformats.org/officeDocument/2006/relationships/hyperlink" Target="http://www.admkogalym.ru/-template/image/ekonom/2014/plan_meropriyti_invest_klimata_160114.doc" TargetMode="External"/><Relationship Id="rId5" Type="http://schemas.openxmlformats.org/officeDocument/2006/relationships/footnotes" Target="footnotes.xml"/><Relationship Id="rId14" Type="http://schemas.openxmlformats.org/officeDocument/2006/relationships/package" Target="embeddings/_____Microsoft_Excel3.xlsx"/><Relationship Id="rId22" Type="http://schemas.openxmlformats.org/officeDocument/2006/relationships/package" Target="embeddings/_____Microsoft_Excel7.xlsx"/><Relationship Id="rId27" Type="http://schemas.openxmlformats.org/officeDocument/2006/relationships/chart" Target="charts/chart2.xml"/><Relationship Id="rId30" Type="http://schemas.openxmlformats.org/officeDocument/2006/relationships/image" Target="media/image10.emf"/><Relationship Id="rId35" Type="http://schemas.openxmlformats.org/officeDocument/2006/relationships/package" Target="embeddings/_____Microsoft_Excel14.xlsx"/><Relationship Id="rId43" Type="http://schemas.openxmlformats.org/officeDocument/2006/relationships/image" Target="media/image16.jpeg"/><Relationship Id="rId48" Type="http://schemas.openxmlformats.org/officeDocument/2006/relationships/image" Target="media/image21.png"/><Relationship Id="rId56" Type="http://schemas.openxmlformats.org/officeDocument/2006/relationships/chart" Target="charts/chart6.xml"/><Relationship Id="rId64" Type="http://schemas.openxmlformats.org/officeDocument/2006/relationships/oleObject" Target="embeddings/oleObject1.bin"/><Relationship Id="rId69" Type="http://schemas.openxmlformats.org/officeDocument/2006/relationships/image" Target="media/image32.emf"/><Relationship Id="rId77" Type="http://schemas.openxmlformats.org/officeDocument/2006/relationships/chart" Target="charts/chart12.xml"/><Relationship Id="rId8" Type="http://schemas.openxmlformats.org/officeDocument/2006/relationships/footer" Target="footer2.xml"/><Relationship Id="rId51" Type="http://schemas.openxmlformats.org/officeDocument/2006/relationships/image" Target="media/image23.png"/><Relationship Id="rId72" Type="http://schemas.openxmlformats.org/officeDocument/2006/relationships/image" Target="media/image33.wmf"/><Relationship Id="rId80" Type="http://schemas.openxmlformats.org/officeDocument/2006/relationships/hyperlink" Target="http://www.admkogalym.ru/index?tid=633200035&amp;nd=458211228&amp;prevDoc=458211162" TargetMode="External"/><Relationship Id="rId85" Type="http://schemas.openxmlformats.org/officeDocument/2006/relationships/image" Target="media/image34.png"/><Relationship Id="rId3" Type="http://schemas.openxmlformats.org/officeDocument/2006/relationships/settings" Target="settings.xml"/><Relationship Id="rId12" Type="http://schemas.openxmlformats.org/officeDocument/2006/relationships/package" Target="embeddings/_____Microsoft_Excel2.xlsx"/><Relationship Id="rId17" Type="http://schemas.openxmlformats.org/officeDocument/2006/relationships/image" Target="media/image5.emf"/><Relationship Id="rId25" Type="http://schemas.openxmlformats.org/officeDocument/2006/relationships/hyperlink" Target="https://ru.wikipedia.org/wiki/%D0%A2%D0%BE%D0%B2%D0%B0%D1%80" TargetMode="External"/><Relationship Id="rId33" Type="http://schemas.openxmlformats.org/officeDocument/2006/relationships/package" Target="embeddings/_____Microsoft_Excel13.xlsx"/><Relationship Id="rId38" Type="http://schemas.openxmlformats.org/officeDocument/2006/relationships/hyperlink" Target="http://dic.academic.ru/dic.nsf/enc_biology/1350" TargetMode="External"/><Relationship Id="rId46" Type="http://schemas.openxmlformats.org/officeDocument/2006/relationships/image" Target="media/image19.png"/><Relationship Id="rId59" Type="http://schemas.openxmlformats.org/officeDocument/2006/relationships/image" Target="media/image27.png"/><Relationship Id="rId67" Type="http://schemas.openxmlformats.org/officeDocument/2006/relationships/image" Target="media/image31.emf"/><Relationship Id="rId20" Type="http://schemas.openxmlformats.org/officeDocument/2006/relationships/package" Target="embeddings/_____Microsoft_Excel6.xlsx"/><Relationship Id="rId41" Type="http://schemas.openxmlformats.org/officeDocument/2006/relationships/image" Target="media/image14.jpeg"/><Relationship Id="rId54" Type="http://schemas.openxmlformats.org/officeDocument/2006/relationships/image" Target="media/image24.png"/><Relationship Id="rId62" Type="http://schemas.openxmlformats.org/officeDocument/2006/relationships/chart" Target="charts/chart9.xml"/><Relationship Id="rId70" Type="http://schemas.openxmlformats.org/officeDocument/2006/relationships/oleObject" Target="embeddings/oleObject4.bin"/><Relationship Id="rId75" Type="http://schemas.openxmlformats.org/officeDocument/2006/relationships/chart" Target="charts/chart10.xml"/><Relationship Id="rId83" Type="http://schemas.openxmlformats.org/officeDocument/2006/relationships/chart" Target="charts/chart15.xml"/><Relationship Id="rId88"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image" Target="media/image22.png"/><Relationship Id="rId57" Type="http://schemas.openxmlformats.org/officeDocument/2006/relationships/image" Target="media/image26.png"/><Relationship Id="rId10" Type="http://schemas.openxmlformats.org/officeDocument/2006/relationships/package" Target="embeddings/_____Microsoft_Excel1.xlsx"/><Relationship Id="rId31" Type="http://schemas.openxmlformats.org/officeDocument/2006/relationships/package" Target="embeddings/_____Microsoft_Excel12.xlsx"/><Relationship Id="rId44" Type="http://schemas.openxmlformats.org/officeDocument/2006/relationships/image" Target="media/image17.jpeg"/><Relationship Id="rId52" Type="http://schemas.openxmlformats.org/officeDocument/2006/relationships/chart" Target="charts/chart4.xml"/><Relationship Id="rId60" Type="http://schemas.openxmlformats.org/officeDocument/2006/relationships/image" Target="media/image28.png"/><Relationship Id="rId65" Type="http://schemas.openxmlformats.org/officeDocument/2006/relationships/image" Target="media/image30.emf"/><Relationship Id="rId73" Type="http://schemas.openxmlformats.org/officeDocument/2006/relationships/hyperlink" Target="http://ru.wikipedia.org/wiki/%D0%9F%D1%80%D0%BE%D0%BC%D1%8B%D1%88%D0%BB%D0%B5%D0%BD%D0%BD%D0%BE%D1%81%D1%82%D1%8C" TargetMode="External"/><Relationship Id="rId78" Type="http://schemas.openxmlformats.org/officeDocument/2006/relationships/hyperlink" Target="http://www.admkogalym.ru/index?tid=633200035&amp;nd=458211222&amp;prevDoc=458211162" TargetMode="External"/><Relationship Id="rId81" Type="http://schemas.openxmlformats.org/officeDocument/2006/relationships/chart" Target="charts/chart13.xml"/><Relationship Id="rId86" Type="http://schemas.openxmlformats.org/officeDocument/2006/relationships/hyperlink" Target="consultantplus://offline/ref=8BD927CC691569ED60D0DAC89D17184F4012247DC2D987B403204DEE90n3Q0J" TargetMode="External"/><Relationship Id="rId4" Type="http://schemas.openxmlformats.org/officeDocument/2006/relationships/webSettings" Target="webSetting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_____Microsoft_Excel5.xlsx"/><Relationship Id="rId39" Type="http://schemas.openxmlformats.org/officeDocument/2006/relationships/hyperlink" Target="http://buhgalterskiy_slovar.academic.ru/8040/%D0%A1%D0%A2%D0%9E%D0%98%D0%9C%D0%9E%D0%A1%D0%A2%D0%AC" TargetMode="External"/><Relationship Id="rId34" Type="http://schemas.openxmlformats.org/officeDocument/2006/relationships/image" Target="media/image12.emf"/><Relationship Id="rId50" Type="http://schemas.openxmlformats.org/officeDocument/2006/relationships/chart" Target="charts/chart3.xml"/><Relationship Id="rId55" Type="http://schemas.openxmlformats.org/officeDocument/2006/relationships/image" Target="media/image25.png"/><Relationship Id="rId76" Type="http://schemas.openxmlformats.org/officeDocument/2006/relationships/chart" Target="charts/chart11.xml"/><Relationship Id="rId7" Type="http://schemas.openxmlformats.org/officeDocument/2006/relationships/footer" Target="footer1.xml"/><Relationship Id="rId71" Type="http://schemas.openxmlformats.org/officeDocument/2006/relationships/hyperlink" Target="http://ru.wikipedia.org/wiki/%D0%97%D0%B0%D0%BF%D0%B0%D0%B4%D0%BD%D0%B0%D1%8F_%D0%A1%D0%B8%D0%B1%D0%B8%D1%80%D1%8C" TargetMode="External"/><Relationship Id="rId2" Type="http://schemas.openxmlformats.org/officeDocument/2006/relationships/styles" Target="styles.xml"/><Relationship Id="rId29" Type="http://schemas.openxmlformats.org/officeDocument/2006/relationships/package" Target="embeddings/_____Microsoft_Excel11.xlsx"/><Relationship Id="rId24" Type="http://schemas.openxmlformats.org/officeDocument/2006/relationships/package" Target="embeddings/_____Microsoft_Excel8.xlsx"/><Relationship Id="rId40" Type="http://schemas.openxmlformats.org/officeDocument/2006/relationships/hyperlink" Target="http://dic.academic.ru/dic.nsf/fin_enc/17230" TargetMode="External"/><Relationship Id="rId45" Type="http://schemas.openxmlformats.org/officeDocument/2006/relationships/image" Target="media/image18.png"/><Relationship Id="rId66" Type="http://schemas.openxmlformats.org/officeDocument/2006/relationships/oleObject" Target="embeddings/oleObject2.bin"/><Relationship Id="rId87" Type="http://schemas.openxmlformats.org/officeDocument/2006/relationships/hyperlink" Target="consultantplus://offline/ref=8BD927CC691569ED60D0DAC89D17184F4012247DC1DB87B403204DEE90n3Q0J" TargetMode="External"/><Relationship Id="rId61" Type="http://schemas.openxmlformats.org/officeDocument/2006/relationships/chart" Target="charts/chart8.xml"/><Relationship Id="rId82" Type="http://schemas.openxmlformats.org/officeDocument/2006/relationships/chart" Target="charts/chart14.xml"/><Relationship Id="rId19" Type="http://schemas.openxmlformats.org/officeDocument/2006/relationships/image" Target="media/image6.emf"/></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17.xlsx"/><Relationship Id="rId1" Type="http://schemas.openxmlformats.org/officeDocument/2006/relationships/themeOverride" Target="../theme/themeOverride7.xml"/></Relationships>
</file>

<file path=word/charts/_rels/chart1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_____Microsoft_Excel18.xlsx"/><Relationship Id="rId1" Type="http://schemas.openxmlformats.org/officeDocument/2006/relationships/themeOverride" Target="../theme/themeOverride8.xml"/></Relationships>
</file>

<file path=word/charts/_rels/chart12.xml.rels><?xml version="1.0" encoding="UTF-8" standalone="yes"?>
<Relationships xmlns="http://schemas.openxmlformats.org/package/2006/relationships"><Relationship Id="rId1" Type="http://schemas.openxmlformats.org/officeDocument/2006/relationships/oleObject" Target="file:///F:\!!!&#1055;&#1056;&#1054;&#1042;&#1045;&#1056;&#1048;&#1058;&#1068;\&#1050;&#1086;&#1087;&#1080;&#1103;%20&#1087;&#1091;&#1085;&#1082;&#1090;%203%204.xlsx" TargetMode="External"/></Relationships>
</file>

<file path=word/charts/_rels/chart13.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C:\Users\egalak\Desktop\&#1048;&#1089;&#1093;&#1086;&#1076;&#1085;&#1099;&#1077;%20&#1076;&#1072;&#1085;&#1085;&#1099;&#1077;_&#1085;&#1077;&#1092;&#1090;&#1100;_&#1050;&#1086;&#1075;&#1072;&#1083;&#1099;&#1084;.xlsx" TargetMode="External"/><Relationship Id="rId1" Type="http://schemas.openxmlformats.org/officeDocument/2006/relationships/themeOverride" Target="../theme/themeOverride9.xml"/></Relationships>
</file>

<file path=word/charts/_rels/chart14.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oleObject" Target="file:///F:\&#1050;&#1054;&#1043;&#1040;&#1051;&#1067;&#1052;\&#1041;&#1050;&#1043;\&#1041;&#1050;&#1043;_&#1076;&#1072;&#1085;&#1085;&#1099;&#1077;.xlsx" TargetMode="External"/><Relationship Id="rId1" Type="http://schemas.openxmlformats.org/officeDocument/2006/relationships/themeOverride" Target="../theme/themeOverride10.xml"/></Relationships>
</file>

<file path=word/charts/_rels/chart15.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oleObject" Target="file:///C:\Users\egalak\Desktop\&#1048;&#1089;&#1093;&#1086;&#1076;&#1085;&#1099;&#1077;%20&#1076;&#1072;&#1085;&#1085;&#1099;&#1077;_&#1085;&#1077;&#1092;&#1090;&#1100;_&#1050;&#1086;&#1075;&#1072;&#1083;&#1099;&#1084;.xlsx" TargetMode="External"/><Relationship Id="rId1" Type="http://schemas.openxmlformats.org/officeDocument/2006/relationships/themeOverride" Target="../theme/themeOverride11.xml"/></Relationships>
</file>

<file path=word/charts/_rels/chart16.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oleObject" Target="file:///F:\&#1050;&#1054;&#1043;&#1040;&#1051;&#1067;&#1052;\&#1041;&#1050;&#1043;\&#1041;&#1050;&#1043;_&#1076;&#1072;&#1085;&#1085;&#1099;&#1077;.xlsx" TargetMode="External"/><Relationship Id="rId1" Type="http://schemas.openxmlformats.org/officeDocument/2006/relationships/themeOverride" Target="../theme/themeOverride12.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1" Type="http://schemas.openxmlformats.org/officeDocument/2006/relationships/oleObject" Target="file:///\\crystal\&#1055;&#1088;&#1086;&#1077;&#1082;&#1090;&#1099;\&#1061;&#1052;&#1040;&#1054;\&#1050;&#1086;&#1075;&#1072;&#1083;&#1099;&#1084;%20&#1043;&#1054;\&#1050;&#1055;%201633-14%20&#1057;&#1057;&#1069;&#1056;\&#1056;&#1072;&#1073;&#1086;&#1095;&#1080;&#1077;%20&#1084;&#1072;&#1090;&#1077;&#1088;&#1080;&#1072;&#1083;&#1099;\&#1044;&#1057;&#1057;&#1069;&#1055;\&#1052;&#1072;&#1088;&#1091;&#1096;&#1082;&#1080;&#1085;&#1072;\&#1057;&#1074;&#1086;&#1076;.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rystal\&#1055;&#1088;&#1086;&#1077;&#1082;&#1090;&#1099;\&#1061;&#1052;&#1040;&#1054;\&#1050;&#1086;&#1075;&#1072;&#1083;&#1099;&#1084;%20&#1043;&#1054;\&#1050;&#1055;%201633-14%20&#1057;&#1057;&#1069;&#1056;\&#1056;&#1072;&#1073;&#1086;&#1095;&#1080;&#1077;%20&#1084;&#1072;&#1090;&#1077;&#1088;&#1080;&#1072;&#1083;&#1099;\&#1044;&#1057;&#1057;&#1069;&#1055;\&#1052;&#1072;&#1088;&#1091;&#1096;&#1082;&#1080;&#1085;&#1072;\&#1057;&#1074;&#1086;&#1076;.xlsx" TargetMode="Externa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16.xlsx"/><Relationship Id="rId1" Type="http://schemas.openxmlformats.org/officeDocument/2006/relationships/themeOverride" Target="../theme/themeOverride3.xml"/></Relationships>
</file>

<file path=word/charts/_rels/chart6.xml.rels><?xml version="1.0" encoding="UTF-8" standalone="yes"?>
<Relationships xmlns="http://schemas.openxmlformats.org/package/2006/relationships"><Relationship Id="rId2" Type="http://schemas.openxmlformats.org/officeDocument/2006/relationships/oleObject" Target="file:///C:\Documents%20and%20Settings\egalak.GRAD\&#1056;&#1072;&#1073;&#1086;&#1095;&#1080;&#1081;%20&#1089;&#1090;&#1086;&#1083;\&#1057;&#1057;&#1069;&#1056;_&#1052;&#1077;&#1075;&#1080;&#1086;&#1085;\&#1051;&#1080;&#1089;&#1090;%20Microsoft%20Excel.xlsx" TargetMode="External"/><Relationship Id="rId1" Type="http://schemas.openxmlformats.org/officeDocument/2006/relationships/themeOverride" Target="../theme/themeOverride4.xml"/></Relationships>
</file>

<file path=word/charts/_rels/chart7.xml.rels><?xml version="1.0" encoding="UTF-8" standalone="yes"?>
<Relationships xmlns="http://schemas.openxmlformats.org/package/2006/relationships"><Relationship Id="rId2" Type="http://schemas.openxmlformats.org/officeDocument/2006/relationships/oleObject" Target="file:///C:\Users\egalak\Desktop\&#1054;&#1082;&#1090;&#1103;&#1073;&#1088;&#1100;&#1089;&#1082;&#1080;&#1081;%20&#1052;&#1056;\&#1057;&#1042;&#1054;&#1058;&#1099;\&#1043;&#1088;&#1072;&#1092;&#1080;&#1082;&#1080;.xlsx" TargetMode="External"/><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1" Type="http://schemas.openxmlformats.org/officeDocument/2006/relationships/oleObject" Target="file:///C:\Users\egalak\Desktop\&#1050;&#1054;&#1043;&#1040;&#1051;&#1067;&#1052;_&#1057;&#1057;&#1069;&#1056;\1%20&#1101;&#1090;&#1072;&#1087;_&#1084;&#1086;&#1080;%20&#1088;&#1072;&#1079;&#1076;&#1077;&#1083;&#1099;\&#1057;&#1042;&#1054;&#1058;&#1067;%20&#1087;&#1086;%20&#1086;&#1090;&#1088;&#1072;&#1089;&#1083;&#1103;&#1084;\&#1057;&#1061;\&#1075;&#1088;&#1072;&#1092;&#1080;&#1082;&#1080;.xlsx" TargetMode="External"/></Relationships>
</file>

<file path=word/charts/_rels/chart9.xml.rels><?xml version="1.0" encoding="UTF-8" standalone="yes"?>
<Relationships xmlns="http://schemas.openxmlformats.org/package/2006/relationships"><Relationship Id="rId2" Type="http://schemas.openxmlformats.org/officeDocument/2006/relationships/oleObject" Target="file:///\\crystal\&#1055;&#1088;&#1086;&#1077;&#1082;&#1090;&#1099;\&#1061;&#1052;&#1040;&#1054;\&#1050;&#1086;&#1075;&#1072;&#1083;&#1099;&#1084;%20&#1043;&#1054;\&#1050;&#1055;%201633-14%20&#1057;&#1057;&#1069;&#1056;\&#1056;&#1072;&#1073;&#1086;&#1095;&#1080;&#1077;%20&#1084;&#1072;&#1090;&#1077;&#1088;&#1080;&#1072;&#1083;&#1099;\&#1044;&#1057;&#1057;&#1069;&#1055;\&#1057;&#1082;&#1083;&#1103;&#1088;\&#1075;&#1088;&#1072;&#1092;&#1080;&#1082;&#1080;_&#1087;&#1080;&#1097;&#1072;_&#1089;&#1090;&#1088;&#1086;&#1081;&#1082;&#1072;_&#1085;&#1077;&#1092;&#1090;&#1100;.xlsx" TargetMode="External"/><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6.0590133217680503E-2"/>
          <c:y val="5.8207864384738163E-2"/>
          <c:w val="0.49872829441716032"/>
          <c:h val="0.73810330375299149"/>
        </c:manualLayout>
      </c:layout>
      <c:pie3DChart>
        <c:varyColors val="1"/>
        <c:ser>
          <c:idx val="0"/>
          <c:order val="0"/>
          <c:tx>
            <c:strRef>
              <c:f>Лист1!$B$1</c:f>
              <c:strCache>
                <c:ptCount val="1"/>
                <c:pt idx="0">
                  <c:v>Столбец1</c:v>
                </c:pt>
              </c:strCache>
            </c:strRef>
          </c:tx>
          <c:spPr>
            <a:ln w="10165">
              <a:solidFill>
                <a:schemeClr val="tx1"/>
              </a:solidFill>
            </a:ln>
          </c:spPr>
          <c:explosion val="25"/>
          <c:dPt>
            <c:idx val="0"/>
            <c:bubble3D val="0"/>
            <c:spPr>
              <a:solidFill>
                <a:srgbClr val="0066CC"/>
              </a:solidFill>
              <a:ln w="10165">
                <a:solidFill>
                  <a:schemeClr val="tx1"/>
                </a:solidFill>
              </a:ln>
            </c:spPr>
          </c:dPt>
          <c:dPt>
            <c:idx val="1"/>
            <c:bubble3D val="0"/>
            <c:spPr>
              <a:solidFill>
                <a:srgbClr val="CC3300"/>
              </a:solidFill>
              <a:ln w="10165">
                <a:solidFill>
                  <a:schemeClr val="tx1"/>
                </a:solidFill>
              </a:ln>
            </c:spPr>
          </c:dPt>
          <c:dPt>
            <c:idx val="2"/>
            <c:bubble3D val="0"/>
            <c:spPr>
              <a:solidFill>
                <a:srgbClr val="99CC00"/>
              </a:solidFill>
              <a:ln w="10165">
                <a:solidFill>
                  <a:schemeClr val="tx1"/>
                </a:solidFill>
              </a:ln>
            </c:spPr>
          </c:dPt>
          <c:dPt>
            <c:idx val="3"/>
            <c:bubble3D val="0"/>
            <c:spPr>
              <a:solidFill>
                <a:srgbClr val="CC0099"/>
              </a:solidFill>
              <a:ln w="10165">
                <a:solidFill>
                  <a:schemeClr val="tx1"/>
                </a:solidFill>
              </a:ln>
            </c:spPr>
          </c:dPt>
          <c:dPt>
            <c:idx val="4"/>
            <c:bubble3D val="0"/>
            <c:spPr>
              <a:solidFill>
                <a:srgbClr val="FF0000"/>
              </a:solidFill>
              <a:ln w="10165">
                <a:solidFill>
                  <a:schemeClr val="tx1"/>
                </a:solidFill>
              </a:ln>
            </c:spPr>
          </c:dPt>
          <c:dPt>
            <c:idx val="5"/>
            <c:bubble3D val="0"/>
            <c:spPr>
              <a:solidFill>
                <a:srgbClr val="FFC000"/>
              </a:solidFill>
              <a:ln w="10165">
                <a:solidFill>
                  <a:schemeClr val="tx1"/>
                </a:solidFill>
              </a:ln>
            </c:spPr>
          </c:dPt>
          <c:dPt>
            <c:idx val="6"/>
            <c:bubble3D val="0"/>
            <c:spPr>
              <a:solidFill>
                <a:srgbClr val="009900"/>
              </a:solidFill>
              <a:ln w="10165">
                <a:solidFill>
                  <a:schemeClr val="tx1"/>
                </a:solidFill>
              </a:ln>
            </c:spPr>
          </c:dPt>
          <c:dLbls>
            <c:dLbl>
              <c:idx val="0"/>
              <c:layout>
                <c:manualLayout>
                  <c:x val="9.4748684709203626E-3"/>
                  <c:y val="-3.0721849420777578E-2"/>
                </c:manualLayout>
              </c:layout>
              <c:dLblPos val="bestFit"/>
              <c:showLegendKey val="0"/>
              <c:showVal val="0"/>
              <c:showCatName val="0"/>
              <c:showSerName val="0"/>
              <c:showPercent val="1"/>
              <c:showBubbleSize val="0"/>
              <c:extLst>
                <c:ext xmlns:c15="http://schemas.microsoft.com/office/drawing/2012/chart" uri="{CE6537A1-D6FC-4f65-9D91-7224C49458BB}"/>
              </c:extLst>
            </c:dLbl>
            <c:dLbl>
              <c:idx val="2"/>
              <c:layout>
                <c:manualLayout>
                  <c:x val="1.8949736941840725E-2"/>
                  <c:y val="2.1944178157698151E-2"/>
                </c:manualLayout>
              </c:layout>
              <c:dLblPos val="bestFit"/>
              <c:showLegendKey val="0"/>
              <c:showVal val="0"/>
              <c:showCatName val="0"/>
              <c:showSerName val="0"/>
              <c:showPercent val="1"/>
              <c:showBubbleSize val="0"/>
              <c:extLst>
                <c:ext xmlns:c15="http://schemas.microsoft.com/office/drawing/2012/chart" uri="{CE6537A1-D6FC-4f65-9D91-7224C49458BB}"/>
              </c:extLst>
            </c:dLbl>
            <c:dLbl>
              <c:idx val="3"/>
              <c:layout>
                <c:manualLayout>
                  <c:x val="-4.454876572733679E-3"/>
                  <c:y val="1.0438233193417081E-2"/>
                </c:manualLayout>
              </c:layout>
              <c:dLblPos val="bestFit"/>
              <c:showLegendKey val="0"/>
              <c:showVal val="0"/>
              <c:showCatName val="0"/>
              <c:showSerName val="0"/>
              <c:showPercent val="1"/>
              <c:showBubbleSize val="0"/>
              <c:extLst>
                <c:ext xmlns:c15="http://schemas.microsoft.com/office/drawing/2012/chart" uri="{CE6537A1-D6FC-4f65-9D91-7224C49458BB}"/>
              </c:extLst>
            </c:dLbl>
            <c:dLbl>
              <c:idx val="4"/>
              <c:layout>
                <c:manualLayout>
                  <c:x val="0"/>
                  <c:y val="-8.9469824093878266E-3"/>
                </c:manualLayout>
              </c:layout>
              <c:dLblPos val="bestFit"/>
              <c:showLegendKey val="0"/>
              <c:showVal val="0"/>
              <c:showCatName val="0"/>
              <c:showSerName val="0"/>
              <c:showPercent val="1"/>
              <c:showBubbleSize val="0"/>
              <c:extLst>
                <c:ext xmlns:c15="http://schemas.microsoft.com/office/drawing/2012/chart" uri="{CE6537A1-D6FC-4f65-9D91-7224C49458BB}"/>
              </c:extLst>
            </c:dLbl>
            <c:dLbl>
              <c:idx val="6"/>
              <c:layout>
                <c:manualLayout>
                  <c:x val="-3.5530756765951396E-2"/>
                  <c:y val="-3.0721849420777578E-2"/>
                </c:manualLayout>
              </c:layout>
              <c:dLblPos val="bestFit"/>
              <c:showLegendKey val="0"/>
              <c:showVal val="0"/>
              <c:showCatName val="0"/>
              <c:showSerName val="0"/>
              <c:showPercent val="1"/>
              <c:showBubbleSize val="0"/>
              <c:extLst>
                <c:ext xmlns:c15="http://schemas.microsoft.com/office/drawing/2012/chart" uri="{CE6537A1-D6FC-4f65-9D91-7224C49458BB}"/>
              </c:extLst>
            </c:dLbl>
            <c:spPr>
              <a:noFill/>
              <a:ln w="25421">
                <a:noFill/>
              </a:ln>
            </c:spPr>
            <c:txPr>
              <a:bodyPr/>
              <a:lstStyle/>
              <a:p>
                <a:pPr>
                  <a:defRPr>
                    <a:latin typeface="Times New Roman" pitchFamily="18" charset="0"/>
                    <a:cs typeface="Times New Roman" pitchFamily="18" charset="0"/>
                  </a:defRPr>
                </a:pPr>
                <a:endParaRPr lang="ru-RU"/>
              </a:p>
            </c:txPr>
            <c:dLblPos val="outEnd"/>
            <c:showLegendKey val="0"/>
            <c:showVal val="0"/>
            <c:showCatName val="0"/>
            <c:showSerName val="0"/>
            <c:showPercent val="1"/>
            <c:showBubbleSize val="0"/>
            <c:showLeaderLines val="0"/>
            <c:extLst>
              <c:ext xmlns:c15="http://schemas.microsoft.com/office/drawing/2012/chart" uri="{CE6537A1-D6FC-4f65-9D91-7224C49458BB}"/>
            </c:extLst>
          </c:dLbls>
          <c:cat>
            <c:strRef>
              <c:f>Лист1!$A$2:$A$8</c:f>
              <c:strCache>
                <c:ptCount val="7"/>
                <c:pt idx="0">
                  <c:v>Добыча полезных ископаемых</c:v>
                </c:pt>
                <c:pt idx="1">
                  <c:v>Обрабатывающие производства</c:v>
                </c:pt>
                <c:pt idx="2">
                  <c:v>Производство и распределение электроэнергии, газа и воды</c:v>
                </c:pt>
                <c:pt idx="3">
                  <c:v>Строительство</c:v>
                </c:pt>
                <c:pt idx="4">
                  <c:v>Транспорт и связь</c:v>
                </c:pt>
                <c:pt idx="5">
                  <c:v>Операции с недвижимым имуществом</c:v>
                </c:pt>
                <c:pt idx="6">
                  <c:v>Прочие</c:v>
                </c:pt>
              </c:strCache>
            </c:strRef>
          </c:cat>
          <c:val>
            <c:numRef>
              <c:f>Лист1!$B$2:$B$8</c:f>
              <c:numCache>
                <c:formatCode>General</c:formatCode>
                <c:ptCount val="7"/>
                <c:pt idx="0">
                  <c:v>21</c:v>
                </c:pt>
                <c:pt idx="1">
                  <c:v>9</c:v>
                </c:pt>
                <c:pt idx="2">
                  <c:v>15</c:v>
                </c:pt>
                <c:pt idx="3">
                  <c:v>23</c:v>
                </c:pt>
                <c:pt idx="4">
                  <c:v>10</c:v>
                </c:pt>
                <c:pt idx="5">
                  <c:v>18</c:v>
                </c:pt>
                <c:pt idx="6">
                  <c:v>4</c:v>
                </c:pt>
              </c:numCache>
            </c:numRef>
          </c:val>
        </c:ser>
        <c:dLbls>
          <c:showLegendKey val="0"/>
          <c:showVal val="0"/>
          <c:showCatName val="0"/>
          <c:showSerName val="0"/>
          <c:showPercent val="0"/>
          <c:showBubbleSize val="0"/>
          <c:showLeaderLines val="0"/>
        </c:dLbls>
      </c:pie3DChart>
      <c:spPr>
        <a:noFill/>
        <a:ln w="25421">
          <a:noFill/>
        </a:ln>
      </c:spPr>
    </c:plotArea>
    <c:legend>
      <c:legendPos val="r"/>
      <c:layout>
        <c:manualLayout>
          <c:xMode val="edge"/>
          <c:yMode val="edge"/>
          <c:x val="0.60515603799185891"/>
          <c:y val="5.8139534883720936E-2"/>
          <c:w val="0.39077340569877883"/>
          <c:h val="0.90697674418604668"/>
        </c:manualLayout>
      </c:layout>
      <c:overlay val="0"/>
      <c:txPr>
        <a:bodyPr/>
        <a:lstStyle/>
        <a:p>
          <a:pPr>
            <a:defRPr sz="1001">
              <a:latin typeface="Times New Roman" pitchFamily="18" charset="0"/>
              <a:cs typeface="Times New Roman" pitchFamily="18" charset="0"/>
            </a:defRPr>
          </a:pPr>
          <a:endParaRPr lang="ru-RU"/>
        </a:p>
      </c:txPr>
    </c:legend>
    <c:plotVisOnly val="1"/>
    <c:dispBlanksAs val="zero"/>
    <c:showDLblsOverMax val="0"/>
  </c:chart>
  <c:spPr>
    <a:ln>
      <a:noFill/>
    </a:ln>
  </c:sp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w="25357">
          <a:noFill/>
        </a:ln>
      </c:spPr>
    </c:title>
    <c:autoTitleDeleted val="0"/>
    <c:view3D>
      <c:rotX val="30"/>
      <c:rotY val="0"/>
      <c:rAngAx val="0"/>
    </c:view3D>
    <c:floor>
      <c:thickness val="0"/>
    </c:floor>
    <c:sideWall>
      <c:thickness val="0"/>
    </c:sideWall>
    <c:backWall>
      <c:thickness val="0"/>
    </c:backWall>
    <c:plotArea>
      <c:layout>
        <c:manualLayout>
          <c:layoutTarget val="inner"/>
          <c:xMode val="edge"/>
          <c:yMode val="edge"/>
          <c:x val="5.3367217280813208E-2"/>
          <c:y val="0.15850144092219021"/>
          <c:w val="0.45108005082592117"/>
          <c:h val="0.63688760806916422"/>
        </c:manualLayout>
      </c:layout>
      <c:pie3DChart>
        <c:varyColors val="1"/>
        <c:ser>
          <c:idx val="0"/>
          <c:order val="0"/>
          <c:tx>
            <c:strRef>
              <c:f>Лист1!$D$4</c:f>
              <c:strCache>
                <c:ptCount val="1"/>
              </c:strCache>
            </c:strRef>
          </c:tx>
          <c:spPr>
            <a:ln>
              <a:solidFill>
                <a:schemeClr val="tx1"/>
              </a:solidFill>
            </a:ln>
          </c:spPr>
          <c:explosion val="29"/>
          <c:dPt>
            <c:idx val="0"/>
            <c:bubble3D val="0"/>
            <c:spPr>
              <a:solidFill>
                <a:srgbClr val="009999"/>
              </a:solidFill>
              <a:ln>
                <a:solidFill>
                  <a:schemeClr val="tx1"/>
                </a:solidFill>
              </a:ln>
            </c:spPr>
          </c:dPt>
          <c:dPt>
            <c:idx val="1"/>
            <c:bubble3D val="0"/>
            <c:spPr>
              <a:solidFill>
                <a:srgbClr val="F4FB65"/>
              </a:solidFill>
              <a:ln>
                <a:solidFill>
                  <a:schemeClr val="tx1"/>
                </a:solidFill>
              </a:ln>
            </c:spPr>
          </c:dPt>
          <c:dPt>
            <c:idx val="2"/>
            <c:bubble3D val="0"/>
            <c:spPr>
              <a:solidFill>
                <a:srgbClr val="FF3399"/>
              </a:solidFill>
              <a:ln>
                <a:solidFill>
                  <a:schemeClr val="tx1"/>
                </a:solidFill>
              </a:ln>
            </c:spPr>
          </c:dPt>
          <c:dPt>
            <c:idx val="3"/>
            <c:bubble3D val="0"/>
            <c:spPr>
              <a:solidFill>
                <a:srgbClr val="7030A0"/>
              </a:solidFill>
              <a:ln>
                <a:solidFill>
                  <a:schemeClr val="tx1"/>
                </a:solidFill>
              </a:ln>
            </c:spPr>
          </c:dPt>
          <c:dPt>
            <c:idx val="4"/>
            <c:bubble3D val="0"/>
            <c:spPr>
              <a:solidFill>
                <a:srgbClr val="A50021"/>
              </a:solidFill>
              <a:ln>
                <a:solidFill>
                  <a:schemeClr val="tx1"/>
                </a:solidFill>
              </a:ln>
            </c:spPr>
          </c:dPt>
          <c:dPt>
            <c:idx val="5"/>
            <c:bubble3D val="0"/>
          </c:dPt>
          <c:dPt>
            <c:idx val="6"/>
            <c:bubble3D val="0"/>
            <c:spPr>
              <a:solidFill>
                <a:schemeClr val="accent5">
                  <a:lumMod val="60000"/>
                  <a:lumOff val="40000"/>
                </a:schemeClr>
              </a:solidFill>
              <a:ln>
                <a:solidFill>
                  <a:schemeClr val="tx1"/>
                </a:solidFill>
              </a:ln>
            </c:spPr>
          </c:dPt>
          <c:dPt>
            <c:idx val="7"/>
            <c:bubble3D val="0"/>
            <c:spPr>
              <a:solidFill>
                <a:srgbClr val="92D050"/>
              </a:solidFill>
              <a:ln>
                <a:solidFill>
                  <a:schemeClr val="tx1"/>
                </a:solidFill>
              </a:ln>
            </c:spPr>
          </c:dPt>
          <c:dLbls>
            <c:dLbl>
              <c:idx val="0"/>
              <c:layout>
                <c:manualLayout>
                  <c:x val="1.1744280951312649E-2"/>
                  <c:y val="0"/>
                </c:manualLayout>
              </c:layout>
              <c:dLblPos val="bestFit"/>
              <c:showLegendKey val="0"/>
              <c:showVal val="0"/>
              <c:showCatName val="0"/>
              <c:showSerName val="0"/>
              <c:showPercent val="1"/>
              <c:showBubbleSize val="0"/>
              <c:extLst>
                <c:ext xmlns:c15="http://schemas.microsoft.com/office/drawing/2012/chart" uri="{CE6537A1-D6FC-4f65-9D91-7224C49458BB}"/>
              </c:extLst>
            </c:dLbl>
            <c:dLbl>
              <c:idx val="1"/>
              <c:layout>
                <c:manualLayout>
                  <c:x val="1.8790849522100229E-2"/>
                  <c:y val="3.4638557411666451E-2"/>
                </c:manualLayout>
              </c:layout>
              <c:dLblPos val="bestFit"/>
              <c:showLegendKey val="0"/>
              <c:showVal val="0"/>
              <c:showCatName val="0"/>
              <c:showSerName val="0"/>
              <c:showPercent val="1"/>
              <c:showBubbleSize val="0"/>
              <c:extLst>
                <c:ext xmlns:c15="http://schemas.microsoft.com/office/drawing/2012/chart" uri="{CE6537A1-D6FC-4f65-9D91-7224C49458BB}"/>
              </c:extLst>
            </c:dLbl>
            <c:dLbl>
              <c:idx val="2"/>
              <c:layout>
                <c:manualLayout>
                  <c:x val="-1.8790849522100233E-2"/>
                  <c:y val="1.539491440518506E-2"/>
                </c:manualLayout>
              </c:layout>
              <c:dLblPos val="bestFit"/>
              <c:showLegendKey val="0"/>
              <c:showVal val="0"/>
              <c:showCatName val="0"/>
              <c:showSerName val="0"/>
              <c:showPercent val="1"/>
              <c:showBubbleSize val="0"/>
              <c:extLst>
                <c:ext xmlns:c15="http://schemas.microsoft.com/office/drawing/2012/chart" uri="{CE6537A1-D6FC-4f65-9D91-7224C49458BB}"/>
              </c:extLst>
            </c:dLbl>
            <c:dLbl>
              <c:idx val="3"/>
              <c:layout>
                <c:manualLayout>
                  <c:x val="-1.4093137141575179E-2"/>
                  <c:y val="-2.3092371607777606E-2"/>
                </c:manualLayout>
              </c:layout>
              <c:dLblPos val="bestFit"/>
              <c:showLegendKey val="0"/>
              <c:showVal val="0"/>
              <c:showCatName val="0"/>
              <c:showSerName val="0"/>
              <c:showPercent val="1"/>
              <c:showBubbleSize val="0"/>
              <c:extLst>
                <c:ext xmlns:c15="http://schemas.microsoft.com/office/drawing/2012/chart" uri="{CE6537A1-D6FC-4f65-9D91-7224C49458BB}"/>
              </c:extLst>
            </c:dLbl>
            <c:dLbl>
              <c:idx val="4"/>
              <c:layout>
                <c:manualLayout>
                  <c:x val="0"/>
                  <c:y val="-8.0823398337575361E-2"/>
                </c:manualLayout>
              </c:layout>
              <c:dLblPos val="bestFit"/>
              <c:showLegendKey val="0"/>
              <c:showVal val="0"/>
              <c:showCatName val="0"/>
              <c:showSerName val="0"/>
              <c:showPercent val="1"/>
              <c:showBubbleSize val="0"/>
              <c:extLst>
                <c:ext xmlns:c15="http://schemas.microsoft.com/office/drawing/2012/chart" uri="{CE6537A1-D6FC-4f65-9D91-7224C49458BB}"/>
              </c:extLst>
            </c:dLbl>
            <c:dLbl>
              <c:idx val="5"/>
              <c:layout>
                <c:manualLayout>
                  <c:x val="-9.3954247610501217E-3"/>
                  <c:y val="-2.6941100209073993E-2"/>
                </c:manualLayout>
              </c:layout>
              <c:dLblPos val="bestFit"/>
              <c:showLegendKey val="0"/>
              <c:showVal val="0"/>
              <c:showCatName val="0"/>
              <c:showSerName val="0"/>
              <c:showPercent val="1"/>
              <c:showBubbleSize val="0"/>
              <c:extLst>
                <c:ext xmlns:c15="http://schemas.microsoft.com/office/drawing/2012/chart" uri="{CE6537A1-D6FC-4f65-9D91-7224C49458BB}"/>
              </c:extLst>
            </c:dLbl>
            <c:dLbl>
              <c:idx val="6"/>
              <c:layout>
                <c:manualLayout>
                  <c:x val="2.34885619026253E-3"/>
                  <c:y val="-5.7730929019444197E-2"/>
                </c:manualLayout>
              </c:layout>
              <c:dLblPos val="bestFit"/>
              <c:showLegendKey val="0"/>
              <c:showVal val="0"/>
              <c:showCatName val="0"/>
              <c:showSerName val="0"/>
              <c:showPercent val="1"/>
              <c:showBubbleSize val="0"/>
              <c:extLst>
                <c:ext xmlns:c15="http://schemas.microsoft.com/office/drawing/2012/chart" uri="{CE6537A1-D6FC-4f65-9D91-7224C49458BB}"/>
              </c:extLst>
            </c:dLbl>
            <c:dLbl>
              <c:idx val="7"/>
              <c:layout>
                <c:manualLayout>
                  <c:x val="2.1139705712362816E-2"/>
                  <c:y val="-3.4638557411666451E-2"/>
                </c:manualLayout>
              </c:layout>
              <c:dLblPos val="bestFit"/>
              <c:showLegendKey val="0"/>
              <c:showVal val="0"/>
              <c:showCatName val="0"/>
              <c:showSerName val="0"/>
              <c:showPercent val="1"/>
              <c:showBubbleSize val="0"/>
              <c:extLst>
                <c:ext xmlns:c15="http://schemas.microsoft.com/office/drawing/2012/chart" uri="{CE6537A1-D6FC-4f65-9D91-7224C49458BB}"/>
              </c:extLst>
            </c:dLbl>
            <c:spPr>
              <a:noFill/>
              <a:ln w="25357">
                <a:noFill/>
              </a:ln>
            </c:spPr>
            <c:txPr>
              <a:bodyPr/>
              <a:lstStyle/>
              <a:p>
                <a:pPr>
                  <a:defRPr>
                    <a:latin typeface="Times New Roman" panose="02020603050405020304" pitchFamily="18" charset="0"/>
                    <a:cs typeface="Times New Roman" panose="02020603050405020304" pitchFamily="18" charset="0"/>
                  </a:defRPr>
                </a:pPr>
                <a:endParaRPr lang="ru-RU"/>
              </a:p>
            </c:txPr>
            <c:dLblPos val="outEnd"/>
            <c:showLegendKey val="0"/>
            <c:showVal val="0"/>
            <c:showCatName val="0"/>
            <c:showSerName val="0"/>
            <c:showPercent val="1"/>
            <c:showBubbleSize val="0"/>
            <c:showLeaderLines val="1"/>
            <c:extLst>
              <c:ext xmlns:c15="http://schemas.microsoft.com/office/drawing/2012/chart" uri="{CE6537A1-D6FC-4f65-9D91-7224C49458BB}"/>
            </c:extLst>
          </c:dLbls>
          <c:cat>
            <c:strRef>
              <c:f>Лист1!$A$2:$A$9</c:f>
              <c:strCache>
                <c:ptCount val="8"/>
                <c:pt idx="0">
                  <c:v>добыча полезных ископаемых</c:v>
                </c:pt>
                <c:pt idx="1">
                  <c:v>обрабатывающие производства</c:v>
                </c:pt>
                <c:pt idx="2">
                  <c:v>производство, передача и распределение электроэнергии, газа и воды</c:v>
                </c:pt>
                <c:pt idx="3">
                  <c:v>строительство</c:v>
                </c:pt>
                <c:pt idx="4">
                  <c:v>финансовая деятельность</c:v>
                </c:pt>
                <c:pt idx="5">
                  <c:v>транспорт и связь</c:v>
                </c:pt>
                <c:pt idx="6">
                  <c:v>операции с недвижимымм имуществом, аренда и предоставление услуг</c:v>
                </c:pt>
                <c:pt idx="7">
                  <c:v>прочие виды деятельности</c:v>
                </c:pt>
              </c:strCache>
            </c:strRef>
          </c:cat>
          <c:val>
            <c:numRef>
              <c:f>Лист1!$B$2:$B$9</c:f>
              <c:numCache>
                <c:formatCode>General</c:formatCode>
                <c:ptCount val="8"/>
                <c:pt idx="0">
                  <c:v>59.9</c:v>
                </c:pt>
                <c:pt idx="1">
                  <c:v>0.9</c:v>
                </c:pt>
                <c:pt idx="2">
                  <c:v>2.5</c:v>
                </c:pt>
                <c:pt idx="3">
                  <c:v>3.8</c:v>
                </c:pt>
                <c:pt idx="4">
                  <c:v>17.399999999999999</c:v>
                </c:pt>
                <c:pt idx="5">
                  <c:v>4.3</c:v>
                </c:pt>
                <c:pt idx="6">
                  <c:v>5.8</c:v>
                </c:pt>
                <c:pt idx="7">
                  <c:v>5.4</c:v>
                </c:pt>
              </c:numCache>
            </c:numRef>
          </c:val>
        </c:ser>
        <c:dLbls>
          <c:showLegendKey val="0"/>
          <c:showVal val="0"/>
          <c:showCatName val="0"/>
          <c:showSerName val="0"/>
          <c:showPercent val="0"/>
          <c:showBubbleSize val="0"/>
          <c:showLeaderLines val="1"/>
        </c:dLbls>
      </c:pie3DChart>
      <c:spPr>
        <a:noFill/>
        <a:ln w="25357">
          <a:noFill/>
        </a:ln>
      </c:spPr>
    </c:plotArea>
    <c:legend>
      <c:legendPos val="r"/>
      <c:overlay val="0"/>
      <c:txPr>
        <a:bodyPr/>
        <a:lstStyle/>
        <a:p>
          <a:pPr>
            <a:defRPr sz="1046">
              <a:latin typeface="Times New Roman" panose="02020603050405020304" pitchFamily="18" charset="0"/>
              <a:cs typeface="Times New Roman" panose="02020603050405020304" pitchFamily="18" charset="0"/>
            </a:defRPr>
          </a:pPr>
          <a:endParaRPr lang="ru-RU"/>
        </a:p>
      </c:txPr>
    </c:legend>
    <c:plotVisOnly val="1"/>
    <c:dispBlanksAs val="zero"/>
    <c:showDLblsOverMax val="0"/>
  </c:chart>
  <c:spPr>
    <a:noFill/>
    <a:ln>
      <a:noFill/>
    </a:ln>
  </c:sp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2"/>
    </mc:Choice>
    <mc:Fallback>
      <c:style val="32"/>
    </mc:Fallback>
  </mc:AlternateContent>
  <c:chart>
    <c:autoTitleDeleted val="0"/>
    <c:plotArea>
      <c:layout>
        <c:manualLayout>
          <c:layoutTarget val="inner"/>
          <c:xMode val="edge"/>
          <c:yMode val="edge"/>
          <c:x val="0.14643847933909701"/>
          <c:y val="2.2871332040575672E-2"/>
          <c:w val="0.7570008834261005"/>
          <c:h val="0.71418750530868069"/>
        </c:manualLayout>
      </c:layout>
      <c:barChart>
        <c:barDir val="col"/>
        <c:grouping val="clustered"/>
        <c:varyColors val="0"/>
        <c:ser>
          <c:idx val="1"/>
          <c:order val="0"/>
          <c:tx>
            <c:strRef>
              <c:f>Sheet1!$A$2</c:f>
              <c:strCache>
                <c:ptCount val="1"/>
                <c:pt idx="0">
                  <c:v>млн. рублей</c:v>
                </c:pt>
              </c:strCache>
            </c:strRef>
          </c:tx>
          <c:spPr>
            <a:solidFill>
              <a:srgbClr val="7030A0"/>
            </a:solidFill>
          </c:spPr>
          <c:invertIfNegative val="0"/>
          <c:dLbls>
            <c:dLbl>
              <c:idx val="0"/>
              <c:layout>
                <c:manualLayout>
                  <c:x val="-6.2390091863517416E-3"/>
                  <c:y val="-2.1406988555960797E-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5.2741327553300701E-2"/>
                  <c:y val="1.7104523628372493E-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2.760370719596159E-3"/>
                  <c:y val="-6.7850499528678944E-3"/>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4.3036636213256943E-4"/>
                  <c:y val="8.9456150837678178E-3"/>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3.2152312443175395E-3"/>
                  <c:y val="2.4813393594776349E-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5"/>
              <c:layout>
                <c:manualLayout>
                  <c:x val="-4.1794623418722242E-3"/>
                  <c:y val="-2.6970808130278201E-3"/>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w="25182">
                <a:noFill/>
              </a:ln>
            </c:spPr>
            <c:txPr>
              <a:bodyPr/>
              <a:lstStyle/>
              <a:p>
                <a:pPr>
                  <a:defRPr sz="89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Sheet1!$B$1:$G$1</c:f>
              <c:strCache>
                <c:ptCount val="6"/>
                <c:pt idx="0">
                  <c:v>2012 год-отчет</c:v>
                </c:pt>
                <c:pt idx="1">
                  <c:v>2013 год-отчёт</c:v>
                </c:pt>
                <c:pt idx="2">
                  <c:v>2014 год-оценка</c:v>
                </c:pt>
                <c:pt idx="3">
                  <c:v>2015 год-прогноз</c:v>
                </c:pt>
                <c:pt idx="4">
                  <c:v>2016 год-прогноз</c:v>
                </c:pt>
                <c:pt idx="5">
                  <c:v>2017 год - прогноз</c:v>
                </c:pt>
              </c:strCache>
            </c:strRef>
          </c:cat>
          <c:val>
            <c:numRef>
              <c:f>Sheet1!$B$2:$G$2</c:f>
              <c:numCache>
                <c:formatCode>General</c:formatCode>
                <c:ptCount val="6"/>
                <c:pt idx="0" formatCode="0.0">
                  <c:v>20361.04</c:v>
                </c:pt>
                <c:pt idx="1">
                  <c:v>15086.62</c:v>
                </c:pt>
                <c:pt idx="2" formatCode="0.0">
                  <c:v>14191.2</c:v>
                </c:pt>
                <c:pt idx="3">
                  <c:v>14990.6</c:v>
                </c:pt>
                <c:pt idx="4">
                  <c:v>16146.4</c:v>
                </c:pt>
                <c:pt idx="5">
                  <c:v>17092.900000000001</c:v>
                </c:pt>
              </c:numCache>
            </c:numRef>
          </c:val>
        </c:ser>
        <c:dLbls>
          <c:showLegendKey val="0"/>
          <c:showVal val="0"/>
          <c:showCatName val="0"/>
          <c:showSerName val="0"/>
          <c:showPercent val="0"/>
          <c:showBubbleSize val="0"/>
        </c:dLbls>
        <c:gapWidth val="150"/>
        <c:axId val="479662608"/>
        <c:axId val="479657712"/>
      </c:barChart>
      <c:lineChart>
        <c:grouping val="standard"/>
        <c:varyColors val="0"/>
        <c:ser>
          <c:idx val="0"/>
          <c:order val="1"/>
          <c:tx>
            <c:strRef>
              <c:f>Sheet1!$A$3</c:f>
              <c:strCache>
                <c:ptCount val="1"/>
                <c:pt idx="0">
                  <c:v>в % к предыдущему году в сопоставимых ценах</c:v>
                </c:pt>
              </c:strCache>
            </c:strRef>
          </c:tx>
          <c:spPr>
            <a:ln w="44025"/>
          </c:spPr>
          <c:marker>
            <c:symbol val="diamond"/>
            <c:size val="8"/>
            <c:spPr>
              <a:solidFill>
                <a:srgbClr val="FF0000"/>
              </a:solidFill>
            </c:spPr>
          </c:marker>
          <c:dLbls>
            <c:dLbl>
              <c:idx val="0"/>
              <c:layout>
                <c:manualLayout>
                  <c:x val="-1.096442918881256E-3"/>
                  <c:y val="5.6486067854115106E-3"/>
                </c:manualLayout>
              </c:layout>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3.5274621401764752E-2"/>
                  <c:y val="-8.3010667663153667E-2"/>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5.4868807350473461E-2"/>
                  <c:y val="-6.632505184213978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3"/>
              <c:layout>
                <c:manualLayout>
                  <c:x val="-4.9129053834846864E-2"/>
                  <c:y val="-6.991298326668013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5.5033423985965717E-2"/>
                  <c:y val="-6.5459510367343779E-2"/>
                </c:manualLayout>
              </c:layout>
              <c:dLblPos val="r"/>
              <c:showLegendKey val="0"/>
              <c:showVal val="1"/>
              <c:showCatName val="0"/>
              <c:showSerName val="0"/>
              <c:showPercent val="0"/>
              <c:showBubbleSize val="0"/>
              <c:extLst>
                <c:ext xmlns:c15="http://schemas.microsoft.com/office/drawing/2012/chart" uri="{CE6537A1-D6FC-4f65-9D91-7224C49458BB}"/>
              </c:extLst>
            </c:dLbl>
            <c:dLbl>
              <c:idx val="5"/>
              <c:layout>
                <c:manualLayout>
                  <c:x val="-5.0863536413920898E-2"/>
                  <c:y val="-6.2162502068987463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w="25182">
                <a:noFill/>
              </a:ln>
            </c:spPr>
            <c:txPr>
              <a:bodyPr/>
              <a:lstStyle/>
              <a:p>
                <a:pPr>
                  <a:defRPr sz="89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Sheet1!$B$1:$G$1</c:f>
              <c:strCache>
                <c:ptCount val="6"/>
                <c:pt idx="0">
                  <c:v>2012 год-отчет</c:v>
                </c:pt>
                <c:pt idx="1">
                  <c:v>2013 год-отчёт</c:v>
                </c:pt>
                <c:pt idx="2">
                  <c:v>2014 год-оценка</c:v>
                </c:pt>
                <c:pt idx="3">
                  <c:v>2015 год-прогноз</c:v>
                </c:pt>
                <c:pt idx="4">
                  <c:v>2016 год-прогноз</c:v>
                </c:pt>
                <c:pt idx="5">
                  <c:v>2017 год - прогноз</c:v>
                </c:pt>
              </c:strCache>
            </c:strRef>
          </c:cat>
          <c:val>
            <c:numRef>
              <c:f>Sheet1!$B$3:$G$3</c:f>
              <c:numCache>
                <c:formatCode>General</c:formatCode>
                <c:ptCount val="6"/>
                <c:pt idx="0">
                  <c:v>134.5</c:v>
                </c:pt>
                <c:pt idx="1">
                  <c:v>70.2</c:v>
                </c:pt>
                <c:pt idx="2">
                  <c:v>90.7</c:v>
                </c:pt>
                <c:pt idx="3">
                  <c:v>101.9</c:v>
                </c:pt>
                <c:pt idx="4">
                  <c:v>101.7</c:v>
                </c:pt>
                <c:pt idx="5">
                  <c:v>101.8</c:v>
                </c:pt>
              </c:numCache>
            </c:numRef>
          </c:val>
          <c:smooth val="0"/>
        </c:ser>
        <c:dLbls>
          <c:showLegendKey val="0"/>
          <c:showVal val="0"/>
          <c:showCatName val="0"/>
          <c:showSerName val="0"/>
          <c:showPercent val="0"/>
          <c:showBubbleSize val="0"/>
        </c:dLbls>
        <c:marker val="1"/>
        <c:smooth val="0"/>
        <c:axId val="479664240"/>
        <c:axId val="479665328"/>
      </c:lineChart>
      <c:catAx>
        <c:axId val="479662608"/>
        <c:scaling>
          <c:orientation val="minMax"/>
        </c:scaling>
        <c:delete val="0"/>
        <c:axPos val="b"/>
        <c:numFmt formatCode="General" sourceLinked="1"/>
        <c:majorTickMark val="cross"/>
        <c:minorTickMark val="none"/>
        <c:tickLblPos val="nextTo"/>
        <c:txPr>
          <a:bodyPr rot="0" vert="horz"/>
          <a:lstStyle/>
          <a:p>
            <a:pPr>
              <a:defRPr sz="891"/>
            </a:pPr>
            <a:endParaRPr lang="ru-RU"/>
          </a:p>
        </c:txPr>
        <c:crossAx val="479657712"/>
        <c:crossesAt val="1000"/>
        <c:auto val="0"/>
        <c:lblAlgn val="ctr"/>
        <c:lblOffset val="100"/>
        <c:tickLblSkip val="1"/>
        <c:tickMarkSkip val="1"/>
        <c:noMultiLvlLbl val="0"/>
      </c:catAx>
      <c:valAx>
        <c:axId val="479657712"/>
        <c:scaling>
          <c:orientation val="minMax"/>
          <c:max val="31500"/>
          <c:min val="1000"/>
        </c:scaling>
        <c:delete val="0"/>
        <c:axPos val="l"/>
        <c:title>
          <c:tx>
            <c:rich>
              <a:bodyPr/>
              <a:lstStyle/>
              <a:p>
                <a:pPr>
                  <a:defRPr sz="986" b="0" i="0" u="none" strike="noStrike" baseline="0">
                    <a:solidFill>
                      <a:srgbClr val="000000"/>
                    </a:solidFill>
                    <a:latin typeface="Times New Roman"/>
                    <a:ea typeface="Times New Roman"/>
                    <a:cs typeface="Times New Roman"/>
                  </a:defRPr>
                </a:pPr>
                <a:r>
                  <a:rPr lang="ru-RU"/>
                  <a:t>млн руб</a:t>
                </a:r>
              </a:p>
            </c:rich>
          </c:tx>
          <c:layout>
            <c:manualLayout>
              <c:xMode val="edge"/>
              <c:yMode val="edge"/>
              <c:x val="1.3077415602379312E-3"/>
              <c:y val="0.31571391076115485"/>
            </c:manualLayout>
          </c:layout>
          <c:overlay val="0"/>
          <c:spPr>
            <a:noFill/>
            <a:ln w="25182">
              <a:noFill/>
            </a:ln>
          </c:spPr>
        </c:title>
        <c:numFmt formatCode="0.0" sourceLinked="1"/>
        <c:majorTickMark val="cross"/>
        <c:minorTickMark val="none"/>
        <c:tickLblPos val="nextTo"/>
        <c:txPr>
          <a:bodyPr rot="0" vert="horz"/>
          <a:lstStyle/>
          <a:p>
            <a:pPr>
              <a:defRPr sz="891"/>
            </a:pPr>
            <a:endParaRPr lang="ru-RU"/>
          </a:p>
        </c:txPr>
        <c:crossAx val="479662608"/>
        <c:crosses val="autoZero"/>
        <c:crossBetween val="between"/>
        <c:majorUnit val="2000"/>
        <c:minorUnit val="2000"/>
      </c:valAx>
      <c:catAx>
        <c:axId val="479664240"/>
        <c:scaling>
          <c:orientation val="minMax"/>
        </c:scaling>
        <c:delete val="1"/>
        <c:axPos val="b"/>
        <c:numFmt formatCode="General" sourceLinked="1"/>
        <c:majorTickMark val="out"/>
        <c:minorTickMark val="none"/>
        <c:tickLblPos val="nextTo"/>
        <c:crossAx val="479665328"/>
        <c:crosses val="autoZero"/>
        <c:auto val="0"/>
        <c:lblAlgn val="ctr"/>
        <c:lblOffset val="100"/>
        <c:noMultiLvlLbl val="0"/>
      </c:catAx>
      <c:valAx>
        <c:axId val="479665328"/>
        <c:scaling>
          <c:orientation val="minMax"/>
          <c:max val="140"/>
        </c:scaling>
        <c:delete val="0"/>
        <c:axPos val="r"/>
        <c:title>
          <c:tx>
            <c:rich>
              <a:bodyPr rot="0" vert="horz"/>
              <a:lstStyle/>
              <a:p>
                <a:pPr>
                  <a:defRPr b="0"/>
                </a:pPr>
                <a:r>
                  <a:rPr lang="ru-RU" b="0"/>
                  <a:t>%</a:t>
                </a:r>
              </a:p>
            </c:rich>
          </c:tx>
          <c:layout>
            <c:manualLayout>
              <c:xMode val="edge"/>
              <c:yMode val="edge"/>
              <c:x val="0.95308201000014658"/>
              <c:y val="0.39626059242594674"/>
            </c:manualLayout>
          </c:layout>
          <c:overlay val="0"/>
          <c:spPr>
            <a:noFill/>
            <a:ln w="25182">
              <a:noFill/>
            </a:ln>
          </c:spPr>
        </c:title>
        <c:numFmt formatCode="General" sourceLinked="1"/>
        <c:majorTickMark val="cross"/>
        <c:minorTickMark val="none"/>
        <c:tickLblPos val="nextTo"/>
        <c:txPr>
          <a:bodyPr rot="0" vert="horz"/>
          <a:lstStyle/>
          <a:p>
            <a:pPr>
              <a:defRPr sz="891"/>
            </a:pPr>
            <a:endParaRPr lang="ru-RU"/>
          </a:p>
        </c:txPr>
        <c:crossAx val="479664240"/>
        <c:crosses val="max"/>
        <c:crossBetween val="between"/>
      </c:valAx>
    </c:plotArea>
    <c:legend>
      <c:legendPos val="r"/>
      <c:layout>
        <c:manualLayout>
          <c:xMode val="edge"/>
          <c:yMode val="edge"/>
          <c:x val="7.4626865671641784E-2"/>
          <c:y val="0.90804597701149425"/>
          <c:w val="0.89253731343283582"/>
          <c:h val="5.1724137931034482E-2"/>
        </c:manualLayout>
      </c:layout>
      <c:overlay val="0"/>
    </c:legend>
    <c:plotVisOnly val="1"/>
    <c:dispBlanksAs val="gap"/>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userShapes r:id="rId3"/>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30"/>
      <c:rotY val="0"/>
      <c:rAngAx val="1"/>
    </c:view3D>
    <c:floor>
      <c:thickness val="0"/>
    </c:floor>
    <c:sideWall>
      <c:thickness val="0"/>
    </c:sideWall>
    <c:backWall>
      <c:thickness val="0"/>
    </c:backWall>
    <c:plotArea>
      <c:layout/>
      <c:pie3DChart>
        <c:varyColors val="1"/>
        <c:ser>
          <c:idx val="0"/>
          <c:order val="0"/>
          <c:explosion val="25"/>
          <c:dLbls>
            <c:dLbl>
              <c:idx val="0"/>
              <c:spPr>
                <a:solidFill>
                  <a:schemeClr val="bg1"/>
                </a:solidFill>
                <a:ln>
                  <a:noFill/>
                </a:ln>
                <a:effectLst/>
              </c:spPr>
              <c:txPr>
                <a:bodyPr wrap="square" lIns="38100" tIns="19050" rIns="38100" bIns="19050" anchor="ctr">
                  <a:spAutoFit/>
                </a:bodyPr>
                <a:lstStyle/>
                <a:p>
                  <a:pPr>
                    <a:defRPr b="1"/>
                  </a:pPr>
                  <a:endParaRPr lang="ru-RU"/>
                </a:p>
              </c:txPr>
              <c:showLegendKey val="1"/>
              <c:showVal val="1"/>
              <c:showCatName val="1"/>
              <c:showSerName val="1"/>
              <c:showPercent val="1"/>
              <c:showBubbleSize val="1"/>
              <c:extLst>
                <c:ext xmlns:c15="http://schemas.microsoft.com/office/drawing/2012/chart" uri="{CE6537A1-D6FC-4f65-9D91-7224C49458BB}"/>
              </c:extLst>
            </c:dLbl>
            <c:dLbl>
              <c:idx val="7"/>
              <c:spPr>
                <a:solidFill>
                  <a:schemeClr val="bg1"/>
                </a:solidFill>
                <a:ln>
                  <a:noFill/>
                </a:ln>
                <a:effectLst/>
              </c:spPr>
              <c:txPr>
                <a:bodyPr wrap="square" lIns="38100" tIns="19050" rIns="38100" bIns="19050" anchor="ctr">
                  <a:spAutoFit/>
                </a:bodyPr>
                <a:lstStyle/>
                <a:p>
                  <a:pPr>
                    <a:defRPr b="1"/>
                  </a:pPr>
                  <a:endParaRPr lang="ru-RU"/>
                </a:p>
              </c:txPr>
              <c:showLegendKey val="1"/>
              <c:showVal val="1"/>
              <c:showCatName val="1"/>
              <c:showSerName val="1"/>
              <c:showPercent val="1"/>
              <c:showBubbleSize val="1"/>
              <c:extLst>
                <c:ext xmlns:c15="http://schemas.microsoft.com/office/drawing/2012/chart" uri="{CE6537A1-D6FC-4f65-9D91-7224C49458BB}"/>
              </c:extLst>
            </c:dLbl>
            <c:spPr>
              <a:noFill/>
              <a:ln>
                <a:noFill/>
              </a:ln>
              <a:effectLst/>
            </c:spPr>
            <c:txPr>
              <a:bodyPr wrap="square" lIns="38100" tIns="19050" rIns="38100" bIns="19050" anchor="ctr">
                <a:spAutoFit/>
              </a:bodyPr>
              <a:lstStyle/>
              <a:p>
                <a:pPr>
                  <a:defRPr b="1"/>
                </a:pPr>
                <a:endParaRPr lang="ru-RU"/>
              </a:p>
            </c:txPr>
            <c:dLblPos val="bestFit"/>
            <c:showLegendKey val="1"/>
            <c:showVal val="1"/>
            <c:showCatName val="1"/>
            <c:showSerName val="1"/>
            <c:showPercent val="1"/>
            <c:showBubbleSize val="1"/>
            <c:showLeaderLines val="1"/>
            <c:extLst>
              <c:ext xmlns:c15="http://schemas.microsoft.com/office/drawing/2012/chart" uri="{CE6537A1-D6FC-4f65-9D91-7224C49458BB}"/>
            </c:extLst>
          </c:dLbls>
          <c:cat>
            <c:strRef>
              <c:f>Sheet1!$A$21:$A$28</c:f>
              <c:strCache>
                <c:ptCount val="8"/>
                <c:pt idx="0">
                  <c:v>Собственные средства предприятий</c:v>
                </c:pt>
                <c:pt idx="1">
                  <c:v>Кредиты банков</c:v>
                </c:pt>
                <c:pt idx="2">
                  <c:v>Заемные средства других организаций</c:v>
                </c:pt>
                <c:pt idx="3">
                  <c:v>Федеральный бюджет</c:v>
                </c:pt>
                <c:pt idx="4">
                  <c:v>Окружной бюджет</c:v>
                </c:pt>
                <c:pt idx="5">
                  <c:v>Муниципальный бюджет</c:v>
                </c:pt>
                <c:pt idx="6">
                  <c:v>Средства внебюджетных фондов</c:v>
                </c:pt>
                <c:pt idx="7">
                  <c:v>Прочие</c:v>
                </c:pt>
              </c:strCache>
            </c:strRef>
          </c:cat>
          <c:val>
            <c:numRef>
              <c:f>Sheet1!$B$21:$B$28</c:f>
              <c:numCache>
                <c:formatCode>General</c:formatCode>
                <c:ptCount val="8"/>
                <c:pt idx="0">
                  <c:v>7512.2</c:v>
                </c:pt>
                <c:pt idx="1">
                  <c:v>53.44</c:v>
                </c:pt>
                <c:pt idx="2">
                  <c:v>44</c:v>
                </c:pt>
                <c:pt idx="3">
                  <c:v>35</c:v>
                </c:pt>
                <c:pt idx="4">
                  <c:v>363.4</c:v>
                </c:pt>
                <c:pt idx="5">
                  <c:v>304.60000000000002</c:v>
                </c:pt>
                <c:pt idx="6">
                  <c:v>7.9</c:v>
                </c:pt>
                <c:pt idx="7">
                  <c:v>4261.7</c:v>
                </c:pt>
              </c:numCache>
            </c:numRef>
          </c:val>
        </c:ser>
        <c:dLbls>
          <c:showLegendKey val="1"/>
          <c:showVal val="1"/>
          <c:showCatName val="1"/>
          <c:showSerName val="1"/>
          <c:showPercent val="1"/>
          <c:showBubbleSize val="1"/>
          <c:showLeaderLines val="1"/>
        </c:dLbls>
      </c:pie3DChart>
    </c:plotArea>
    <c:legend>
      <c:legendPos val="r"/>
      <c:overlay val="1"/>
    </c:legend>
    <c:plotVisOnly val="1"/>
    <c:dispBlanksAs val="zero"/>
    <c:showDLblsOverMax val="1"/>
  </c:chart>
  <c:spPr>
    <a:ln>
      <a:noFill/>
    </a:ln>
  </c:spPr>
  <c:txPr>
    <a:bodyPr/>
    <a:lstStyle/>
    <a:p>
      <a:pPr>
        <a:defRPr>
          <a:latin typeface="Times New Roman" pitchFamily="18" charset="0"/>
          <a:cs typeface="Times New Roman" pitchFamily="18" charset="0"/>
        </a:defRPr>
      </a:pPr>
      <a:endParaRPr lang="ru-RU"/>
    </a:p>
  </c:txPr>
  <c:externalData r:id="rId1">
    <c:autoUpdate val="1"/>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roundedCorners val="1"/>
  <c:style val="26"/>
  <c:clrMapOvr bg1="lt1" tx1="dk1" bg2="lt2" tx2="dk2" accent1="accent1" accent2="accent2" accent3="accent3" accent4="accent4" accent5="accent5" accent6="accent6" hlink="hlink" folHlink="folHlink"/>
  <c:chart>
    <c:autoTitleDeleted val="1"/>
    <c:plotArea>
      <c:layout/>
      <c:bubbleChart>
        <c:varyColors val="1"/>
        <c:ser>
          <c:idx val="0"/>
          <c:order val="0"/>
          <c:invertIfNegative val="1"/>
          <c:dLbls>
            <c:spPr>
              <a:noFill/>
              <a:ln>
                <a:noFill/>
              </a:ln>
              <a:effectLst/>
            </c:sp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strRef>
              <c:f>'нефтегазовая отрасль'!$A$1:$A$15</c:f>
              <c:strCache>
                <c:ptCount val="15"/>
                <c:pt idx="2">
                  <c:v>Когалым</c:v>
                </c:pt>
                <c:pt idx="3">
                  <c:v>Лангепас</c:v>
                </c:pt>
                <c:pt idx="4">
                  <c:v>Мегион</c:v>
                </c:pt>
                <c:pt idx="5">
                  <c:v>Нефтеюганск</c:v>
                </c:pt>
                <c:pt idx="6">
                  <c:v>Нижневартовск</c:v>
                </c:pt>
                <c:pt idx="7">
                  <c:v>Нягань</c:v>
                </c:pt>
                <c:pt idx="8">
                  <c:v>Покачи</c:v>
                </c:pt>
                <c:pt idx="9">
                  <c:v>Пять-Ях</c:v>
                </c:pt>
                <c:pt idx="10">
                  <c:v>Радужный</c:v>
                </c:pt>
                <c:pt idx="11">
                  <c:v>Сургут</c:v>
                </c:pt>
                <c:pt idx="12">
                  <c:v>Урай</c:v>
                </c:pt>
                <c:pt idx="13">
                  <c:v>Ханты-Мансийск</c:v>
                </c:pt>
                <c:pt idx="14">
                  <c:v>Югорск</c:v>
                </c:pt>
              </c:strCache>
            </c:strRef>
          </c:xVal>
          <c:yVal>
            <c:numRef>
              <c:f>'нефтегазовая отрасль'!$B$1:$B$15</c:f>
            </c:numRef>
          </c:yVal>
          <c:bubbleSize>
            <c:numRef>
              <c:f>'нефтегазовая отрасль'!$C$1:$C$15</c:f>
            </c:numRef>
          </c:bubbleSize>
          <c:bubble3D val="0"/>
        </c:ser>
        <c:ser>
          <c:idx val="1"/>
          <c:order val="1"/>
          <c:invertIfNegative val="1"/>
          <c:dLbls>
            <c:spPr>
              <a:noFill/>
              <a:ln>
                <a:noFill/>
              </a:ln>
              <a:effectLst/>
            </c:sp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strRef>
              <c:f>'нефтегазовая отрасль'!$A$1:$A$15</c:f>
              <c:strCache>
                <c:ptCount val="15"/>
                <c:pt idx="2">
                  <c:v>Когалым</c:v>
                </c:pt>
                <c:pt idx="3">
                  <c:v>Лангепас</c:v>
                </c:pt>
                <c:pt idx="4">
                  <c:v>Мегион</c:v>
                </c:pt>
                <c:pt idx="5">
                  <c:v>Нефтеюганск</c:v>
                </c:pt>
                <c:pt idx="6">
                  <c:v>Нижневартовск</c:v>
                </c:pt>
                <c:pt idx="7">
                  <c:v>Нягань</c:v>
                </c:pt>
                <c:pt idx="8">
                  <c:v>Покачи</c:v>
                </c:pt>
                <c:pt idx="9">
                  <c:v>Пять-Ях</c:v>
                </c:pt>
                <c:pt idx="10">
                  <c:v>Радужный</c:v>
                </c:pt>
                <c:pt idx="11">
                  <c:v>Сургут</c:v>
                </c:pt>
                <c:pt idx="12">
                  <c:v>Урай</c:v>
                </c:pt>
                <c:pt idx="13">
                  <c:v>Ханты-Мансийск</c:v>
                </c:pt>
                <c:pt idx="14">
                  <c:v>Югорск</c:v>
                </c:pt>
              </c:strCache>
            </c:strRef>
          </c:xVal>
          <c:yVal>
            <c:numRef>
              <c:f>'нефтегазовая отрасль'!$D$1:$D$15</c:f>
            </c:numRef>
          </c:yVal>
          <c:bubbleSize>
            <c:numRef>
              <c:f>'нефтегазовая отрасль'!$E$1:$E$15</c:f>
              <c:numCache>
                <c:formatCode>General</c:formatCode>
                <c:ptCount val="15"/>
                <c:pt idx="0">
                  <c:v>0</c:v>
                </c:pt>
                <c:pt idx="1">
                  <c:v>2012</c:v>
                </c:pt>
                <c:pt idx="2" formatCode="0.00">
                  <c:v>1.4</c:v>
                </c:pt>
                <c:pt idx="3" formatCode="0.00">
                  <c:v>6.98</c:v>
                </c:pt>
                <c:pt idx="4">
                  <c:v>10.3</c:v>
                </c:pt>
                <c:pt idx="5" formatCode="0.00">
                  <c:v>0.33300000000000063</c:v>
                </c:pt>
                <c:pt idx="6">
                  <c:v>32.700000000000003</c:v>
                </c:pt>
                <c:pt idx="10" formatCode="0.00">
                  <c:v>5.2914000000000003</c:v>
                </c:pt>
                <c:pt idx="11" formatCode="0.00">
                  <c:v>4.3</c:v>
                </c:pt>
                <c:pt idx="12" formatCode="0.00">
                  <c:v>0.12000000000000002</c:v>
                </c:pt>
              </c:numCache>
            </c:numRef>
          </c:bubbleSize>
          <c:bubble3D val="0"/>
        </c:ser>
        <c:ser>
          <c:idx val="4"/>
          <c:order val="2"/>
          <c:invertIfNegative val="1"/>
          <c:dLbls>
            <c:spPr>
              <a:noFill/>
              <a:ln>
                <a:noFill/>
              </a:ln>
              <a:effectLst/>
            </c:sp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strRef>
              <c:f>'нефтегазовая отрасль'!$A$1:$A$15</c:f>
              <c:strCache>
                <c:ptCount val="15"/>
                <c:pt idx="2">
                  <c:v>Когалым</c:v>
                </c:pt>
                <c:pt idx="3">
                  <c:v>Лангепас</c:v>
                </c:pt>
                <c:pt idx="4">
                  <c:v>Мегион</c:v>
                </c:pt>
                <c:pt idx="5">
                  <c:v>Нефтеюганск</c:v>
                </c:pt>
                <c:pt idx="6">
                  <c:v>Нижневартовск</c:v>
                </c:pt>
                <c:pt idx="7">
                  <c:v>Нягань</c:v>
                </c:pt>
                <c:pt idx="8">
                  <c:v>Покачи</c:v>
                </c:pt>
                <c:pt idx="9">
                  <c:v>Пять-Ях</c:v>
                </c:pt>
                <c:pt idx="10">
                  <c:v>Радужный</c:v>
                </c:pt>
                <c:pt idx="11">
                  <c:v>Сургут</c:v>
                </c:pt>
                <c:pt idx="12">
                  <c:v>Урай</c:v>
                </c:pt>
                <c:pt idx="13">
                  <c:v>Ханты-Мансийск</c:v>
                </c:pt>
                <c:pt idx="14">
                  <c:v>Югорск</c:v>
                </c:pt>
              </c:strCache>
            </c:strRef>
          </c:xVal>
          <c:yVal>
            <c:numRef>
              <c:f>'нефтегазовая отрасль'!$J$1:$J$15</c:f>
            </c:numRef>
          </c:yVal>
          <c:bubbleSize>
            <c:numRef>
              <c:f>'нефтегазовая отрасль'!$K$1:$K$15</c:f>
            </c:numRef>
          </c:bubbleSize>
          <c:bubble3D val="0"/>
        </c:ser>
        <c:ser>
          <c:idx val="5"/>
          <c:order val="3"/>
          <c:invertIfNegative val="1"/>
          <c:dLbls>
            <c:spPr>
              <a:noFill/>
              <a:ln>
                <a:noFill/>
              </a:ln>
              <a:effectLst/>
            </c:sp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strRef>
              <c:f>'нефтегазовая отрасль'!$A$1:$A$15</c:f>
              <c:strCache>
                <c:ptCount val="15"/>
                <c:pt idx="2">
                  <c:v>Когалым</c:v>
                </c:pt>
                <c:pt idx="3">
                  <c:v>Лангепас</c:v>
                </c:pt>
                <c:pt idx="4">
                  <c:v>Мегион</c:v>
                </c:pt>
                <c:pt idx="5">
                  <c:v>Нефтеюганск</c:v>
                </c:pt>
                <c:pt idx="6">
                  <c:v>Нижневартовск</c:v>
                </c:pt>
                <c:pt idx="7">
                  <c:v>Нягань</c:v>
                </c:pt>
                <c:pt idx="8">
                  <c:v>Покачи</c:v>
                </c:pt>
                <c:pt idx="9">
                  <c:v>Пять-Ях</c:v>
                </c:pt>
                <c:pt idx="10">
                  <c:v>Радужный</c:v>
                </c:pt>
                <c:pt idx="11">
                  <c:v>Сургут</c:v>
                </c:pt>
                <c:pt idx="12">
                  <c:v>Урай</c:v>
                </c:pt>
                <c:pt idx="13">
                  <c:v>Ханты-Мансийск</c:v>
                </c:pt>
                <c:pt idx="14">
                  <c:v>Югорск</c:v>
                </c:pt>
              </c:strCache>
            </c:strRef>
          </c:xVal>
          <c:yVal>
            <c:numRef>
              <c:f>'нефтегазовая отрасль'!$L$1:$L$15</c:f>
            </c:numRef>
          </c:yVal>
          <c:bubbleSize>
            <c:numRef>
              <c:f>'нефтегазовая отрасль'!$M$1:$M$15</c:f>
            </c:numRef>
          </c:bubbleSize>
          <c:bubble3D val="0"/>
        </c:ser>
        <c:ser>
          <c:idx val="6"/>
          <c:order val="4"/>
          <c:invertIfNegative val="1"/>
          <c:dLbls>
            <c:spPr>
              <a:noFill/>
              <a:ln>
                <a:noFill/>
              </a:ln>
              <a:effectLst/>
            </c:sp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strRef>
              <c:f>'нефтегазовая отрасль'!$A$1:$A$15</c:f>
              <c:strCache>
                <c:ptCount val="15"/>
                <c:pt idx="2">
                  <c:v>Когалым</c:v>
                </c:pt>
                <c:pt idx="3">
                  <c:v>Лангепас</c:v>
                </c:pt>
                <c:pt idx="4">
                  <c:v>Мегион</c:v>
                </c:pt>
                <c:pt idx="5">
                  <c:v>Нефтеюганск</c:v>
                </c:pt>
                <c:pt idx="6">
                  <c:v>Нижневартовск</c:v>
                </c:pt>
                <c:pt idx="7">
                  <c:v>Нягань</c:v>
                </c:pt>
                <c:pt idx="8">
                  <c:v>Покачи</c:v>
                </c:pt>
                <c:pt idx="9">
                  <c:v>Пять-Ях</c:v>
                </c:pt>
                <c:pt idx="10">
                  <c:v>Радужный</c:v>
                </c:pt>
                <c:pt idx="11">
                  <c:v>Сургут</c:v>
                </c:pt>
                <c:pt idx="12">
                  <c:v>Урай</c:v>
                </c:pt>
                <c:pt idx="13">
                  <c:v>Ханты-Мансийск</c:v>
                </c:pt>
                <c:pt idx="14">
                  <c:v>Югорск</c:v>
                </c:pt>
              </c:strCache>
            </c:strRef>
          </c:xVal>
          <c:yVal>
            <c:numRef>
              <c:f>'нефтегазовая отрасль'!$N$1:$N$15</c:f>
            </c:numRef>
          </c:yVal>
          <c:bubbleSize>
            <c:numRef>
              <c:f>'нефтегазовая отрасль'!$O$1:$O$15</c:f>
            </c:numRef>
          </c:bubbleSize>
          <c:bubble3D val="0"/>
        </c:ser>
        <c:ser>
          <c:idx val="7"/>
          <c:order val="5"/>
          <c:invertIfNegative val="1"/>
          <c:dLbls>
            <c:spPr>
              <a:noFill/>
              <a:ln>
                <a:noFill/>
              </a:ln>
              <a:effectLst/>
            </c:sp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strRef>
              <c:f>'нефтегазовая отрасль'!$A$1:$A$15</c:f>
              <c:strCache>
                <c:ptCount val="15"/>
                <c:pt idx="2">
                  <c:v>Когалым</c:v>
                </c:pt>
                <c:pt idx="3">
                  <c:v>Лангепас</c:v>
                </c:pt>
                <c:pt idx="4">
                  <c:v>Мегион</c:v>
                </c:pt>
                <c:pt idx="5">
                  <c:v>Нефтеюганск</c:v>
                </c:pt>
                <c:pt idx="6">
                  <c:v>Нижневартовск</c:v>
                </c:pt>
                <c:pt idx="7">
                  <c:v>Нягань</c:v>
                </c:pt>
                <c:pt idx="8">
                  <c:v>Покачи</c:v>
                </c:pt>
                <c:pt idx="9">
                  <c:v>Пять-Ях</c:v>
                </c:pt>
                <c:pt idx="10">
                  <c:v>Радужный</c:v>
                </c:pt>
                <c:pt idx="11">
                  <c:v>Сургут</c:v>
                </c:pt>
                <c:pt idx="12">
                  <c:v>Урай</c:v>
                </c:pt>
                <c:pt idx="13">
                  <c:v>Ханты-Мансийск</c:v>
                </c:pt>
                <c:pt idx="14">
                  <c:v>Югорск</c:v>
                </c:pt>
              </c:strCache>
            </c:strRef>
          </c:xVal>
          <c:yVal>
            <c:numRef>
              <c:f>'нефтегазовая отрасль'!$P$1:$P$15</c:f>
            </c:numRef>
          </c:yVal>
          <c:bubbleSize>
            <c:numRef>
              <c:f>'нефтегазовая отрасль'!$Q$1:$Q$15</c:f>
              <c:numCache>
                <c:formatCode>General</c:formatCode>
                <c:ptCount val="15"/>
                <c:pt idx="2">
                  <c:v>0</c:v>
                </c:pt>
                <c:pt idx="4">
                  <c:v>0</c:v>
                </c:pt>
                <c:pt idx="8">
                  <c:v>0</c:v>
                </c:pt>
                <c:pt idx="12">
                  <c:v>0</c:v>
                </c:pt>
              </c:numCache>
            </c:numRef>
          </c:bubbleSize>
          <c:bubble3D val="0"/>
        </c:ser>
        <c:ser>
          <c:idx val="2"/>
          <c:order val="6"/>
          <c:tx>
            <c:strRef>
              <c:f>'нефтегазовая отрасль'!$A$3</c:f>
              <c:strCache>
                <c:ptCount val="1"/>
                <c:pt idx="0">
                  <c:v>Когалым</c:v>
                </c:pt>
              </c:strCache>
            </c:strRef>
          </c:tx>
          <c:spPr>
            <a:solidFill>
              <a:srgbClr val="00B0F0"/>
            </a:solidFill>
          </c:spPr>
          <c:invertIfNegative val="1"/>
          <c:dLbls>
            <c:dLbl>
              <c:idx val="0"/>
              <c:layout>
                <c:manualLayout>
                  <c:x val="-3.4242916417961858E-2"/>
                  <c:y val="5.2227342549923214E-2"/>
                </c:manualLayout>
              </c:layout>
              <c:showLegendKey val="1"/>
              <c:showVal val="1"/>
              <c:showCatName val="1"/>
              <c:showSerName val="1"/>
              <c:showPercent val="1"/>
              <c:showBubbleSize val="1"/>
              <c:extLst>
                <c:ext xmlns:c15="http://schemas.microsoft.com/office/drawing/2012/chart" uri="{CE6537A1-D6FC-4f65-9D91-7224C49458BB}"/>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'нефтегазовая отрасль'!$F$3</c:f>
              <c:numCache>
                <c:formatCode>0.00</c:formatCode>
                <c:ptCount val="1"/>
                <c:pt idx="0">
                  <c:v>1.6589999999999998</c:v>
                </c:pt>
              </c:numCache>
            </c:numRef>
          </c:xVal>
          <c:yVal>
            <c:numRef>
              <c:f>'нефтегазовая отрасль'!$H$3</c:f>
              <c:numCache>
                <c:formatCode>0.00</c:formatCode>
                <c:ptCount val="1"/>
                <c:pt idx="0">
                  <c:v>118.5</c:v>
                </c:pt>
              </c:numCache>
            </c:numRef>
          </c:yVal>
          <c:bubbleSize>
            <c:numRef>
              <c:f>'нефтегазовая отрасль'!$G$3</c:f>
              <c:numCache>
                <c:formatCode>0.00</c:formatCode>
                <c:ptCount val="1"/>
                <c:pt idx="0">
                  <c:v>0.64804687500000113</c:v>
                </c:pt>
              </c:numCache>
            </c:numRef>
          </c:bubbleSize>
          <c:bubble3D val="0"/>
          <c:extLst>
            <c:ext xmlns:c14="http://schemas.microsoft.com/office/drawing/2007/8/2/chart" uri="{6F2FDCE9-48DA-4B69-8628-5D25D57E5C99}">
              <c14:invertSolidFillFmt>
                <c14:spPr xmlns:c14="http://schemas.microsoft.com/office/drawing/2007/8/2/chart">
                  <a:solidFill>
                    <a:srgbClr val="FFFFFF"/>
                  </a:solidFill>
                </c14:spPr>
              </c14:invertSolidFillFmt>
            </c:ext>
          </c:extLst>
        </c:ser>
        <c:ser>
          <c:idx val="3"/>
          <c:order val="7"/>
          <c:tx>
            <c:strRef>
              <c:f>'нефтегазовая отрасль'!$A$4</c:f>
              <c:strCache>
                <c:ptCount val="1"/>
                <c:pt idx="0">
                  <c:v>Лангепас</c:v>
                </c:pt>
              </c:strCache>
            </c:strRef>
          </c:tx>
          <c:invertIfNegative val="1"/>
          <c:dLbls>
            <c:dLbl>
              <c:idx val="0"/>
              <c:layout>
                <c:manualLayout>
                  <c:x val="-0.15192934904418148"/>
                  <c:y val="-7.5480726199547765E-2"/>
                </c:manualLayout>
              </c:layout>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dLblPos val="t"/>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'нефтегазовая отрасль'!$F$4</c:f>
              <c:numCache>
                <c:formatCode>0.00</c:formatCode>
                <c:ptCount val="1"/>
                <c:pt idx="0">
                  <c:v>7.0637600000000011</c:v>
                </c:pt>
              </c:numCache>
            </c:numRef>
          </c:xVal>
          <c:yVal>
            <c:numRef>
              <c:f>'нефтегазовая отрасль'!$H$4</c:f>
              <c:numCache>
                <c:formatCode>0.00</c:formatCode>
                <c:ptCount val="1"/>
                <c:pt idx="0">
                  <c:v>101.2</c:v>
                </c:pt>
              </c:numCache>
            </c:numRef>
          </c:yVal>
          <c:bubbleSize>
            <c:numRef>
              <c:f>'нефтегазовая отрасль'!$G$4</c:f>
              <c:numCache>
                <c:formatCode>0.00</c:formatCode>
                <c:ptCount val="1"/>
                <c:pt idx="0">
                  <c:v>2.7592812500000012</c:v>
                </c:pt>
              </c:numCache>
            </c:numRef>
          </c:bubbleSize>
          <c:bubble3D val="0"/>
        </c:ser>
        <c:ser>
          <c:idx val="8"/>
          <c:order val="8"/>
          <c:tx>
            <c:strRef>
              <c:f>'нефтегазовая отрасль'!$A$5</c:f>
              <c:strCache>
                <c:ptCount val="1"/>
                <c:pt idx="0">
                  <c:v>Мегион</c:v>
                </c:pt>
              </c:strCache>
            </c:strRef>
          </c:tx>
          <c:spPr>
            <a:solidFill>
              <a:srgbClr val="D99694"/>
            </a:solidFill>
          </c:spPr>
          <c:invertIfNegative val="1"/>
          <c:dLbls>
            <c:dLbl>
              <c:idx val="0"/>
              <c:layout>
                <c:manualLayout>
                  <c:x val="-1.8612972579793292E-2"/>
                  <c:y val="3.9938556067588428E-2"/>
                </c:manualLayout>
              </c:layout>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'нефтегазовая отрасль'!$F$5</c:f>
              <c:numCache>
                <c:formatCode>0.00</c:formatCode>
                <c:ptCount val="1"/>
                <c:pt idx="0">
                  <c:v>9.5400000000000009</c:v>
                </c:pt>
              </c:numCache>
            </c:numRef>
          </c:xVal>
          <c:yVal>
            <c:numRef>
              <c:f>'нефтегазовая отрасль'!$H$5</c:f>
              <c:numCache>
                <c:formatCode>0.00</c:formatCode>
                <c:ptCount val="1"/>
                <c:pt idx="0">
                  <c:v>92.621359223300956</c:v>
                </c:pt>
              </c:numCache>
            </c:numRef>
          </c:yVal>
          <c:bubbleSize>
            <c:numRef>
              <c:f>'нефтегазовая отрасль'!$G$5</c:f>
              <c:numCache>
                <c:formatCode>0.00</c:formatCode>
                <c:ptCount val="1"/>
                <c:pt idx="0">
                  <c:v>3.7265624999999987</c:v>
                </c:pt>
              </c:numCache>
            </c:numRef>
          </c:bubbleSize>
          <c:bubble3D val="0"/>
          <c:extLst>
            <c:ext xmlns:c14="http://schemas.microsoft.com/office/drawing/2007/8/2/chart" uri="{6F2FDCE9-48DA-4B69-8628-5D25D57E5C99}">
              <c14:invertSolidFillFmt>
                <c14:spPr xmlns:c14="http://schemas.microsoft.com/office/drawing/2007/8/2/chart">
                  <a:solidFill>
                    <a:srgbClr val="FFFFFF"/>
                  </a:solidFill>
                </c14:spPr>
              </c14:invertSolidFillFmt>
            </c:ext>
          </c:extLst>
        </c:ser>
        <c:ser>
          <c:idx val="9"/>
          <c:order val="9"/>
          <c:tx>
            <c:strRef>
              <c:f>'нефтегазовая отрасль'!$A$6</c:f>
              <c:strCache>
                <c:ptCount val="1"/>
                <c:pt idx="0">
                  <c:v>Нефтеюганск</c:v>
                </c:pt>
              </c:strCache>
            </c:strRef>
          </c:tx>
          <c:spPr>
            <a:solidFill>
              <a:srgbClr val="953735"/>
            </a:solidFill>
          </c:spPr>
          <c:invertIfNegative val="1"/>
          <c:dLbls>
            <c:dLbl>
              <c:idx val="0"/>
              <c:layout>
                <c:manualLayout>
                  <c:x val="-1.1438852970151698E-2"/>
                  <c:y val="1.2288786482334868E-2"/>
                </c:manualLayout>
              </c:layout>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'нефтегазовая отрасль'!$F$6</c:f>
              <c:numCache>
                <c:formatCode>0.00</c:formatCode>
                <c:ptCount val="1"/>
                <c:pt idx="0">
                  <c:v>0.3720000000000005</c:v>
                </c:pt>
              </c:numCache>
            </c:numRef>
          </c:xVal>
          <c:yVal>
            <c:numRef>
              <c:f>'нефтегазовая отрасль'!$H$6</c:f>
              <c:numCache>
                <c:formatCode>0.00</c:formatCode>
                <c:ptCount val="1"/>
                <c:pt idx="0">
                  <c:v>111.7117117117117</c:v>
                </c:pt>
              </c:numCache>
            </c:numRef>
          </c:yVal>
          <c:bubbleSize>
            <c:numRef>
              <c:f>'нефтегазовая отрасль'!$G$6</c:f>
              <c:numCache>
                <c:formatCode>0.00</c:formatCode>
                <c:ptCount val="1"/>
                <c:pt idx="0">
                  <c:v>0.14531250000000001</c:v>
                </c:pt>
              </c:numCache>
            </c:numRef>
          </c:bubbleSize>
          <c:bubble3D val="0"/>
          <c:extLst>
            <c:ext xmlns:c14="http://schemas.microsoft.com/office/drawing/2007/8/2/chart" uri="{6F2FDCE9-48DA-4B69-8628-5D25D57E5C99}">
              <c14:invertSolidFillFmt>
                <c14:spPr xmlns:c14="http://schemas.microsoft.com/office/drawing/2007/8/2/chart">
                  <a:solidFill>
                    <a:srgbClr val="FFFFFF"/>
                  </a:solidFill>
                </c14:spPr>
              </c14:invertSolidFillFmt>
            </c:ext>
          </c:extLst>
        </c:ser>
        <c:ser>
          <c:idx val="10"/>
          <c:order val="10"/>
          <c:tx>
            <c:strRef>
              <c:f>'нефтегазовая отрасль'!$A$7</c:f>
              <c:strCache>
                <c:ptCount val="1"/>
                <c:pt idx="0">
                  <c:v>Нижневартовск</c:v>
                </c:pt>
              </c:strCache>
            </c:strRef>
          </c:tx>
          <c:spPr>
            <a:solidFill>
              <a:srgbClr val="77933C"/>
            </a:solidFill>
          </c:spPr>
          <c:invertIfNegative val="1"/>
          <c:dLbls>
            <c:dLbl>
              <c:idx val="0"/>
              <c:layout>
                <c:manualLayout>
                  <c:x val="-0.29122050045213455"/>
                  <c:y val="8.2949308755760398E-2"/>
                </c:manualLayout>
              </c:layout>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'нефтегазовая отрасль'!$F$7</c:f>
              <c:numCache>
                <c:formatCode>0.00</c:formatCode>
                <c:ptCount val="1"/>
                <c:pt idx="0">
                  <c:v>31.3</c:v>
                </c:pt>
              </c:numCache>
            </c:numRef>
          </c:xVal>
          <c:yVal>
            <c:numRef>
              <c:f>'нефтегазовая отрасль'!$H$7</c:f>
              <c:numCache>
                <c:formatCode>0.00</c:formatCode>
                <c:ptCount val="1"/>
                <c:pt idx="0">
                  <c:v>95.718654434250766</c:v>
                </c:pt>
              </c:numCache>
            </c:numRef>
          </c:yVal>
          <c:bubbleSize>
            <c:numRef>
              <c:f>'нефтегазовая отрасль'!$G$7</c:f>
              <c:numCache>
                <c:formatCode>0.00</c:formatCode>
                <c:ptCount val="1"/>
                <c:pt idx="0">
                  <c:v>12.2265625</c:v>
                </c:pt>
              </c:numCache>
            </c:numRef>
          </c:bubbleSize>
          <c:bubble3D val="0"/>
          <c:extLst>
            <c:ext xmlns:c14="http://schemas.microsoft.com/office/drawing/2007/8/2/chart" uri="{6F2FDCE9-48DA-4B69-8628-5D25D57E5C99}">
              <c14:invertSolidFillFmt>
                <c14:spPr xmlns:c14="http://schemas.microsoft.com/office/drawing/2007/8/2/chart">
                  <a:solidFill>
                    <a:srgbClr val="FFFFFF"/>
                  </a:solidFill>
                </c14:spPr>
              </c14:invertSolidFillFmt>
            </c:ext>
          </c:extLst>
        </c:ser>
        <c:ser>
          <c:idx val="11"/>
          <c:order val="11"/>
          <c:tx>
            <c:strRef>
              <c:f>'нефтегазовая отрасль'!$A$11</c:f>
              <c:strCache>
                <c:ptCount val="1"/>
                <c:pt idx="0">
                  <c:v>Радужный</c:v>
                </c:pt>
              </c:strCache>
            </c:strRef>
          </c:tx>
          <c:invertIfNegative val="1"/>
          <c:dLbls>
            <c:dLbl>
              <c:idx val="0"/>
              <c:layout>
                <c:manualLayout>
                  <c:x val="-0.11846753026839386"/>
                  <c:y val="6.7588325652841813E-2"/>
                </c:manualLayout>
              </c:layout>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'нефтегазовая отрасль'!$F$11</c:f>
              <c:numCache>
                <c:formatCode>0.00</c:formatCode>
                <c:ptCount val="1"/>
                <c:pt idx="0">
                  <c:v>5.31</c:v>
                </c:pt>
              </c:numCache>
            </c:numRef>
          </c:xVal>
          <c:yVal>
            <c:numRef>
              <c:f>'нефтегазовая отрасль'!$H$11</c:f>
              <c:numCache>
                <c:formatCode>0.00</c:formatCode>
                <c:ptCount val="1"/>
                <c:pt idx="0">
                  <c:v>100.35151377707234</c:v>
                </c:pt>
              </c:numCache>
            </c:numRef>
          </c:yVal>
          <c:bubbleSize>
            <c:numRef>
              <c:f>'нефтегазовая отрасль'!$G$11</c:f>
              <c:numCache>
                <c:formatCode>0.00</c:formatCode>
                <c:ptCount val="1"/>
                <c:pt idx="0">
                  <c:v>2.07421875</c:v>
                </c:pt>
              </c:numCache>
            </c:numRef>
          </c:bubbleSize>
          <c:bubble3D val="0"/>
        </c:ser>
        <c:ser>
          <c:idx val="12"/>
          <c:order val="12"/>
          <c:tx>
            <c:strRef>
              <c:f>'нефтегазовая отрасль'!$A$12</c:f>
              <c:strCache>
                <c:ptCount val="1"/>
                <c:pt idx="0">
                  <c:v>Сургут</c:v>
                </c:pt>
              </c:strCache>
            </c:strRef>
          </c:tx>
          <c:invertIfNegative val="1"/>
          <c:dLbls>
            <c:dLbl>
              <c:idx val="0"/>
              <c:layout>
                <c:manualLayout>
                  <c:x val="-1.3969660641239083E-2"/>
                  <c:y val="-2.4190524571525403E-7"/>
                </c:manualLayout>
              </c:layout>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'нефтегазовая отрасль'!$F$12</c:f>
              <c:numCache>
                <c:formatCode>0.00</c:formatCode>
                <c:ptCount val="1"/>
                <c:pt idx="0">
                  <c:v>6.1499999999999995</c:v>
                </c:pt>
              </c:numCache>
            </c:numRef>
          </c:xVal>
          <c:yVal>
            <c:numRef>
              <c:f>'нефтегазовая отрасль'!$H$12</c:f>
              <c:numCache>
                <c:formatCode>0.00</c:formatCode>
                <c:ptCount val="1"/>
                <c:pt idx="0">
                  <c:v>106.55977761783006</c:v>
                </c:pt>
              </c:numCache>
            </c:numRef>
          </c:yVal>
          <c:bubbleSize>
            <c:numRef>
              <c:f>'нефтегазовая отрасль'!$G$12</c:f>
              <c:numCache>
                <c:formatCode>0.00</c:formatCode>
                <c:ptCount val="1"/>
                <c:pt idx="0">
                  <c:v>2.40234375</c:v>
                </c:pt>
              </c:numCache>
            </c:numRef>
          </c:bubbleSize>
          <c:bubble3D val="0"/>
        </c:ser>
        <c:ser>
          <c:idx val="13"/>
          <c:order val="13"/>
          <c:tx>
            <c:strRef>
              <c:f>'нефтегазовая отрасль'!$A$13</c:f>
              <c:strCache>
                <c:ptCount val="1"/>
                <c:pt idx="0">
                  <c:v>Урай</c:v>
                </c:pt>
              </c:strCache>
            </c:strRef>
          </c:tx>
          <c:spPr>
            <a:solidFill>
              <a:srgbClr val="7F7F7F"/>
            </a:solidFill>
          </c:spPr>
          <c:invertIfNegative val="1"/>
          <c:dLbls>
            <c:dLbl>
              <c:idx val="0"/>
              <c:layout>
                <c:manualLayout>
                  <c:x val="-3.347312487171545E-2"/>
                  <c:y val="2.7512367405687212E-2"/>
                </c:manualLayout>
              </c:layout>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dLblPos val="b"/>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'нефтегазовая отрасль'!$F$13</c:f>
              <c:numCache>
                <c:formatCode>0.00</c:formatCode>
                <c:ptCount val="1"/>
                <c:pt idx="0">
                  <c:v>0.12020400000000016</c:v>
                </c:pt>
              </c:numCache>
            </c:numRef>
          </c:xVal>
          <c:yVal>
            <c:numRef>
              <c:f>'нефтегазовая отрасль'!$H$13</c:f>
              <c:numCache>
                <c:formatCode>General</c:formatCode>
                <c:ptCount val="1"/>
                <c:pt idx="0">
                  <c:v>100.16999999999999</c:v>
                </c:pt>
              </c:numCache>
            </c:numRef>
          </c:yVal>
          <c:bubbleSize>
            <c:numRef>
              <c:f>'нефтегазовая отрасль'!$G$13</c:f>
              <c:numCache>
                <c:formatCode>0.00</c:formatCode>
                <c:ptCount val="1"/>
                <c:pt idx="0">
                  <c:v>4.6954687500000002E-2</c:v>
                </c:pt>
              </c:numCache>
            </c:numRef>
          </c:bubbleSize>
          <c:bubble3D val="0"/>
          <c:extLst>
            <c:ext xmlns:c14="http://schemas.microsoft.com/office/drawing/2007/8/2/chart" uri="{6F2FDCE9-48DA-4B69-8628-5D25D57E5C99}">
              <c14:invertSolidFillFmt>
                <c14:spPr xmlns:c14="http://schemas.microsoft.com/office/drawing/2007/8/2/chart">
                  <a:solidFill>
                    <a:srgbClr val="FFFFFF"/>
                  </a:solidFill>
                </c14:spPr>
              </c14:invertSolidFillFmt>
            </c:ext>
          </c:extLst>
        </c:ser>
        <c:dLbls>
          <c:showLegendKey val="1"/>
          <c:showVal val="1"/>
          <c:showCatName val="1"/>
          <c:showSerName val="1"/>
          <c:showPercent val="1"/>
          <c:showBubbleSize val="1"/>
        </c:dLbls>
        <c:bubbleScale val="100"/>
        <c:showNegBubbles val="1"/>
        <c:axId val="488376864"/>
        <c:axId val="488380128"/>
      </c:bubbleChart>
      <c:valAx>
        <c:axId val="488376864"/>
        <c:scaling>
          <c:orientation val="minMax"/>
          <c:max val="41"/>
          <c:min val="-1"/>
        </c:scaling>
        <c:delete val="1"/>
        <c:axPos val="b"/>
        <c:majorGridlines/>
        <c:title>
          <c:tx>
            <c:rich>
              <a:bodyPr/>
              <a:lstStyle/>
              <a:p>
                <a:pPr>
                  <a:defRPr b="0">
                    <a:latin typeface="Times New Roman" panose="02020603050405020304" pitchFamily="18" charset="0"/>
                    <a:cs typeface="Times New Roman" panose="02020603050405020304" pitchFamily="18" charset="0"/>
                  </a:defRPr>
                </a:pPr>
                <a:r>
                  <a:rPr lang="ru-RU" b="0">
                    <a:latin typeface="Times New Roman" panose="02020603050405020304" pitchFamily="18" charset="0"/>
                    <a:cs typeface="Times New Roman" panose="02020603050405020304" pitchFamily="18" charset="0"/>
                  </a:rPr>
                  <a:t>Объем добычи нефти, млн тонн</a:t>
                </a:r>
              </a:p>
            </c:rich>
          </c:tx>
          <c:overlay val="1"/>
        </c:title>
        <c:numFmt formatCode="0.00" sourceLinked="1"/>
        <c:majorTickMark val="cross"/>
        <c:minorTickMark val="cross"/>
        <c:tickLblPos val="none"/>
        <c:crossAx val="488380128"/>
        <c:crosses val="autoZero"/>
        <c:crossBetween val="midCat"/>
        <c:majorUnit val="21"/>
        <c:minorUnit val="2"/>
      </c:valAx>
      <c:valAx>
        <c:axId val="488380128"/>
        <c:scaling>
          <c:orientation val="minMax"/>
          <c:max val="120"/>
          <c:min val="90"/>
        </c:scaling>
        <c:delete val="1"/>
        <c:axPos val="l"/>
        <c:majorGridlines/>
        <c:title>
          <c:tx>
            <c:rich>
              <a:bodyPr rot="-5400000" vert="horz"/>
              <a:lstStyle/>
              <a:p>
                <a:pPr>
                  <a:defRPr b="0">
                    <a:latin typeface="Times New Roman" panose="02020603050405020304" pitchFamily="18" charset="0"/>
                    <a:cs typeface="Times New Roman" panose="02020603050405020304" pitchFamily="18" charset="0"/>
                  </a:defRPr>
                </a:pPr>
                <a:r>
                  <a:rPr lang="ru-RU" b="0">
                    <a:latin typeface="Times New Roman" panose="02020603050405020304" pitchFamily="18" charset="0"/>
                    <a:cs typeface="Times New Roman" panose="02020603050405020304" pitchFamily="18" charset="0"/>
                  </a:rPr>
                  <a:t>Темпы роста добычи нефти, %</a:t>
                </a:r>
              </a:p>
            </c:rich>
          </c:tx>
          <c:layout>
            <c:manualLayout>
              <c:xMode val="edge"/>
              <c:yMode val="edge"/>
              <c:x val="1.700060716454159E-2"/>
              <c:y val="0.36947930823715591"/>
            </c:manualLayout>
          </c:layout>
          <c:overlay val="1"/>
        </c:title>
        <c:numFmt formatCode="0.00" sourceLinked="1"/>
        <c:majorTickMark val="cross"/>
        <c:minorTickMark val="cross"/>
        <c:tickLblPos val="none"/>
        <c:crossAx val="488376864"/>
        <c:crosses val="autoZero"/>
        <c:crossBetween val="midCat"/>
        <c:majorUnit val="15"/>
        <c:minorUnit val="4"/>
      </c:valAx>
    </c:plotArea>
    <c:plotVisOnly val="1"/>
    <c:dispBlanksAs val="gap"/>
    <c:showDLblsOverMax val="1"/>
  </c:chart>
  <c:spPr>
    <a:ln>
      <a:noFill/>
    </a:ln>
  </c:spPr>
  <c:externalData r:id="rId2">
    <c:autoUpdate val="1"/>
  </c:externalData>
  <c:userShapes r:id="rId3"/>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roundedCorners val="1"/>
  <c:style val="2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08130081300813"/>
          <c:y val="2.8368794326241127E-2"/>
          <c:w val="0.87533875338753464"/>
          <c:h val="0.89813023855577256"/>
        </c:manualLayout>
      </c:layout>
      <c:bubbleChart>
        <c:varyColors val="1"/>
        <c:ser>
          <c:idx val="0"/>
          <c:order val="0"/>
          <c:tx>
            <c:strRef>
              <c:f>сх!$A$4</c:f>
              <c:strCache>
                <c:ptCount val="1"/>
                <c:pt idx="0">
                  <c:v>Когалым</c:v>
                </c:pt>
              </c:strCache>
            </c:strRef>
          </c:tx>
          <c:spPr>
            <a:solidFill>
              <a:srgbClr val="00B0F0"/>
            </a:solidFill>
          </c:spPr>
          <c:invertIfNegative val="1"/>
          <c:dLbls>
            <c:dLbl>
              <c:idx val="0"/>
              <c:layout>
                <c:manualLayout>
                  <c:x val="1.5722424940784908E-4"/>
                  <c:y val="0"/>
                </c:manualLayout>
              </c:layout>
              <c:tx>
                <c:rich>
                  <a:bodyPr/>
                  <a:lstStyle/>
                  <a:p>
                    <a:r>
                      <a:rPr lang="ru-RU"/>
                      <a:t>Когалым</a:t>
                    </a:r>
                  </a:p>
                </c:rich>
              </c:tx>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сх!$C$4</c:f>
              <c:numCache>
                <c:formatCode>General</c:formatCode>
                <c:ptCount val="1"/>
                <c:pt idx="0">
                  <c:v>45283</c:v>
                </c:pt>
              </c:numCache>
            </c:numRef>
          </c:xVal>
          <c:yVal>
            <c:numRef>
              <c:f>сх!$E$4</c:f>
              <c:numCache>
                <c:formatCode>0.0</c:formatCode>
                <c:ptCount val="1"/>
                <c:pt idx="0">
                  <c:v>175.51550387596851</c:v>
                </c:pt>
              </c:numCache>
            </c:numRef>
          </c:yVal>
          <c:bubbleSize>
            <c:numRef>
              <c:f>сх!$F$4</c:f>
              <c:numCache>
                <c:formatCode>#,##0.0</c:formatCode>
                <c:ptCount val="1"/>
                <c:pt idx="0">
                  <c:v>1.3260697171277718</c:v>
                </c:pt>
              </c:numCache>
            </c:numRef>
          </c:bubbleSize>
          <c:bubble3D val="0"/>
          <c:extLst>
            <c:ext xmlns:c14="http://schemas.microsoft.com/office/drawing/2007/8/2/chart" uri="{6F2FDCE9-48DA-4B69-8628-5D25D57E5C99}">
              <c14:invertSolidFillFmt>
                <c14:spPr xmlns:c14="http://schemas.microsoft.com/office/drawing/2007/8/2/chart">
                  <a:solidFill>
                    <a:srgbClr val="FFFFFF"/>
                  </a:solidFill>
                </c14:spPr>
              </c14:invertSolidFillFmt>
            </c:ext>
          </c:extLst>
        </c:ser>
        <c:ser>
          <c:idx val="1"/>
          <c:order val="1"/>
          <c:tx>
            <c:strRef>
              <c:f>сх!$A$5</c:f>
              <c:strCache>
                <c:ptCount val="1"/>
                <c:pt idx="0">
                  <c:v>Лангепас</c:v>
                </c:pt>
              </c:strCache>
            </c:strRef>
          </c:tx>
          <c:spPr>
            <a:solidFill>
              <a:srgbClr val="D99694"/>
            </a:solidFill>
          </c:spPr>
          <c:invertIfNegative val="1"/>
          <c:dLbls>
            <c:dLbl>
              <c:idx val="0"/>
              <c:layout>
                <c:manualLayout>
                  <c:x val="-0.16435772357723591"/>
                  <c:y val="-5.7720444518903511E-3"/>
                </c:manualLayout>
              </c:layout>
              <c:tx>
                <c:rich>
                  <a:bodyPr/>
                  <a:lstStyle/>
                  <a:p>
                    <a:r>
                      <a:rPr lang="ru-RU"/>
                      <a:t>Лангепас</a:t>
                    </a:r>
                  </a:p>
                </c:rich>
              </c:tx>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сх!$C$5</c:f>
              <c:numCache>
                <c:formatCode>General</c:formatCode>
                <c:ptCount val="1"/>
                <c:pt idx="0">
                  <c:v>66907</c:v>
                </c:pt>
              </c:numCache>
            </c:numRef>
          </c:xVal>
          <c:yVal>
            <c:numRef>
              <c:f>сх!$E$5</c:f>
              <c:numCache>
                <c:formatCode>0.0</c:formatCode>
                <c:ptCount val="1"/>
                <c:pt idx="0">
                  <c:v>97.480814388119825</c:v>
                </c:pt>
              </c:numCache>
            </c:numRef>
          </c:yVal>
          <c:bubbleSize>
            <c:numRef>
              <c:f>сх!$F$5</c:f>
              <c:numCache>
                <c:formatCode>#,##0.0</c:formatCode>
                <c:ptCount val="1"/>
                <c:pt idx="0">
                  <c:v>1.9593080529971056</c:v>
                </c:pt>
              </c:numCache>
            </c:numRef>
          </c:bubbleSize>
          <c:bubble3D val="0"/>
          <c:extLst>
            <c:ext xmlns:c14="http://schemas.microsoft.com/office/drawing/2007/8/2/chart" uri="{6F2FDCE9-48DA-4B69-8628-5D25D57E5C99}">
              <c14:invertSolidFillFmt>
                <c14:spPr xmlns:c14="http://schemas.microsoft.com/office/drawing/2007/8/2/chart">
                  <a:solidFill>
                    <a:srgbClr val="FFFFFF"/>
                  </a:solidFill>
                </c14:spPr>
              </c14:invertSolidFillFmt>
            </c:ext>
          </c:extLst>
        </c:ser>
        <c:ser>
          <c:idx val="2"/>
          <c:order val="2"/>
          <c:tx>
            <c:strRef>
              <c:f>сх!$A$6</c:f>
              <c:strCache>
                <c:ptCount val="1"/>
                <c:pt idx="0">
                  <c:v>Мегион</c:v>
                </c:pt>
              </c:strCache>
            </c:strRef>
          </c:tx>
          <c:invertIfNegative val="1"/>
          <c:dLbls>
            <c:dLbl>
              <c:idx val="0"/>
              <c:layout>
                <c:manualLayout>
                  <c:x val="-0.15878403004502586"/>
                  <c:y val="-5.1579626047711337E-3"/>
                </c:manualLayout>
              </c:layout>
              <c:tx>
                <c:rich>
                  <a:bodyPr/>
                  <a:lstStyle/>
                  <a:p>
                    <a:r>
                      <a:rPr lang="ru-RU"/>
                      <a:t>Мегион</a:t>
                    </a:r>
                  </a:p>
                </c:rich>
              </c:tx>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сх!$C$6</c:f>
              <c:numCache>
                <c:formatCode>General</c:formatCode>
                <c:ptCount val="1"/>
                <c:pt idx="0">
                  <c:v>86632</c:v>
                </c:pt>
              </c:numCache>
            </c:numRef>
          </c:xVal>
          <c:yVal>
            <c:numRef>
              <c:f>сх!$E$6</c:f>
              <c:numCache>
                <c:formatCode>0.0</c:formatCode>
                <c:ptCount val="1"/>
                <c:pt idx="0">
                  <c:v>105.39044537171081</c:v>
                </c:pt>
              </c:numCache>
            </c:numRef>
          </c:yVal>
          <c:bubbleSize>
            <c:numRef>
              <c:f>сх!$F$6</c:f>
              <c:numCache>
                <c:formatCode>#,##0.0</c:formatCode>
                <c:ptCount val="1"/>
                <c:pt idx="0">
                  <c:v>2.5369359745205324</c:v>
                </c:pt>
              </c:numCache>
            </c:numRef>
          </c:bubbleSize>
          <c:bubble3D val="0"/>
        </c:ser>
        <c:ser>
          <c:idx val="3"/>
          <c:order val="3"/>
          <c:tx>
            <c:strRef>
              <c:f>сх!$A$7</c:f>
              <c:strCache>
                <c:ptCount val="1"/>
                <c:pt idx="0">
                  <c:v>Нефтеюганск</c:v>
                </c:pt>
              </c:strCache>
            </c:strRef>
          </c:tx>
          <c:spPr>
            <a:solidFill>
              <a:srgbClr val="000000"/>
            </a:solidFill>
            <a:ln>
              <a:solidFill>
                <a:sysClr val="windowText" lastClr="000000"/>
              </a:solidFill>
            </a:ln>
          </c:spPr>
          <c:invertIfNegative val="1"/>
          <c:dLbls>
            <c:dLbl>
              <c:idx val="0"/>
              <c:layout>
                <c:manualLayout>
                  <c:x val="-0.19348688730981797"/>
                  <c:y val="-7.4790457769181445E-2"/>
                </c:manualLayout>
              </c:layout>
              <c:tx>
                <c:rich>
                  <a:bodyPr/>
                  <a:lstStyle/>
                  <a:p>
                    <a:r>
                      <a:rPr lang="ru-RU"/>
                      <a:t>Нефтеюганск</a:t>
                    </a:r>
                  </a:p>
                </c:rich>
              </c:tx>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сх!$C$7</c:f>
              <c:numCache>
                <c:formatCode>General</c:formatCode>
                <c:ptCount val="1"/>
                <c:pt idx="0">
                  <c:v>145740</c:v>
                </c:pt>
              </c:numCache>
            </c:numRef>
          </c:xVal>
          <c:yVal>
            <c:numRef>
              <c:f>сх!$E$7</c:f>
              <c:numCache>
                <c:formatCode>0.0</c:formatCode>
                <c:ptCount val="1"/>
                <c:pt idx="0">
                  <c:v>115.25009246340787</c:v>
                </c:pt>
              </c:numCache>
            </c:numRef>
          </c:yVal>
          <c:bubbleSize>
            <c:numRef>
              <c:f>сх!$F$7</c:f>
              <c:numCache>
                <c:formatCode>#,##0.0</c:formatCode>
                <c:ptCount val="1"/>
                <c:pt idx="0">
                  <c:v>4.2678577076209807</c:v>
                </c:pt>
              </c:numCache>
            </c:numRef>
          </c:bubbleSize>
          <c:bubble3D val="0"/>
          <c:extLst>
            <c:ext xmlns:c14="http://schemas.microsoft.com/office/drawing/2007/8/2/chart" uri="{6F2FDCE9-48DA-4B69-8628-5D25D57E5C99}">
              <c14:invertSolidFillFmt>
                <c14:spPr xmlns:c14="http://schemas.microsoft.com/office/drawing/2007/8/2/chart">
                  <a:solidFill>
                    <a:srgbClr val="FFFFFF"/>
                  </a:solidFill>
                  <a:ln>
                    <a:solidFill>
                      <a:sysClr val="windowText" lastClr="000000"/>
                    </a:solidFill>
                  </a:ln>
                </c14:spPr>
              </c14:invertSolidFillFmt>
            </c:ext>
          </c:extLst>
        </c:ser>
        <c:ser>
          <c:idx val="4"/>
          <c:order val="4"/>
          <c:tx>
            <c:strRef>
              <c:f>сх!$A$8</c:f>
              <c:strCache>
                <c:ptCount val="1"/>
                <c:pt idx="0">
                  <c:v>Нижневартовск</c:v>
                </c:pt>
              </c:strCache>
            </c:strRef>
          </c:tx>
          <c:invertIfNegative val="1"/>
          <c:dLbls>
            <c:dLbl>
              <c:idx val="0"/>
              <c:layout>
                <c:manualLayout>
                  <c:x val="-2.9956255468066496E-2"/>
                  <c:y val="-9.4992410281403525E-2"/>
                </c:manualLayout>
              </c:layout>
              <c:tx>
                <c:rich>
                  <a:bodyPr/>
                  <a:lstStyle/>
                  <a:p>
                    <a:r>
                      <a:rPr lang="ru-RU"/>
                      <a:t>Нижневартовск</a:t>
                    </a:r>
                  </a:p>
                </c:rich>
              </c:tx>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сх!$C$8</c:f>
              <c:numCache>
                <c:formatCode>General</c:formatCode>
                <c:ptCount val="1"/>
                <c:pt idx="0">
                  <c:v>869467</c:v>
                </c:pt>
              </c:numCache>
            </c:numRef>
          </c:xVal>
          <c:yVal>
            <c:numRef>
              <c:f>сх!$E$8</c:f>
              <c:numCache>
                <c:formatCode>0.0</c:formatCode>
                <c:ptCount val="1"/>
                <c:pt idx="0">
                  <c:v>104.33621319811392</c:v>
                </c:pt>
              </c:numCache>
            </c:numRef>
          </c:yVal>
          <c:bubbleSize>
            <c:numRef>
              <c:f>сх!$F$8</c:f>
              <c:numCache>
                <c:formatCode>#,##0.0</c:formatCode>
                <c:ptCount val="1"/>
                <c:pt idx="0">
                  <c:v>25.461516656182884</c:v>
                </c:pt>
              </c:numCache>
            </c:numRef>
          </c:bubbleSize>
          <c:bubble3D val="0"/>
        </c:ser>
        <c:ser>
          <c:idx val="5"/>
          <c:order val="5"/>
          <c:tx>
            <c:strRef>
              <c:f>сх!$A$9</c:f>
              <c:strCache>
                <c:ptCount val="1"/>
                <c:pt idx="0">
                  <c:v>Нягань</c:v>
                </c:pt>
              </c:strCache>
            </c:strRef>
          </c:tx>
          <c:spPr>
            <a:solidFill>
              <a:srgbClr val="FFFF00">
                <a:alpha val="80000"/>
              </a:srgbClr>
            </a:solidFill>
            <a:ln>
              <a:solidFill>
                <a:sysClr val="windowText" lastClr="000000"/>
              </a:solidFill>
            </a:ln>
          </c:spPr>
          <c:invertIfNegative val="1"/>
          <c:dLbls>
            <c:dLbl>
              <c:idx val="0"/>
              <c:layout>
                <c:manualLayout>
                  <c:x val="-8.3391502891407066E-2"/>
                  <c:y val="-8.0808080808080857E-2"/>
                </c:manualLayout>
              </c:layout>
              <c:tx>
                <c:rich>
                  <a:bodyPr/>
                  <a:lstStyle/>
                  <a:p>
                    <a:r>
                      <a:rPr lang="ru-RU"/>
                      <a:t>Нягань</a:t>
                    </a:r>
                  </a:p>
                </c:rich>
              </c:tx>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сх!$C$9</c:f>
              <c:numCache>
                <c:formatCode>General</c:formatCode>
                <c:ptCount val="1"/>
                <c:pt idx="0">
                  <c:v>210135</c:v>
                </c:pt>
              </c:numCache>
            </c:numRef>
          </c:xVal>
          <c:yVal>
            <c:numRef>
              <c:f>сх!$E$9</c:f>
              <c:numCache>
                <c:formatCode>0.0</c:formatCode>
                <c:ptCount val="1"/>
                <c:pt idx="0">
                  <c:v>120.66996335770011</c:v>
                </c:pt>
              </c:numCache>
            </c:numRef>
          </c:yVal>
          <c:bubbleSize>
            <c:numRef>
              <c:f>сх!$F$9</c:f>
              <c:numCache>
                <c:formatCode>#,##0.0</c:formatCode>
                <c:ptCount val="1"/>
                <c:pt idx="0">
                  <c:v>6.1536042225259742</c:v>
                </c:pt>
              </c:numCache>
            </c:numRef>
          </c:bubbleSize>
          <c:bubble3D val="0"/>
          <c:extLst>
            <c:ext xmlns:c14="http://schemas.microsoft.com/office/drawing/2007/8/2/chart" uri="{6F2FDCE9-48DA-4B69-8628-5D25D57E5C99}">
              <c14:invertSolidFillFmt>
                <c14:spPr xmlns:c14="http://schemas.microsoft.com/office/drawing/2007/8/2/chart">
                  <a:solidFill>
                    <a:srgbClr val="FFFFFF"/>
                  </a:solidFill>
                  <a:ln>
                    <a:solidFill>
                      <a:sysClr val="windowText" lastClr="000000"/>
                    </a:solidFill>
                  </a:ln>
                </c14:spPr>
              </c14:invertSolidFillFmt>
            </c:ext>
          </c:extLst>
        </c:ser>
        <c:ser>
          <c:idx val="6"/>
          <c:order val="6"/>
          <c:tx>
            <c:strRef>
              <c:f>сх!$A$10</c:f>
              <c:strCache>
                <c:ptCount val="1"/>
                <c:pt idx="0">
                  <c:v>Покачи</c:v>
                </c:pt>
              </c:strCache>
            </c:strRef>
          </c:tx>
          <c:invertIfNegative val="1"/>
          <c:dLbls>
            <c:dLbl>
              <c:idx val="0"/>
              <c:layout>
                <c:manualLayout>
                  <c:x val="-1.7725540405010363E-2"/>
                  <c:y val="4.0404040404040414E-2"/>
                </c:manualLayout>
              </c:layout>
              <c:tx>
                <c:rich>
                  <a:bodyPr/>
                  <a:lstStyle/>
                  <a:p>
                    <a:r>
                      <a:rPr lang="ru-RU"/>
                      <a:t>Покачи</a:t>
                    </a:r>
                  </a:p>
                </c:rich>
              </c:tx>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сх!$C$10</c:f>
              <c:numCache>
                <c:formatCode>General</c:formatCode>
                <c:ptCount val="1"/>
                <c:pt idx="0">
                  <c:v>28781</c:v>
                </c:pt>
              </c:numCache>
            </c:numRef>
          </c:xVal>
          <c:yVal>
            <c:numRef>
              <c:f>сх!$E$10</c:f>
              <c:numCache>
                <c:formatCode>0.0</c:formatCode>
                <c:ptCount val="1"/>
                <c:pt idx="0">
                  <c:v>92.231511637334464</c:v>
                </c:pt>
              </c:numCache>
            </c:numRef>
          </c:yVal>
          <c:bubbleSize>
            <c:numRef>
              <c:f>сх!$F$10</c:f>
              <c:numCache>
                <c:formatCode>#,##0.0</c:formatCode>
                <c:ptCount val="1"/>
                <c:pt idx="0">
                  <c:v>0.84282429451790863</c:v>
                </c:pt>
              </c:numCache>
            </c:numRef>
          </c:bubbleSize>
          <c:bubble3D val="0"/>
        </c:ser>
        <c:ser>
          <c:idx val="7"/>
          <c:order val="7"/>
          <c:tx>
            <c:strRef>
              <c:f>сх!$A$11</c:f>
              <c:strCache>
                <c:ptCount val="1"/>
                <c:pt idx="0">
                  <c:v>Пыть-Ях</c:v>
                </c:pt>
              </c:strCache>
            </c:strRef>
          </c:tx>
          <c:spPr>
            <a:solidFill>
              <a:srgbClr val="CC3300">
                <a:alpha val="80000"/>
              </a:srgbClr>
            </a:solidFill>
          </c:spPr>
          <c:invertIfNegative val="1"/>
          <c:dLbls>
            <c:dLbl>
              <c:idx val="0"/>
              <c:layout>
                <c:manualLayout>
                  <c:x val="-0.17594707978575849"/>
                  <c:y val="-1.0315925209542241E-2"/>
                </c:manualLayout>
              </c:layout>
              <c:tx>
                <c:rich>
                  <a:bodyPr/>
                  <a:lstStyle/>
                  <a:p>
                    <a:r>
                      <a:rPr lang="ru-RU"/>
                      <a:t>Пыть-Ях</a:t>
                    </a:r>
                  </a:p>
                </c:rich>
              </c:tx>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сх!$C$11</c:f>
              <c:numCache>
                <c:formatCode>General</c:formatCode>
                <c:ptCount val="1"/>
                <c:pt idx="0">
                  <c:v>112997</c:v>
                </c:pt>
              </c:numCache>
            </c:numRef>
          </c:xVal>
          <c:yVal>
            <c:numRef>
              <c:f>сх!$E$11</c:f>
              <c:numCache>
                <c:formatCode>0.0</c:formatCode>
                <c:ptCount val="1"/>
                <c:pt idx="0">
                  <c:v>115.02334323306825</c:v>
                </c:pt>
              </c:numCache>
            </c:numRef>
          </c:yVal>
          <c:bubbleSize>
            <c:numRef>
              <c:f>сх!$F$11</c:f>
              <c:numCache>
                <c:formatCode>#,##0.0</c:formatCode>
                <c:ptCount val="1"/>
                <c:pt idx="0">
                  <c:v>3.3090099999179987</c:v>
                </c:pt>
              </c:numCache>
            </c:numRef>
          </c:bubbleSize>
          <c:bubble3D val="0"/>
          <c:extLst>
            <c:ext xmlns:c14="http://schemas.microsoft.com/office/drawing/2007/8/2/chart" uri="{6F2FDCE9-48DA-4B69-8628-5D25D57E5C99}">
              <c14:invertSolidFillFmt>
                <c14:spPr xmlns:c14="http://schemas.microsoft.com/office/drawing/2007/8/2/chart">
                  <a:solidFill>
                    <a:srgbClr val="FFFFFF"/>
                  </a:solidFill>
                </c14:spPr>
              </c14:invertSolidFillFmt>
            </c:ext>
          </c:extLst>
        </c:ser>
        <c:ser>
          <c:idx val="8"/>
          <c:order val="8"/>
          <c:tx>
            <c:strRef>
              <c:f>сх!$A$12</c:f>
              <c:strCache>
                <c:ptCount val="1"/>
                <c:pt idx="0">
                  <c:v>Радужный</c:v>
                </c:pt>
              </c:strCache>
            </c:strRef>
          </c:tx>
          <c:invertIfNegative val="1"/>
          <c:dLbls>
            <c:dLbl>
              <c:idx val="0"/>
              <c:layout>
                <c:manualLayout>
                  <c:x val="-9.2275782600345479E-3"/>
                  <c:y val="2.886002886002886E-2"/>
                </c:manualLayout>
              </c:layout>
              <c:tx>
                <c:rich>
                  <a:bodyPr/>
                  <a:lstStyle/>
                  <a:p>
                    <a:r>
                      <a:rPr lang="ru-RU"/>
                      <a:t>Радужный</a:t>
                    </a:r>
                  </a:p>
                </c:rich>
              </c:tx>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сх!$C$12</c:f>
              <c:numCache>
                <c:formatCode>General</c:formatCode>
                <c:ptCount val="1"/>
                <c:pt idx="0">
                  <c:v>2415</c:v>
                </c:pt>
              </c:numCache>
            </c:numRef>
          </c:xVal>
          <c:yVal>
            <c:numRef>
              <c:f>сх!$E$12</c:f>
              <c:numCache>
                <c:formatCode>0.0</c:formatCode>
                <c:ptCount val="1"/>
                <c:pt idx="0">
                  <c:v>77.854001985841222</c:v>
                </c:pt>
              </c:numCache>
            </c:numRef>
          </c:yVal>
          <c:bubbleSize>
            <c:numRef>
              <c:f>сх!$F$12</c:f>
              <c:numCache>
                <c:formatCode>#,##0.0</c:formatCode>
                <c:ptCount val="1"/>
                <c:pt idx="0">
                  <c:v>7.0720985068647713E-2</c:v>
                </c:pt>
              </c:numCache>
            </c:numRef>
          </c:bubbleSize>
          <c:bubble3D val="0"/>
        </c:ser>
        <c:ser>
          <c:idx val="9"/>
          <c:order val="9"/>
          <c:tx>
            <c:strRef>
              <c:f>сх!$A$13</c:f>
              <c:strCache>
                <c:ptCount val="1"/>
                <c:pt idx="0">
                  <c:v>Сургут</c:v>
                </c:pt>
              </c:strCache>
            </c:strRef>
          </c:tx>
          <c:invertIfNegative val="1"/>
          <c:dLbls>
            <c:dLbl>
              <c:idx val="0"/>
              <c:layout>
                <c:manualLayout>
                  <c:x val="-0.27550536670721038"/>
                  <c:y val="7.4360559862319014E-2"/>
                </c:manualLayout>
              </c:layout>
              <c:tx>
                <c:rich>
                  <a:bodyPr/>
                  <a:lstStyle/>
                  <a:p>
                    <a:r>
                      <a:rPr lang="ru-RU"/>
                      <a:t>Сургут</a:t>
                    </a:r>
                  </a:p>
                </c:rich>
              </c:tx>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сх!$C$13</c:f>
              <c:numCache>
                <c:formatCode>General</c:formatCode>
                <c:ptCount val="1"/>
                <c:pt idx="0">
                  <c:v>904510</c:v>
                </c:pt>
              </c:numCache>
            </c:numRef>
          </c:xVal>
          <c:yVal>
            <c:numRef>
              <c:f>сх!$E$13</c:f>
              <c:numCache>
                <c:formatCode>0.0</c:formatCode>
                <c:ptCount val="1"/>
                <c:pt idx="0">
                  <c:v>94.403504820526749</c:v>
                </c:pt>
              </c:numCache>
            </c:numRef>
          </c:yVal>
          <c:bubbleSize>
            <c:numRef>
              <c:f>сх!$F$13</c:f>
              <c:numCache>
                <c:formatCode>#,##0.0</c:formatCode>
                <c:ptCount val="1"/>
                <c:pt idx="0">
                  <c:v>26.487717682998884</c:v>
                </c:pt>
              </c:numCache>
            </c:numRef>
          </c:bubbleSize>
          <c:bubble3D val="0"/>
        </c:ser>
        <c:ser>
          <c:idx val="10"/>
          <c:order val="10"/>
          <c:tx>
            <c:strRef>
              <c:f>сх!$A$14</c:f>
              <c:strCache>
                <c:ptCount val="1"/>
                <c:pt idx="0">
                  <c:v>Урай</c:v>
                </c:pt>
              </c:strCache>
            </c:strRef>
          </c:tx>
          <c:spPr>
            <a:solidFill>
              <a:srgbClr val="948A54"/>
            </a:solidFill>
          </c:spPr>
          <c:invertIfNegative val="1"/>
          <c:dLbls>
            <c:dLbl>
              <c:idx val="0"/>
              <c:layout>
                <c:manualLayout>
                  <c:x val="-7.5483003648934375E-3"/>
                  <c:y val="4.3290043290043302E-2"/>
                </c:manualLayout>
              </c:layout>
              <c:tx>
                <c:rich>
                  <a:bodyPr/>
                  <a:lstStyle/>
                  <a:p>
                    <a:r>
                      <a:rPr lang="ru-RU"/>
                      <a:t>Урай</a:t>
                    </a:r>
                  </a:p>
                </c:rich>
              </c:tx>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сх!$C$14</c:f>
              <c:numCache>
                <c:formatCode>General</c:formatCode>
                <c:ptCount val="1"/>
                <c:pt idx="0">
                  <c:v>257880</c:v>
                </c:pt>
              </c:numCache>
            </c:numRef>
          </c:xVal>
          <c:yVal>
            <c:numRef>
              <c:f>сх!$E$14</c:f>
              <c:numCache>
                <c:formatCode>0.0</c:formatCode>
                <c:ptCount val="1"/>
                <c:pt idx="0">
                  <c:v>109.28932105852815</c:v>
                </c:pt>
              </c:numCache>
            </c:numRef>
          </c:yVal>
          <c:bubbleSize>
            <c:numRef>
              <c:f>сх!$F$14</c:f>
              <c:numCache>
                <c:formatCode>#,##0.0</c:formatCode>
                <c:ptCount val="1"/>
                <c:pt idx="0">
                  <c:v>7.5517712751564643</c:v>
                </c:pt>
              </c:numCache>
            </c:numRef>
          </c:bubbleSize>
          <c:bubble3D val="0"/>
          <c:extLst>
            <c:ext xmlns:c14="http://schemas.microsoft.com/office/drawing/2007/8/2/chart" uri="{6F2FDCE9-48DA-4B69-8628-5D25D57E5C99}">
              <c14:invertSolidFillFmt>
                <c14:spPr xmlns:c14="http://schemas.microsoft.com/office/drawing/2007/8/2/chart">
                  <a:solidFill>
                    <a:srgbClr val="FFFFFF"/>
                  </a:solidFill>
                </c14:spPr>
              </c14:invertSolidFillFmt>
            </c:ext>
          </c:extLst>
        </c:ser>
        <c:ser>
          <c:idx val="11"/>
          <c:order val="11"/>
          <c:tx>
            <c:strRef>
              <c:f>сх!$A$15</c:f>
              <c:strCache>
                <c:ptCount val="1"/>
                <c:pt idx="0">
                  <c:v>Ханты-Мансийск</c:v>
                </c:pt>
              </c:strCache>
            </c:strRef>
          </c:tx>
          <c:invertIfNegative val="1"/>
          <c:dLbls>
            <c:dLbl>
              <c:idx val="0"/>
              <c:layout>
                <c:manualLayout>
                  <c:x val="-3.4687493331626226E-2"/>
                  <c:y val="6.6378066378066383E-2"/>
                </c:manualLayout>
              </c:layout>
              <c:tx>
                <c:rich>
                  <a:bodyPr/>
                  <a:lstStyle/>
                  <a:p>
                    <a:r>
                      <a:rPr lang="ru-RU"/>
                      <a:t>Ханты-Мансийск</a:t>
                    </a:r>
                  </a:p>
                </c:rich>
              </c:tx>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сх!$C$15</c:f>
              <c:numCache>
                <c:formatCode>General</c:formatCode>
                <c:ptCount val="1"/>
                <c:pt idx="0">
                  <c:v>178528</c:v>
                </c:pt>
              </c:numCache>
            </c:numRef>
          </c:xVal>
          <c:yVal>
            <c:numRef>
              <c:f>сх!$E$15</c:f>
              <c:numCache>
                <c:formatCode>0.0</c:formatCode>
                <c:ptCount val="1"/>
                <c:pt idx="0">
                  <c:v>103.25677470759597</c:v>
                </c:pt>
              </c:numCache>
            </c:numRef>
          </c:yVal>
          <c:bubbleSize>
            <c:numRef>
              <c:f>сх!$F$15</c:f>
              <c:numCache>
                <c:formatCode>#,##0.0</c:formatCode>
                <c:ptCount val="1"/>
                <c:pt idx="0">
                  <c:v>5.2280231976544806</c:v>
                </c:pt>
              </c:numCache>
            </c:numRef>
          </c:bubbleSize>
          <c:bubble3D val="0"/>
        </c:ser>
        <c:ser>
          <c:idx val="12"/>
          <c:order val="12"/>
          <c:tx>
            <c:strRef>
              <c:f>сх!$A$16</c:f>
              <c:strCache>
                <c:ptCount val="1"/>
                <c:pt idx="0">
                  <c:v>Югорск</c:v>
                </c:pt>
              </c:strCache>
            </c:strRef>
          </c:tx>
          <c:invertIfNegative val="1"/>
          <c:dLbls>
            <c:dLbl>
              <c:idx val="0"/>
              <c:layout>
                <c:manualLayout>
                  <c:x val="-0.12526282995113416"/>
                  <c:y val="-0.11255411255411256"/>
                </c:manualLayout>
              </c:layout>
              <c:tx>
                <c:rich>
                  <a:bodyPr/>
                  <a:lstStyle/>
                  <a:p>
                    <a:r>
                      <a:rPr lang="ru-RU"/>
                      <a:t>Югорск</a:t>
                    </a:r>
                  </a:p>
                </c:rich>
              </c:tx>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сх!$C$16</c:f>
              <c:numCache>
                <c:formatCode>General</c:formatCode>
                <c:ptCount val="1"/>
                <c:pt idx="0">
                  <c:v>505553</c:v>
                </c:pt>
              </c:numCache>
            </c:numRef>
          </c:xVal>
          <c:yVal>
            <c:numRef>
              <c:f>сх!$E$16</c:f>
              <c:numCache>
                <c:formatCode>0.0</c:formatCode>
                <c:ptCount val="1"/>
                <c:pt idx="0">
                  <c:v>124.79408973958736</c:v>
                </c:pt>
              </c:numCache>
            </c:numRef>
          </c:yVal>
          <c:bubbleSize>
            <c:numRef>
              <c:f>сх!$F$16</c:f>
              <c:numCache>
                <c:formatCode>#,##0.0</c:formatCode>
                <c:ptCount val="1"/>
                <c:pt idx="0">
                  <c:v>14.80464023371017</c:v>
                </c:pt>
              </c:numCache>
            </c:numRef>
          </c:bubbleSize>
          <c:bubble3D val="0"/>
        </c:ser>
        <c:dLbls>
          <c:showLegendKey val="1"/>
          <c:showVal val="1"/>
          <c:showCatName val="1"/>
          <c:showSerName val="1"/>
          <c:showPercent val="1"/>
          <c:showBubbleSize val="1"/>
        </c:dLbls>
        <c:bubbleScale val="100"/>
        <c:showNegBubbles val="1"/>
        <c:axId val="488380672"/>
        <c:axId val="488374688"/>
      </c:bubbleChart>
      <c:valAx>
        <c:axId val="488380672"/>
        <c:scaling>
          <c:orientation val="minMax"/>
          <c:max val="1200000"/>
          <c:min val="-40000"/>
        </c:scaling>
        <c:delete val="1"/>
        <c:axPos val="b"/>
        <c:majorGridlines/>
        <c:title>
          <c:tx>
            <c:rich>
              <a:bodyPr/>
              <a:lstStyle/>
              <a:p>
                <a:pPr>
                  <a:defRPr b="0"/>
                </a:pPr>
                <a:r>
                  <a:rPr lang="ru-RU" b="0"/>
                  <a:t>Продукция</a:t>
                </a:r>
                <a:r>
                  <a:rPr lang="ru-RU" b="0" baseline="0"/>
                  <a:t> сельского хозяйства в хозяйствах всех категорий, тыс. руб.</a:t>
                </a:r>
                <a:endParaRPr lang="ru-RU" b="0"/>
              </a:p>
            </c:rich>
          </c:tx>
          <c:overlay val="1"/>
        </c:title>
        <c:numFmt formatCode="General" sourceLinked="1"/>
        <c:majorTickMark val="none"/>
        <c:minorTickMark val="cross"/>
        <c:tickLblPos val="none"/>
        <c:crossAx val="488374688"/>
        <c:crosses val="autoZero"/>
        <c:crossBetween val="midCat"/>
        <c:majorUnit val="620000"/>
        <c:minorUnit val="40000"/>
      </c:valAx>
      <c:valAx>
        <c:axId val="488374688"/>
        <c:scaling>
          <c:orientation val="minMax"/>
          <c:max val="200"/>
          <c:min val="50"/>
        </c:scaling>
        <c:delete val="1"/>
        <c:axPos val="l"/>
        <c:majorGridlines/>
        <c:title>
          <c:tx>
            <c:rich>
              <a:bodyPr rot="-5400000" vert="horz"/>
              <a:lstStyle/>
              <a:p>
                <a:pPr>
                  <a:defRPr b="0"/>
                </a:pPr>
                <a:r>
                  <a:rPr lang="ru-RU" b="0"/>
                  <a:t>Темпы роста, %</a:t>
                </a:r>
              </a:p>
            </c:rich>
          </c:tx>
          <c:layout>
            <c:manualLayout>
              <c:xMode val="edge"/>
              <c:yMode val="edge"/>
              <c:x val="5.6368563685636884E-2"/>
              <c:y val="0.10366205191469091"/>
            </c:manualLayout>
          </c:layout>
          <c:overlay val="1"/>
        </c:title>
        <c:numFmt formatCode="0.0" sourceLinked="1"/>
        <c:majorTickMark val="cross"/>
        <c:minorTickMark val="cross"/>
        <c:tickLblPos val="none"/>
        <c:crossAx val="488380672"/>
        <c:crosses val="autoZero"/>
        <c:crossBetween val="midCat"/>
        <c:majorUnit val="75"/>
        <c:minorUnit val="10"/>
      </c:valAx>
    </c:plotArea>
    <c:plotVisOnly val="1"/>
    <c:dispBlanksAs val="gap"/>
    <c:showDLblsOverMax val="1"/>
  </c:chart>
  <c:spPr>
    <a:ln>
      <a:noFill/>
    </a:ln>
  </c:spPr>
  <c:txPr>
    <a:bodyPr/>
    <a:lstStyle/>
    <a:p>
      <a:pPr>
        <a:defRPr sz="1000">
          <a:latin typeface="Times New Roman" panose="02020603050405020304" pitchFamily="18" charset="0"/>
          <a:cs typeface="Times New Roman" panose="02020603050405020304" pitchFamily="18" charset="0"/>
        </a:defRPr>
      </a:pPr>
      <a:endParaRPr lang="ru-RU"/>
    </a:p>
  </c:txPr>
  <c:externalData r:id="rId2">
    <c:autoUpdate val="1"/>
  </c:externalData>
  <c:userShapes r:id="rId3"/>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roundedCorners val="1"/>
  <c:style val="2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647485299397338"/>
          <c:y val="2.5469655195029202E-2"/>
          <c:w val="0.81742421050872083"/>
          <c:h val="0.86774747323350954"/>
        </c:manualLayout>
      </c:layout>
      <c:bubbleChart>
        <c:varyColors val="1"/>
        <c:ser>
          <c:idx val="0"/>
          <c:order val="0"/>
          <c:tx>
            <c:strRef>
              <c:f>промышленность!$A$3</c:f>
              <c:strCache>
                <c:ptCount val="1"/>
                <c:pt idx="0">
                  <c:v>Когалым</c:v>
                </c:pt>
              </c:strCache>
            </c:strRef>
          </c:tx>
          <c:spPr>
            <a:solidFill>
              <a:srgbClr val="00B0F0"/>
            </a:solidFill>
          </c:spPr>
          <c:invertIfNegative val="1"/>
          <c:dLbls>
            <c:dLbl>
              <c:idx val="0"/>
              <c:layout>
                <c:manualLayout>
                  <c:x val="-0.19312611304297622"/>
                  <c:y val="6.4261087286281784E-2"/>
                </c:manualLayout>
              </c:layout>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промышленность!$D$3</c:f>
              <c:numCache>
                <c:formatCode>0.00</c:formatCode>
                <c:ptCount val="1"/>
                <c:pt idx="0">
                  <c:v>26329.69</c:v>
                </c:pt>
              </c:numCache>
            </c:numRef>
          </c:xVal>
          <c:yVal>
            <c:numRef>
              <c:f>промышленность!$E$3</c:f>
              <c:numCache>
                <c:formatCode>0.00</c:formatCode>
                <c:ptCount val="1"/>
                <c:pt idx="0">
                  <c:v>187.62160274773041</c:v>
                </c:pt>
              </c:numCache>
            </c:numRef>
          </c:yVal>
          <c:bubbleSize>
            <c:numRef>
              <c:f>промышленность!$F$3</c:f>
              <c:numCache>
                <c:formatCode>0.00</c:formatCode>
                <c:ptCount val="1"/>
                <c:pt idx="0">
                  <c:v>10.272109311698324</c:v>
                </c:pt>
              </c:numCache>
            </c:numRef>
          </c:bubbleSize>
          <c:bubble3D val="0"/>
          <c:extLst>
            <c:ext xmlns:c14="http://schemas.microsoft.com/office/drawing/2007/8/2/chart" uri="{6F2FDCE9-48DA-4B69-8628-5D25D57E5C99}">
              <c14:invertSolidFillFmt>
                <c14:spPr xmlns:c14="http://schemas.microsoft.com/office/drawing/2007/8/2/chart">
                  <a:solidFill>
                    <a:srgbClr val="FFFFFF"/>
                  </a:solidFill>
                </c14:spPr>
              </c14:invertSolidFillFmt>
            </c:ext>
          </c:extLst>
        </c:ser>
        <c:ser>
          <c:idx val="1"/>
          <c:order val="1"/>
          <c:tx>
            <c:strRef>
              <c:f>промышленность!$A$4</c:f>
              <c:strCache>
                <c:ptCount val="1"/>
                <c:pt idx="0">
                  <c:v>Лангепас</c:v>
                </c:pt>
              </c:strCache>
            </c:strRef>
          </c:tx>
          <c:invertIfNegative val="1"/>
          <c:dLbls>
            <c:dLbl>
              <c:idx val="0"/>
              <c:layout>
                <c:manualLayout>
                  <c:x val="-2.2355735262821856E-2"/>
                  <c:y val="3.7503075392061082E-2"/>
                </c:manualLayout>
              </c:layout>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промышленность!$D$4</c:f>
              <c:numCache>
                <c:formatCode>0.00</c:formatCode>
                <c:ptCount val="1"/>
                <c:pt idx="0">
                  <c:v>12192.479779499989</c:v>
                </c:pt>
              </c:numCache>
            </c:numRef>
          </c:xVal>
          <c:yVal>
            <c:numRef>
              <c:f>промышленность!$E$4</c:f>
              <c:numCache>
                <c:formatCode>0.00</c:formatCode>
                <c:ptCount val="1"/>
                <c:pt idx="0">
                  <c:v>101.74050000000022</c:v>
                </c:pt>
              </c:numCache>
            </c:numRef>
          </c:yVal>
          <c:bubbleSize>
            <c:numRef>
              <c:f>промышленность!$F$4</c:f>
              <c:numCache>
                <c:formatCode>0.00</c:formatCode>
                <c:ptCount val="1"/>
                <c:pt idx="0">
                  <c:v>4.7567018478263616</c:v>
                </c:pt>
              </c:numCache>
            </c:numRef>
          </c:bubbleSize>
          <c:bubble3D val="0"/>
        </c:ser>
        <c:ser>
          <c:idx val="2"/>
          <c:order val="2"/>
          <c:tx>
            <c:strRef>
              <c:f>промышленность!$A$5</c:f>
              <c:strCache>
                <c:ptCount val="1"/>
                <c:pt idx="0">
                  <c:v>Мегион</c:v>
                </c:pt>
              </c:strCache>
            </c:strRef>
          </c:tx>
          <c:invertIfNegative val="1"/>
          <c:dLbls>
            <c:dLbl>
              <c:idx val="0"/>
              <c:layout>
                <c:manualLayout>
                  <c:x val="-1.4953536213378721E-2"/>
                  <c:y val="3.1581537172262031E-2"/>
                </c:manualLayout>
              </c:layout>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промышленность!$D$5</c:f>
              <c:numCache>
                <c:formatCode>0.00</c:formatCode>
                <c:ptCount val="1"/>
                <c:pt idx="0">
                  <c:v>13226.1</c:v>
                </c:pt>
              </c:numCache>
            </c:numRef>
          </c:xVal>
          <c:yVal>
            <c:numRef>
              <c:f>промышленность!$E$5</c:f>
              <c:numCache>
                <c:formatCode>0.00</c:formatCode>
                <c:ptCount val="1"/>
                <c:pt idx="0">
                  <c:v>79.076038216407625</c:v>
                </c:pt>
              </c:numCache>
            </c:numRef>
          </c:yVal>
          <c:bubbleSize>
            <c:numRef>
              <c:f>промышленность!$F$5</c:f>
              <c:numCache>
                <c:formatCode>0.00</c:formatCode>
                <c:ptCount val="1"/>
                <c:pt idx="0">
                  <c:v>5.1599523187493945</c:v>
                </c:pt>
              </c:numCache>
            </c:numRef>
          </c:bubbleSize>
          <c:bubble3D val="0"/>
        </c:ser>
        <c:ser>
          <c:idx val="3"/>
          <c:order val="3"/>
          <c:tx>
            <c:strRef>
              <c:f>промышленность!$A$6</c:f>
              <c:strCache>
                <c:ptCount val="1"/>
                <c:pt idx="0">
                  <c:v>Нефтеюганск</c:v>
                </c:pt>
              </c:strCache>
            </c:strRef>
          </c:tx>
          <c:invertIfNegative val="1"/>
          <c:dLbls>
            <c:dLbl>
              <c:idx val="0"/>
              <c:layout>
                <c:manualLayout>
                  <c:x val="-3.6559608427325141E-2"/>
                  <c:y val="5.9215382197991134E-3"/>
                </c:manualLayout>
              </c:layout>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txPr>
              <a:bodyPr/>
              <a:lstStyle/>
              <a:p>
                <a:pPr>
                  <a:defRPr sz="900" b="1">
                    <a:latin typeface="Times New Roman" panose="02020603050405020304" pitchFamily="18" charset="0"/>
                    <a:cs typeface="Times New Roman" panose="02020603050405020304" pitchFamily="18" charset="0"/>
                  </a:defRPr>
                </a:pPr>
                <a:endParaRPr lang="ru-RU"/>
              </a:p>
            </c:tx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промышленность!$D$6</c:f>
              <c:numCache>
                <c:formatCode>0.00</c:formatCode>
                <c:ptCount val="1"/>
                <c:pt idx="0">
                  <c:v>10189.56</c:v>
                </c:pt>
              </c:numCache>
            </c:numRef>
          </c:xVal>
          <c:yVal>
            <c:numRef>
              <c:f>промышленность!$E$6</c:f>
              <c:numCache>
                <c:formatCode>0.00</c:formatCode>
                <c:ptCount val="1"/>
                <c:pt idx="0">
                  <c:v>112.57316466883942</c:v>
                </c:pt>
              </c:numCache>
            </c:numRef>
          </c:yVal>
          <c:bubbleSize>
            <c:numRef>
              <c:f>промышленность!$F$6</c:f>
              <c:numCache>
                <c:formatCode>0.00</c:formatCode>
                <c:ptCount val="1"/>
                <c:pt idx="0">
                  <c:v>3.9752945879009056</c:v>
                </c:pt>
              </c:numCache>
            </c:numRef>
          </c:bubbleSize>
          <c:bubble3D val="0"/>
        </c:ser>
        <c:ser>
          <c:idx val="4"/>
          <c:order val="4"/>
          <c:tx>
            <c:strRef>
              <c:f>промышленность!$A$7</c:f>
              <c:strCache>
                <c:ptCount val="1"/>
                <c:pt idx="0">
                  <c:v>Нижневартовск</c:v>
                </c:pt>
              </c:strCache>
            </c:strRef>
          </c:tx>
          <c:invertIfNegative val="1"/>
          <c:dLbls>
            <c:dLbl>
              <c:idx val="0"/>
              <c:layout>
                <c:manualLayout>
                  <c:x val="-6.4301530836564494E-2"/>
                  <c:y val="8.0600894245568697E-2"/>
                </c:manualLayout>
              </c:layout>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dLblPos val="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промышленность!$D$7</c:f>
              <c:numCache>
                <c:formatCode>0.00</c:formatCode>
                <c:ptCount val="1"/>
                <c:pt idx="0">
                  <c:v>32245.3</c:v>
                </c:pt>
              </c:numCache>
            </c:numRef>
          </c:xVal>
          <c:yVal>
            <c:numRef>
              <c:f>промышленность!$E$7</c:f>
              <c:numCache>
                <c:formatCode>0.00</c:formatCode>
                <c:ptCount val="1"/>
                <c:pt idx="0">
                  <c:v>112.76946212492128</c:v>
                </c:pt>
              </c:numCache>
            </c:numRef>
          </c:yVal>
          <c:bubbleSize>
            <c:numRef>
              <c:f>промышленность!$F$7</c:f>
              <c:numCache>
                <c:formatCode>0.00</c:formatCode>
                <c:ptCount val="1"/>
                <c:pt idx="0">
                  <c:v>12.579990360255112</c:v>
                </c:pt>
              </c:numCache>
            </c:numRef>
          </c:bubbleSize>
          <c:bubble3D val="0"/>
        </c:ser>
        <c:ser>
          <c:idx val="5"/>
          <c:order val="5"/>
          <c:tx>
            <c:strRef>
              <c:f>промышленность!$A$8</c:f>
              <c:strCache>
                <c:ptCount val="1"/>
                <c:pt idx="0">
                  <c:v>Нягань</c:v>
                </c:pt>
              </c:strCache>
            </c:strRef>
          </c:tx>
          <c:invertIfNegative val="1"/>
          <c:dLbls>
            <c:dLbl>
              <c:idx val="0"/>
              <c:layout>
                <c:manualLayout>
                  <c:x val="-0.11117598299326471"/>
                  <c:y val="1.9738901224629181E-3"/>
                </c:manualLayout>
              </c:layout>
              <c:spPr/>
              <c:txPr>
                <a:bodyPr/>
                <a:lstStyle/>
                <a:p>
                  <a:pPr>
                    <a:defRPr b="1">
                      <a:latin typeface="Times New Roman" panose="02020603050405020304" pitchFamily="18" charset="0"/>
                      <a:cs typeface="Times New Roman" panose="02020603050405020304" pitchFamily="18" charset="0"/>
                    </a:defRPr>
                  </a:pPr>
                  <a:endParaRPr lang="ru-RU"/>
                </a:p>
              </c:txPr>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промышленность!$D$8</c:f>
              <c:numCache>
                <c:formatCode>0.00</c:formatCode>
                <c:ptCount val="1"/>
                <c:pt idx="0">
                  <c:v>6174.8</c:v>
                </c:pt>
              </c:numCache>
            </c:numRef>
          </c:xVal>
          <c:yVal>
            <c:numRef>
              <c:f>промышленность!$E$8</c:f>
              <c:numCache>
                <c:formatCode>0.00</c:formatCode>
                <c:ptCount val="1"/>
                <c:pt idx="0">
                  <c:v>111.13150837787738</c:v>
                </c:pt>
              </c:numCache>
            </c:numRef>
          </c:yVal>
          <c:bubbleSize>
            <c:numRef>
              <c:f>промышленность!$F$8</c:f>
              <c:numCache>
                <c:formatCode>0.00</c:formatCode>
                <c:ptCount val="1"/>
                <c:pt idx="0">
                  <c:v>2.4089999000320441</c:v>
                </c:pt>
              </c:numCache>
            </c:numRef>
          </c:bubbleSize>
          <c:bubble3D val="0"/>
        </c:ser>
        <c:ser>
          <c:idx val="6"/>
          <c:order val="6"/>
          <c:tx>
            <c:strRef>
              <c:f>промышленность!$A$9</c:f>
              <c:strCache>
                <c:ptCount val="1"/>
                <c:pt idx="0">
                  <c:v>Покачи</c:v>
                </c:pt>
              </c:strCache>
            </c:strRef>
          </c:tx>
          <c:invertIfNegative val="1"/>
          <c:dLbls>
            <c:dLbl>
              <c:idx val="0"/>
              <c:layout>
                <c:manualLayout>
                  <c:x val="-7.4714336383628049E-3"/>
                  <c:y val="0"/>
                </c:manualLayout>
              </c:layout>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промышленность!$D$9</c:f>
              <c:numCache>
                <c:formatCode>0.00</c:formatCode>
                <c:ptCount val="1"/>
                <c:pt idx="0">
                  <c:v>853.79000000000053</c:v>
                </c:pt>
              </c:numCache>
            </c:numRef>
          </c:xVal>
          <c:yVal>
            <c:numRef>
              <c:f>промышленность!$E$9</c:f>
              <c:numCache>
                <c:formatCode>0.00</c:formatCode>
                <c:ptCount val="1"/>
                <c:pt idx="0">
                  <c:v>55.639622026718811</c:v>
                </c:pt>
              </c:numCache>
            </c:numRef>
          </c:yVal>
          <c:bubbleSize>
            <c:numRef>
              <c:f>промышленность!$F$9</c:f>
              <c:numCache>
                <c:formatCode>0.00</c:formatCode>
                <c:ptCount val="1"/>
                <c:pt idx="0">
                  <c:v>0.33309257379159896</c:v>
                </c:pt>
              </c:numCache>
            </c:numRef>
          </c:bubbleSize>
          <c:bubble3D val="0"/>
        </c:ser>
        <c:ser>
          <c:idx val="7"/>
          <c:order val="7"/>
          <c:tx>
            <c:strRef>
              <c:f>промышленность!$A$10</c:f>
              <c:strCache>
                <c:ptCount val="1"/>
                <c:pt idx="0">
                  <c:v>Пять-Ях</c:v>
                </c:pt>
              </c:strCache>
            </c:strRef>
          </c:tx>
          <c:invertIfNegative val="1"/>
          <c:dLbls>
            <c:dLbl>
              <c:idx val="0"/>
              <c:layout>
                <c:manualLayout>
                  <c:x val="-3.0227254025679322E-2"/>
                  <c:y val="2.7633845025729464E-2"/>
                </c:manualLayout>
              </c:layout>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промышленность!$D$10</c:f>
              <c:numCache>
                <c:formatCode>0.00</c:formatCode>
                <c:ptCount val="1"/>
                <c:pt idx="0">
                  <c:v>2721.12</c:v>
                </c:pt>
              </c:numCache>
            </c:numRef>
          </c:xVal>
          <c:yVal>
            <c:numRef>
              <c:f>промышленность!$E$10</c:f>
              <c:numCache>
                <c:formatCode>0.00</c:formatCode>
                <c:ptCount val="1"/>
                <c:pt idx="0">
                  <c:v>96.217248329266994</c:v>
                </c:pt>
              </c:numCache>
            </c:numRef>
          </c:yVal>
          <c:bubbleSize>
            <c:numRef>
              <c:f>промышленность!$F$10</c:f>
              <c:numCache>
                <c:formatCode>0.00</c:formatCode>
                <c:ptCount val="1"/>
                <c:pt idx="0">
                  <c:v>1.0616016402110469</c:v>
                </c:pt>
              </c:numCache>
            </c:numRef>
          </c:bubbleSize>
          <c:bubble3D val="0"/>
        </c:ser>
        <c:ser>
          <c:idx val="8"/>
          <c:order val="8"/>
          <c:tx>
            <c:strRef>
              <c:f>промышленность!$A$11</c:f>
              <c:strCache>
                <c:ptCount val="1"/>
                <c:pt idx="0">
                  <c:v>Радужный</c:v>
                </c:pt>
              </c:strCache>
            </c:strRef>
          </c:tx>
          <c:invertIfNegative val="1"/>
          <c:dLbls>
            <c:dLbl>
              <c:idx val="0"/>
              <c:layout>
                <c:manualLayout>
                  <c:x val="-3.0931762942451646E-2"/>
                  <c:y val="-2.3892706358391597E-2"/>
                </c:manualLayout>
              </c:layout>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промышленность!$D$11</c:f>
              <c:numCache>
                <c:formatCode>0.00</c:formatCode>
                <c:ptCount val="1"/>
                <c:pt idx="0">
                  <c:v>9089.1413292473298</c:v>
                </c:pt>
              </c:numCache>
            </c:numRef>
          </c:xVal>
          <c:yVal>
            <c:numRef>
              <c:f>промышленность!$E$11</c:f>
              <c:numCache>
                <c:formatCode>0.00</c:formatCode>
                <c:ptCount val="1"/>
                <c:pt idx="0">
                  <c:v>117.43380099288565</c:v>
                </c:pt>
              </c:numCache>
            </c:numRef>
          </c:yVal>
          <c:bubbleSize>
            <c:numRef>
              <c:f>промышленность!$F$11</c:f>
              <c:numCache>
                <c:formatCode>0.00</c:formatCode>
                <c:ptCount val="1"/>
                <c:pt idx="0">
                  <c:v>3.5459837652286752</c:v>
                </c:pt>
              </c:numCache>
            </c:numRef>
          </c:bubbleSize>
          <c:bubble3D val="0"/>
        </c:ser>
        <c:ser>
          <c:idx val="9"/>
          <c:order val="9"/>
          <c:tx>
            <c:strRef>
              <c:f>промышленность!$A$12</c:f>
              <c:strCache>
                <c:ptCount val="1"/>
                <c:pt idx="0">
                  <c:v>Сургут</c:v>
                </c:pt>
              </c:strCache>
            </c:strRef>
          </c:tx>
          <c:invertIfNegative val="1"/>
          <c:dLbls>
            <c:dLbl>
              <c:idx val="0"/>
              <c:layout>
                <c:manualLayout>
                  <c:x val="-8.1128410300063847E-2"/>
                  <c:y val="0.1322476869088467"/>
                </c:manualLayout>
              </c:layout>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промышленность!$D$12</c:f>
              <c:numCache>
                <c:formatCode>0.00</c:formatCode>
                <c:ptCount val="1"/>
                <c:pt idx="0">
                  <c:v>104649.5</c:v>
                </c:pt>
              </c:numCache>
            </c:numRef>
          </c:xVal>
          <c:yVal>
            <c:numRef>
              <c:f>промышленность!$E$12</c:f>
              <c:numCache>
                <c:formatCode>0.00</c:formatCode>
                <c:ptCount val="1"/>
                <c:pt idx="0">
                  <c:v>114.35291675089741</c:v>
                </c:pt>
              </c:numCache>
            </c:numRef>
          </c:yVal>
          <c:bubbleSize>
            <c:numRef>
              <c:f>промышленность!$F$12</c:f>
              <c:numCache>
                <c:formatCode>0.00</c:formatCode>
                <c:ptCount val="1"/>
                <c:pt idx="0">
                  <c:v>40.827336114271453</c:v>
                </c:pt>
              </c:numCache>
            </c:numRef>
          </c:bubbleSize>
          <c:bubble3D val="0"/>
        </c:ser>
        <c:ser>
          <c:idx val="10"/>
          <c:order val="10"/>
          <c:tx>
            <c:strRef>
              <c:f>промышленность!$A$13</c:f>
              <c:strCache>
                <c:ptCount val="1"/>
                <c:pt idx="0">
                  <c:v>Урай</c:v>
                </c:pt>
              </c:strCache>
            </c:strRef>
          </c:tx>
          <c:spPr>
            <a:solidFill>
              <a:srgbClr val="4A452A"/>
            </a:solidFill>
          </c:spPr>
          <c:invertIfNegative val="1"/>
          <c:dLbls>
            <c:dLbl>
              <c:idx val="0"/>
              <c:layout>
                <c:manualLayout>
                  <c:x val="-9.9730129887610208E-2"/>
                  <c:y val="2.687960375920766E-3"/>
                </c:manualLayout>
              </c:layout>
              <c:spPr/>
              <c:txPr>
                <a:bodyPr/>
                <a:lstStyle/>
                <a:p>
                  <a:pPr>
                    <a:defRPr b="1">
                      <a:latin typeface="Times New Roman" panose="02020603050405020304" pitchFamily="18" charset="0"/>
                      <a:cs typeface="Times New Roman" panose="02020603050405020304" pitchFamily="18" charset="0"/>
                    </a:defRPr>
                  </a:pPr>
                  <a:endParaRPr lang="ru-RU"/>
                </a:p>
              </c:txPr>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промышленность!$D$13</c:f>
              <c:numCache>
                <c:formatCode>0.00</c:formatCode>
                <c:ptCount val="1"/>
                <c:pt idx="0">
                  <c:v>1847.2911500000002</c:v>
                </c:pt>
              </c:numCache>
            </c:numRef>
          </c:xVal>
          <c:yVal>
            <c:numRef>
              <c:f>промышленность!$E$13</c:f>
              <c:numCache>
                <c:formatCode>0.00</c:formatCode>
                <c:ptCount val="1"/>
                <c:pt idx="0">
                  <c:v>100.7</c:v>
                </c:pt>
              </c:numCache>
            </c:numRef>
          </c:yVal>
          <c:bubbleSize>
            <c:numRef>
              <c:f>промышленность!$F$13</c:f>
              <c:numCache>
                <c:formatCode>0.00</c:formatCode>
                <c:ptCount val="1"/>
                <c:pt idx="0">
                  <c:v>0.72069122816611075</c:v>
                </c:pt>
              </c:numCache>
            </c:numRef>
          </c:bubbleSize>
          <c:bubble3D val="0"/>
          <c:extLst>
            <c:ext xmlns:c14="http://schemas.microsoft.com/office/drawing/2007/8/2/chart" uri="{6F2FDCE9-48DA-4B69-8628-5D25D57E5C99}">
              <c14:invertSolidFillFmt>
                <c14:spPr xmlns:c14="http://schemas.microsoft.com/office/drawing/2007/8/2/chart">
                  <a:solidFill>
                    <a:srgbClr val="FFFFFF"/>
                  </a:solidFill>
                </c14:spPr>
              </c14:invertSolidFillFmt>
            </c:ext>
          </c:extLst>
        </c:ser>
        <c:ser>
          <c:idx val="11"/>
          <c:order val="11"/>
          <c:tx>
            <c:strRef>
              <c:f>промышленность!$A$14</c:f>
              <c:strCache>
                <c:ptCount val="1"/>
                <c:pt idx="0">
                  <c:v>Ханты-Мансийск</c:v>
                </c:pt>
              </c:strCache>
            </c:strRef>
          </c:tx>
          <c:spPr>
            <a:solidFill>
              <a:srgbClr val="FAC090"/>
            </a:solidFill>
          </c:spPr>
          <c:invertIfNegative val="1"/>
          <c:dLbls>
            <c:dLbl>
              <c:idx val="0"/>
              <c:layout>
                <c:manualLayout>
                  <c:x val="-0.18859282031977079"/>
                  <c:y val="-1.7764839414758898E-2"/>
                </c:manualLayout>
              </c:layout>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промышленность!$D$14</c:f>
              <c:numCache>
                <c:formatCode>0.00</c:formatCode>
                <c:ptCount val="1"/>
                <c:pt idx="0">
                  <c:v>4911.33</c:v>
                </c:pt>
              </c:numCache>
            </c:numRef>
          </c:xVal>
          <c:yVal>
            <c:numRef>
              <c:f>промышленность!$E$14</c:f>
              <c:numCache>
                <c:formatCode>0.00</c:formatCode>
                <c:ptCount val="1"/>
                <c:pt idx="0">
                  <c:v>101.67332574267645</c:v>
                </c:pt>
              </c:numCache>
            </c:numRef>
          </c:yVal>
          <c:bubbleSize>
            <c:numRef>
              <c:f>промышленность!$F$14</c:f>
              <c:numCache>
                <c:formatCode>0.00</c:formatCode>
                <c:ptCount val="1"/>
                <c:pt idx="0">
                  <c:v>1.916077197484028</c:v>
                </c:pt>
              </c:numCache>
            </c:numRef>
          </c:bubbleSize>
          <c:bubble3D val="0"/>
          <c:extLst>
            <c:ext xmlns:c14="http://schemas.microsoft.com/office/drawing/2007/8/2/chart" uri="{6F2FDCE9-48DA-4B69-8628-5D25D57E5C99}">
              <c14:invertSolidFillFmt>
                <c14:spPr xmlns:c14="http://schemas.microsoft.com/office/drawing/2007/8/2/chart">
                  <a:solidFill>
                    <a:srgbClr val="FFFFFF"/>
                  </a:solidFill>
                </c14:spPr>
              </c14:invertSolidFillFmt>
            </c:ext>
          </c:extLst>
        </c:ser>
        <c:ser>
          <c:idx val="12"/>
          <c:order val="12"/>
          <c:tx>
            <c:strRef>
              <c:f>промышленность!$A$15</c:f>
              <c:strCache>
                <c:ptCount val="1"/>
                <c:pt idx="0">
                  <c:v>Югорск</c:v>
                </c:pt>
              </c:strCache>
            </c:strRef>
          </c:tx>
          <c:invertIfNegative val="1"/>
          <c:dLbls>
            <c:dLbl>
              <c:idx val="0"/>
              <c:layout>
                <c:manualLayout>
                  <c:x val="-0.10435368942623695"/>
                  <c:y val="-1.7671784839967675E-3"/>
                </c:manualLayout>
              </c:layout>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промышленность!$D$15</c:f>
              <c:numCache>
                <c:formatCode>0.00</c:formatCode>
                <c:ptCount val="1"/>
                <c:pt idx="0">
                  <c:v>1557.8</c:v>
                </c:pt>
              </c:numCache>
            </c:numRef>
          </c:xVal>
          <c:yVal>
            <c:numRef>
              <c:f>промышленность!$E$15</c:f>
              <c:numCache>
                <c:formatCode>0.00</c:formatCode>
                <c:ptCount val="1"/>
                <c:pt idx="0">
                  <c:v>118.04197923770556</c:v>
                </c:pt>
              </c:numCache>
            </c:numRef>
          </c:yVal>
          <c:bubbleSize>
            <c:numRef>
              <c:f>промышленность!$F$15</c:f>
              <c:numCache>
                <c:formatCode>0.00</c:formatCode>
                <c:ptCount val="1"/>
                <c:pt idx="0">
                  <c:v>0.60775086549684565</c:v>
                </c:pt>
              </c:numCache>
            </c:numRef>
          </c:bubbleSize>
          <c:bubble3D val="0"/>
        </c:ser>
        <c:dLbls>
          <c:showLegendKey val="1"/>
          <c:showVal val="1"/>
          <c:showCatName val="1"/>
          <c:showSerName val="1"/>
          <c:showPercent val="1"/>
          <c:showBubbleSize val="1"/>
        </c:dLbls>
        <c:bubbleScale val="100"/>
        <c:showNegBubbles val="1"/>
        <c:axId val="488370336"/>
        <c:axId val="488376320"/>
      </c:bubbleChart>
      <c:valAx>
        <c:axId val="488370336"/>
        <c:scaling>
          <c:orientation val="minMax"/>
          <c:max val="120000"/>
          <c:min val="10"/>
        </c:scaling>
        <c:delete val="1"/>
        <c:axPos val="b"/>
        <c:majorGridlines/>
        <c:title>
          <c:tx>
            <c:rich>
              <a:bodyPr/>
              <a:lstStyle/>
              <a:p>
                <a:pPr>
                  <a:defRPr b="0">
                    <a:latin typeface="Times New Roman" panose="02020603050405020304" pitchFamily="18" charset="0"/>
                    <a:cs typeface="Times New Roman" panose="02020603050405020304" pitchFamily="18" charset="0"/>
                  </a:defRPr>
                </a:pPr>
                <a:r>
                  <a:rPr lang="ru-RU" b="0">
                    <a:latin typeface="Times New Roman" panose="02020603050405020304" pitchFamily="18" charset="0"/>
                    <a:cs typeface="Times New Roman" panose="02020603050405020304" pitchFamily="18" charset="0"/>
                  </a:rPr>
                  <a:t>Объем отгруженной продукции промышленного производства (без добывающих производств),</a:t>
                </a:r>
                <a:r>
                  <a:rPr lang="ru-RU" b="0" baseline="0">
                    <a:latin typeface="Times New Roman" panose="02020603050405020304" pitchFamily="18" charset="0"/>
                    <a:cs typeface="Times New Roman" panose="02020603050405020304" pitchFamily="18" charset="0"/>
                  </a:rPr>
                  <a:t> </a:t>
                </a:r>
                <a:r>
                  <a:rPr lang="ru-RU" b="0">
                    <a:latin typeface="Times New Roman" panose="02020603050405020304" pitchFamily="18" charset="0"/>
                    <a:cs typeface="Times New Roman" panose="02020603050405020304" pitchFamily="18" charset="0"/>
                  </a:rPr>
                  <a:t>млн руб.</a:t>
                </a:r>
              </a:p>
            </c:rich>
          </c:tx>
          <c:layout>
            <c:manualLayout>
              <c:xMode val="edge"/>
              <c:yMode val="edge"/>
              <c:x val="0.19901558991873003"/>
              <c:y val="0.90213974513921757"/>
            </c:manualLayout>
          </c:layout>
          <c:overlay val="1"/>
        </c:title>
        <c:numFmt formatCode="0.00" sourceLinked="1"/>
        <c:majorTickMark val="cross"/>
        <c:minorTickMark val="cross"/>
        <c:tickLblPos val="none"/>
        <c:crossAx val="488376320"/>
        <c:crosses val="autoZero"/>
        <c:crossBetween val="midCat"/>
        <c:majorUnit val="59995"/>
      </c:valAx>
      <c:valAx>
        <c:axId val="488376320"/>
        <c:scaling>
          <c:orientation val="minMax"/>
          <c:max val="200"/>
          <c:min val="50"/>
        </c:scaling>
        <c:delete val="1"/>
        <c:axPos val="l"/>
        <c:majorGridlines/>
        <c:title>
          <c:tx>
            <c:rich>
              <a:bodyPr rot="-5400000" vert="horz"/>
              <a:lstStyle/>
              <a:p>
                <a:pPr>
                  <a:defRPr b="0">
                    <a:latin typeface="Times New Roman" panose="02020603050405020304" pitchFamily="18" charset="0"/>
                    <a:cs typeface="Times New Roman" panose="02020603050405020304" pitchFamily="18" charset="0"/>
                  </a:defRPr>
                </a:pPr>
                <a:r>
                  <a:rPr lang="ru-RU" b="0">
                    <a:latin typeface="Times New Roman" panose="02020603050405020304" pitchFamily="18" charset="0"/>
                    <a:cs typeface="Times New Roman" panose="02020603050405020304" pitchFamily="18" charset="0"/>
                  </a:rPr>
                  <a:t>Темп роста, %</a:t>
                </a:r>
              </a:p>
            </c:rich>
          </c:tx>
          <c:layout>
            <c:manualLayout>
              <c:xMode val="edge"/>
              <c:yMode val="edge"/>
              <c:x val="8.7786317546960022E-2"/>
              <c:y val="0.13470439463106076"/>
            </c:manualLayout>
          </c:layout>
          <c:overlay val="1"/>
        </c:title>
        <c:numFmt formatCode="0.00" sourceLinked="1"/>
        <c:majorTickMark val="cross"/>
        <c:minorTickMark val="cross"/>
        <c:tickLblPos val="none"/>
        <c:crossAx val="488370336"/>
        <c:crosses val="autoZero"/>
        <c:crossBetween val="midCat"/>
        <c:majorUnit val="75"/>
      </c:valAx>
    </c:plotArea>
    <c:plotVisOnly val="1"/>
    <c:dispBlanksAs val="gap"/>
    <c:showDLblsOverMax val="1"/>
  </c:chart>
  <c:spPr>
    <a:ln>
      <a:noFill/>
    </a:ln>
  </c:spPr>
  <c:externalData r:id="rId2">
    <c:autoUpdate val="1"/>
  </c:externalData>
  <c:userShapes r:id="rId3"/>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roundedCorners val="1"/>
  <c:style val="2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782897508181853E-2"/>
          <c:y val="3.0546013600913302E-2"/>
          <c:w val="0.85191962115846664"/>
          <c:h val="0.89614355375689525"/>
        </c:manualLayout>
      </c:layout>
      <c:bubbleChart>
        <c:varyColors val="1"/>
        <c:ser>
          <c:idx val="0"/>
          <c:order val="0"/>
          <c:tx>
            <c:strRef>
              <c:f>'инвестиции в ОК'!$A$4</c:f>
              <c:strCache>
                <c:ptCount val="1"/>
                <c:pt idx="0">
                  <c:v>Когалым</c:v>
                </c:pt>
              </c:strCache>
            </c:strRef>
          </c:tx>
          <c:spPr>
            <a:solidFill>
              <a:srgbClr val="00B0F0"/>
            </a:solidFill>
          </c:spPr>
          <c:invertIfNegative val="1"/>
          <c:dLbls>
            <c:dLbl>
              <c:idx val="0"/>
              <c:layout>
                <c:manualLayout>
                  <c:x val="-7.745291097872059E-2"/>
                  <c:y val="-7.3310432642192017E-2"/>
                </c:manualLayout>
              </c:layout>
              <c:tx>
                <c:rich>
                  <a:bodyPr/>
                  <a:lstStyle/>
                  <a:p>
                    <a:r>
                      <a:rPr lang="ru-RU"/>
                      <a:t>Когалым</a:t>
                    </a:r>
                  </a:p>
                </c:rich>
              </c:tx>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'инвестиции в ОК'!$C$4</c:f>
              <c:numCache>
                <c:formatCode>General</c:formatCode>
                <c:ptCount val="1"/>
                <c:pt idx="0">
                  <c:v>14129.848</c:v>
                </c:pt>
              </c:numCache>
            </c:numRef>
          </c:xVal>
          <c:yVal>
            <c:numRef>
              <c:f>'инвестиции в ОК'!$D$4</c:f>
              <c:numCache>
                <c:formatCode>0.0</c:formatCode>
                <c:ptCount val="1"/>
                <c:pt idx="0">
                  <c:v>87.385779589418448</c:v>
                </c:pt>
              </c:numCache>
            </c:numRef>
          </c:yVal>
          <c:bubbleSize>
            <c:numRef>
              <c:f>'инвестиции в ОК'!$E$4</c:f>
              <c:numCache>
                <c:formatCode>0.0</c:formatCode>
                <c:ptCount val="1"/>
                <c:pt idx="0">
                  <c:v>2.0812498976578908</c:v>
                </c:pt>
              </c:numCache>
            </c:numRef>
          </c:bubbleSize>
          <c:bubble3D val="0"/>
          <c:extLst>
            <c:ext xmlns:c14="http://schemas.microsoft.com/office/drawing/2007/8/2/chart" uri="{6F2FDCE9-48DA-4B69-8628-5D25D57E5C99}">
              <c14:invertSolidFillFmt>
                <c14:spPr xmlns:c14="http://schemas.microsoft.com/office/drawing/2007/8/2/chart">
                  <a:solidFill>
                    <a:srgbClr val="FFFFFF"/>
                  </a:solidFill>
                </c14:spPr>
              </c14:invertSolidFillFmt>
            </c:ext>
          </c:extLst>
        </c:ser>
        <c:ser>
          <c:idx val="1"/>
          <c:order val="1"/>
          <c:tx>
            <c:strRef>
              <c:f>'инвестиции в ОК'!$A$5</c:f>
              <c:strCache>
                <c:ptCount val="1"/>
                <c:pt idx="0">
                  <c:v>Лангепас</c:v>
                </c:pt>
              </c:strCache>
            </c:strRef>
          </c:tx>
          <c:invertIfNegative val="1"/>
          <c:dLbls>
            <c:dLbl>
              <c:idx val="0"/>
              <c:layout>
                <c:manualLayout>
                  <c:x val="-8.6685275451679797E-2"/>
                  <c:y val="-3.3600614961004555E-2"/>
                </c:manualLayout>
              </c:layout>
              <c:tx>
                <c:rich>
                  <a:bodyPr/>
                  <a:lstStyle/>
                  <a:p>
                    <a:r>
                      <a:rPr lang="ru-RU"/>
                      <a:t>Лангепас</a:t>
                    </a:r>
                  </a:p>
                </c:rich>
              </c:tx>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'инвестиции в ОК'!$C$5</c:f>
              <c:numCache>
                <c:formatCode>General</c:formatCode>
                <c:ptCount val="1"/>
                <c:pt idx="0">
                  <c:v>971.34999999999798</c:v>
                </c:pt>
              </c:numCache>
            </c:numRef>
          </c:xVal>
          <c:yVal>
            <c:numRef>
              <c:f>'инвестиции в ОК'!$D$5</c:f>
              <c:numCache>
                <c:formatCode>0.0</c:formatCode>
                <c:ptCount val="1"/>
                <c:pt idx="0">
                  <c:v>123.6969383622872</c:v>
                </c:pt>
              </c:numCache>
            </c:numRef>
          </c:yVal>
          <c:bubbleSize>
            <c:numRef>
              <c:f>'инвестиции в ОК'!$E$5</c:f>
              <c:numCache>
                <c:formatCode>0.0</c:formatCode>
                <c:ptCount val="1"/>
                <c:pt idx="0">
                  <c:v>0.14307458141729493</c:v>
                </c:pt>
              </c:numCache>
            </c:numRef>
          </c:bubbleSize>
          <c:bubble3D val="0"/>
        </c:ser>
        <c:ser>
          <c:idx val="2"/>
          <c:order val="2"/>
          <c:tx>
            <c:strRef>
              <c:f>'инвестиции в ОК'!$A$6</c:f>
              <c:strCache>
                <c:ptCount val="1"/>
                <c:pt idx="0">
                  <c:v>Мегион</c:v>
                </c:pt>
              </c:strCache>
            </c:strRef>
          </c:tx>
          <c:invertIfNegative val="1"/>
          <c:dLbls>
            <c:dLbl>
              <c:idx val="0"/>
              <c:layout>
                <c:manualLayout>
                  <c:x val="-1.9464233637461983E-2"/>
                  <c:y val="6.4146628561917704E-2"/>
                </c:manualLayout>
              </c:layout>
              <c:tx>
                <c:rich>
                  <a:bodyPr/>
                  <a:lstStyle/>
                  <a:p>
                    <a:r>
                      <a:rPr lang="ru-RU"/>
                      <a:t>Мегион</a:t>
                    </a:r>
                  </a:p>
                </c:rich>
              </c:tx>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'инвестиции в ОК'!$C$6</c:f>
              <c:numCache>
                <c:formatCode>General</c:formatCode>
                <c:ptCount val="1"/>
                <c:pt idx="0">
                  <c:v>19176.187000000005</c:v>
                </c:pt>
              </c:numCache>
            </c:numRef>
          </c:xVal>
          <c:yVal>
            <c:numRef>
              <c:f>'инвестиции в ОК'!$D$6</c:f>
              <c:numCache>
                <c:formatCode>0.0</c:formatCode>
                <c:ptCount val="1"/>
                <c:pt idx="0">
                  <c:v>174.67616542553253</c:v>
                </c:pt>
              </c:numCache>
            </c:numRef>
          </c:yVal>
          <c:bubbleSize>
            <c:numRef>
              <c:f>'инвестиции в ОК'!$E$6</c:f>
              <c:numCache>
                <c:formatCode>0.0</c:formatCode>
                <c:ptCount val="1"/>
                <c:pt idx="0">
                  <c:v>2.8245482351415627</c:v>
                </c:pt>
              </c:numCache>
            </c:numRef>
          </c:bubbleSize>
          <c:bubble3D val="0"/>
        </c:ser>
        <c:ser>
          <c:idx val="3"/>
          <c:order val="3"/>
          <c:tx>
            <c:strRef>
              <c:f>'инвестиции в ОК'!$A$7</c:f>
              <c:strCache>
                <c:ptCount val="1"/>
                <c:pt idx="0">
                  <c:v>Нефтеюганск</c:v>
                </c:pt>
              </c:strCache>
            </c:strRef>
          </c:tx>
          <c:invertIfNegative val="1"/>
          <c:dLbls>
            <c:dLbl>
              <c:idx val="0"/>
              <c:layout>
                <c:manualLayout>
                  <c:x val="-7.4546422437936369E-2"/>
                  <c:y val="-6.1092027201826764E-2"/>
                </c:manualLayout>
              </c:layout>
              <c:tx>
                <c:rich>
                  <a:bodyPr/>
                  <a:lstStyle/>
                  <a:p>
                    <a:r>
                      <a:rPr lang="ru-RU"/>
                      <a:t>Нефтеюганск</a:t>
                    </a:r>
                  </a:p>
                </c:rich>
              </c:tx>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'инвестиции в ОК'!$C$7</c:f>
              <c:numCache>
                <c:formatCode>General</c:formatCode>
                <c:ptCount val="1"/>
                <c:pt idx="0">
                  <c:v>6885.8820000000014</c:v>
                </c:pt>
              </c:numCache>
            </c:numRef>
          </c:xVal>
          <c:yVal>
            <c:numRef>
              <c:f>'инвестиции в ОК'!$D$7</c:f>
              <c:numCache>
                <c:formatCode>0.0</c:formatCode>
                <c:ptCount val="1"/>
                <c:pt idx="0">
                  <c:v>139.0724279642566</c:v>
                </c:pt>
              </c:numCache>
            </c:numRef>
          </c:yVal>
          <c:bubbleSize>
            <c:numRef>
              <c:f>'инвестиции в ОК'!$E$7</c:f>
              <c:numCache>
                <c:formatCode>0.0</c:formatCode>
                <c:ptCount val="1"/>
                <c:pt idx="0">
                  <c:v>1.0142530342707432</c:v>
                </c:pt>
              </c:numCache>
            </c:numRef>
          </c:bubbleSize>
          <c:bubble3D val="0"/>
        </c:ser>
        <c:ser>
          <c:idx val="4"/>
          <c:order val="4"/>
          <c:tx>
            <c:strRef>
              <c:f>'инвестиции в ОК'!$A$8</c:f>
              <c:strCache>
                <c:ptCount val="1"/>
                <c:pt idx="0">
                  <c:v>Нижневартовск</c:v>
                </c:pt>
              </c:strCache>
            </c:strRef>
          </c:tx>
          <c:invertIfNegative val="1"/>
          <c:dLbls>
            <c:dLbl>
              <c:idx val="0"/>
              <c:layout>
                <c:manualLayout>
                  <c:x val="-0.25248714281085238"/>
                  <c:y val="-8.8583439442648293E-2"/>
                </c:manualLayout>
              </c:layout>
              <c:tx>
                <c:rich>
                  <a:bodyPr/>
                  <a:lstStyle/>
                  <a:p>
                    <a:r>
                      <a:rPr lang="ru-RU"/>
                      <a:t>Нижневартовск</a:t>
                    </a:r>
                  </a:p>
                </c:rich>
              </c:tx>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'инвестиции в ОК'!$C$8</c:f>
              <c:numCache>
                <c:formatCode>General</c:formatCode>
                <c:ptCount val="1"/>
                <c:pt idx="0">
                  <c:v>77002.185000000027</c:v>
                </c:pt>
              </c:numCache>
            </c:numRef>
          </c:xVal>
          <c:yVal>
            <c:numRef>
              <c:f>'инвестиции в ОК'!$D$8</c:f>
              <c:numCache>
                <c:formatCode>0.0</c:formatCode>
                <c:ptCount val="1"/>
                <c:pt idx="0">
                  <c:v>135.12555448821095</c:v>
                </c:pt>
              </c:numCache>
            </c:numRef>
          </c:yVal>
          <c:bubbleSize>
            <c:numRef>
              <c:f>'инвестиции в ОК'!$E$8</c:f>
              <c:numCache>
                <c:formatCode>0.0</c:formatCode>
                <c:ptCount val="1"/>
                <c:pt idx="0">
                  <c:v>11.342003795842954</c:v>
                </c:pt>
              </c:numCache>
            </c:numRef>
          </c:bubbleSize>
          <c:bubble3D val="0"/>
        </c:ser>
        <c:ser>
          <c:idx val="5"/>
          <c:order val="5"/>
          <c:tx>
            <c:strRef>
              <c:f>'инвестиции в ОК'!$A$9</c:f>
              <c:strCache>
                <c:ptCount val="1"/>
                <c:pt idx="0">
                  <c:v>Нягань</c:v>
                </c:pt>
              </c:strCache>
            </c:strRef>
          </c:tx>
          <c:invertIfNegative val="1"/>
          <c:dLbls>
            <c:dLbl>
              <c:idx val="0"/>
              <c:layout>
                <c:manualLayout>
                  <c:x val="-5.4769079790952073E-2"/>
                  <c:y val="8.5528838082557457E-2"/>
                </c:manualLayout>
              </c:layout>
              <c:tx>
                <c:rich>
                  <a:bodyPr/>
                  <a:lstStyle/>
                  <a:p>
                    <a:r>
                      <a:rPr lang="ru-RU"/>
                      <a:t>Нягань</a:t>
                    </a:r>
                  </a:p>
                </c:rich>
              </c:tx>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'инвестиции в ОК'!$C$9</c:f>
              <c:numCache>
                <c:formatCode>General</c:formatCode>
                <c:ptCount val="1"/>
                <c:pt idx="0">
                  <c:v>23061.165000000001</c:v>
                </c:pt>
              </c:numCache>
            </c:numRef>
          </c:xVal>
          <c:yVal>
            <c:numRef>
              <c:f>'инвестиции в ОК'!$D$9</c:f>
              <c:numCache>
                <c:formatCode>0.0</c:formatCode>
                <c:ptCount val="1"/>
                <c:pt idx="0">
                  <c:v>76.823733616733549</c:v>
                </c:pt>
              </c:numCache>
            </c:numRef>
          </c:yVal>
          <c:bubbleSize>
            <c:numRef>
              <c:f>'инвестиции в ОК'!$E$9</c:f>
              <c:numCache>
                <c:formatCode>0.0</c:formatCode>
                <c:ptCount val="1"/>
                <c:pt idx="0">
                  <c:v>3.3967844025018348</c:v>
                </c:pt>
              </c:numCache>
            </c:numRef>
          </c:bubbleSize>
          <c:bubble3D val="0"/>
        </c:ser>
        <c:ser>
          <c:idx val="6"/>
          <c:order val="6"/>
          <c:tx>
            <c:strRef>
              <c:f>'инвестиции в ОК'!$A$10</c:f>
              <c:strCache>
                <c:ptCount val="1"/>
                <c:pt idx="0">
                  <c:v>Покачи</c:v>
                </c:pt>
              </c:strCache>
            </c:strRef>
          </c:tx>
          <c:invertIfNegative val="1"/>
          <c:dLbls>
            <c:dLbl>
              <c:idx val="0"/>
              <c:layout>
                <c:manualLayout>
                  <c:x val="-4.6499187601549807E-2"/>
                  <c:y val="4.5819020401369807E-2"/>
                </c:manualLayout>
              </c:layout>
              <c:tx>
                <c:rich>
                  <a:bodyPr/>
                  <a:lstStyle/>
                  <a:p>
                    <a:r>
                      <a:rPr lang="ru-RU"/>
                      <a:t>Покачи</a:t>
                    </a:r>
                  </a:p>
                </c:rich>
              </c:tx>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'инвестиции в ОК'!$C$10</c:f>
              <c:numCache>
                <c:formatCode>General</c:formatCode>
                <c:ptCount val="1"/>
                <c:pt idx="0">
                  <c:v>365.74200000000002</c:v>
                </c:pt>
              </c:numCache>
            </c:numRef>
          </c:xVal>
          <c:yVal>
            <c:numRef>
              <c:f>'инвестиции в ОК'!$D$10</c:f>
              <c:numCache>
                <c:formatCode>0.0</c:formatCode>
                <c:ptCount val="1"/>
                <c:pt idx="0">
                  <c:v>68.950032519865388</c:v>
                </c:pt>
              </c:numCache>
            </c:numRef>
          </c:yVal>
          <c:bubbleSize>
            <c:numRef>
              <c:f>'инвестиции в ОК'!$E$10</c:f>
              <c:numCache>
                <c:formatCode>0.0</c:formatCode>
                <c:ptCount val="1"/>
                <c:pt idx="0">
                  <c:v>5.3871810940159616E-2</c:v>
                </c:pt>
              </c:numCache>
            </c:numRef>
          </c:bubbleSize>
          <c:bubble3D val="0"/>
        </c:ser>
        <c:ser>
          <c:idx val="7"/>
          <c:order val="7"/>
          <c:tx>
            <c:strRef>
              <c:f>'инвестиции в ОК'!$A$11</c:f>
              <c:strCache>
                <c:ptCount val="1"/>
                <c:pt idx="0">
                  <c:v>Пыть-Ях</c:v>
                </c:pt>
              </c:strCache>
            </c:strRef>
          </c:tx>
          <c:invertIfNegative val="1"/>
          <c:dLbls>
            <c:dLbl>
              <c:idx val="0"/>
              <c:layout>
                <c:manualLayout>
                  <c:x val="-6.4954843607512079E-4"/>
                  <c:y val="3.0546013600913345E-3"/>
                </c:manualLayout>
              </c:layout>
              <c:tx>
                <c:rich>
                  <a:bodyPr/>
                  <a:lstStyle/>
                  <a:p>
                    <a:r>
                      <a:rPr lang="ru-RU"/>
                      <a:t>Пыть-Ях</a:t>
                    </a:r>
                  </a:p>
                </c:rich>
              </c:tx>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'инвестиции в ОК'!$C$11</c:f>
              <c:numCache>
                <c:formatCode>General</c:formatCode>
                <c:ptCount val="1"/>
                <c:pt idx="0">
                  <c:v>930.81499999999949</c:v>
                </c:pt>
              </c:numCache>
            </c:numRef>
          </c:xVal>
          <c:yVal>
            <c:numRef>
              <c:f>'инвестиции в ОК'!$D$11</c:f>
              <c:numCache>
                <c:formatCode>0.0</c:formatCode>
                <c:ptCount val="1"/>
                <c:pt idx="0">
                  <c:v>34.970261855715627</c:v>
                </c:pt>
              </c:numCache>
            </c:numRef>
          </c:yVal>
          <c:bubbleSize>
            <c:numRef>
              <c:f>'инвестиции в ОК'!$E$11</c:f>
              <c:numCache>
                <c:formatCode>0.0</c:formatCode>
                <c:ptCount val="1"/>
                <c:pt idx="0">
                  <c:v>0.1371039959869654</c:v>
                </c:pt>
              </c:numCache>
            </c:numRef>
          </c:bubbleSize>
          <c:bubble3D val="0"/>
        </c:ser>
        <c:ser>
          <c:idx val="8"/>
          <c:order val="8"/>
          <c:tx>
            <c:strRef>
              <c:f>'инвестиции в ОК'!$A$12</c:f>
              <c:strCache>
                <c:ptCount val="1"/>
                <c:pt idx="0">
                  <c:v>Радужный</c:v>
                </c:pt>
              </c:strCache>
            </c:strRef>
          </c:tx>
          <c:invertIfNegative val="1"/>
          <c:dLbls>
            <c:dLbl>
              <c:idx val="0"/>
              <c:layout>
                <c:manualLayout>
                  <c:x val="-2.1438060983117856E-3"/>
                  <c:y val="-1.8327608160547931E-2"/>
                </c:manualLayout>
              </c:layout>
              <c:tx>
                <c:rich>
                  <a:bodyPr/>
                  <a:lstStyle/>
                  <a:p>
                    <a:r>
                      <a:rPr lang="ru-RU"/>
                      <a:t>Радужный</a:t>
                    </a:r>
                  </a:p>
                </c:rich>
              </c:tx>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'инвестиции в ОК'!$C$12</c:f>
              <c:numCache>
                <c:formatCode>General</c:formatCode>
                <c:ptCount val="1"/>
                <c:pt idx="0">
                  <c:v>13199.561</c:v>
                </c:pt>
              </c:numCache>
            </c:numRef>
          </c:xVal>
          <c:yVal>
            <c:numRef>
              <c:f>'инвестиции в ОК'!$D$12</c:f>
              <c:numCache>
                <c:formatCode>0.0</c:formatCode>
                <c:ptCount val="1"/>
                <c:pt idx="0">
                  <c:v>122.95869894191452</c:v>
                </c:pt>
              </c:numCache>
            </c:numRef>
          </c:yVal>
          <c:bubbleSize>
            <c:numRef>
              <c:f>'инвестиции в ОК'!$E$12</c:f>
              <c:numCache>
                <c:formatCode>0.0</c:formatCode>
                <c:ptCount val="1"/>
                <c:pt idx="0">
                  <c:v>1.9442236732043456</c:v>
                </c:pt>
              </c:numCache>
            </c:numRef>
          </c:bubbleSize>
          <c:bubble3D val="0"/>
        </c:ser>
        <c:ser>
          <c:idx val="9"/>
          <c:order val="9"/>
          <c:tx>
            <c:strRef>
              <c:f>'инвестиции в ОК'!$A$13</c:f>
              <c:strCache>
                <c:ptCount val="1"/>
                <c:pt idx="0">
                  <c:v>Сургут</c:v>
                </c:pt>
              </c:strCache>
            </c:strRef>
          </c:tx>
          <c:invertIfNegative val="1"/>
          <c:dLbls>
            <c:dLbl>
              <c:idx val="0"/>
              <c:layout>
                <c:manualLayout>
                  <c:x val="-2.1166243108500345E-2"/>
                  <c:y val="8.2474236722465649E-2"/>
                </c:manualLayout>
              </c:layout>
              <c:tx>
                <c:rich>
                  <a:bodyPr/>
                  <a:lstStyle/>
                  <a:p>
                    <a:r>
                      <a:rPr lang="ru-RU"/>
                      <a:t>Сургут</a:t>
                    </a:r>
                  </a:p>
                </c:rich>
              </c:tx>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'инвестиции в ОК'!$C$13</c:f>
              <c:numCache>
                <c:formatCode>General</c:formatCode>
                <c:ptCount val="1"/>
                <c:pt idx="0">
                  <c:v>44220.02</c:v>
                </c:pt>
              </c:numCache>
            </c:numRef>
          </c:xVal>
          <c:yVal>
            <c:numRef>
              <c:f>'инвестиции в ОК'!$D$13</c:f>
              <c:numCache>
                <c:formatCode>0.0</c:formatCode>
                <c:ptCount val="1"/>
                <c:pt idx="0">
                  <c:v>99.364818214483805</c:v>
                </c:pt>
              </c:numCache>
            </c:numRef>
          </c:yVal>
          <c:bubbleSize>
            <c:numRef>
              <c:f>'инвестиции в ОК'!$E$13</c:f>
              <c:numCache>
                <c:formatCode>0.0</c:formatCode>
                <c:ptCount val="1"/>
                <c:pt idx="0">
                  <c:v>6.5133688698866319</c:v>
                </c:pt>
              </c:numCache>
            </c:numRef>
          </c:bubbleSize>
          <c:bubble3D val="0"/>
        </c:ser>
        <c:ser>
          <c:idx val="10"/>
          <c:order val="10"/>
          <c:tx>
            <c:strRef>
              <c:f>'инвестиции в ОК'!$A$14</c:f>
              <c:strCache>
                <c:ptCount val="1"/>
                <c:pt idx="0">
                  <c:v>Урай</c:v>
                </c:pt>
              </c:strCache>
            </c:strRef>
          </c:tx>
          <c:spPr>
            <a:solidFill>
              <a:srgbClr val="376092"/>
            </a:solidFill>
          </c:spPr>
          <c:invertIfNegative val="1"/>
          <c:dLbls>
            <c:dLbl>
              <c:idx val="0"/>
              <c:layout>
                <c:manualLayout>
                  <c:x val="-8.478329097751669E-2"/>
                  <c:y val="3.9709817681187302E-2"/>
                </c:manualLayout>
              </c:layout>
              <c:tx>
                <c:rich>
                  <a:bodyPr/>
                  <a:lstStyle/>
                  <a:p>
                    <a:r>
                      <a:rPr lang="ru-RU"/>
                      <a:t>Урай</a:t>
                    </a:r>
                  </a:p>
                </c:rich>
              </c:tx>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'инвестиции в ОК'!$C$14</c:f>
              <c:numCache>
                <c:formatCode>General</c:formatCode>
                <c:ptCount val="1"/>
                <c:pt idx="0">
                  <c:v>1325.2260000000001</c:v>
                </c:pt>
              </c:numCache>
            </c:numRef>
          </c:xVal>
          <c:yVal>
            <c:numRef>
              <c:f>'инвестиции в ОК'!$D$14</c:f>
              <c:numCache>
                <c:formatCode>0.0</c:formatCode>
                <c:ptCount val="1"/>
                <c:pt idx="0">
                  <c:v>88.332382394658552</c:v>
                </c:pt>
              </c:numCache>
            </c:numRef>
          </c:yVal>
          <c:bubbleSize>
            <c:numRef>
              <c:f>'инвестиции в ОК'!$E$14</c:f>
              <c:numCache>
                <c:formatCode>0.0</c:formatCode>
                <c:ptCount val="1"/>
                <c:pt idx="0">
                  <c:v>0.19519859497947728</c:v>
                </c:pt>
              </c:numCache>
            </c:numRef>
          </c:bubbleSize>
          <c:bubble3D val="0"/>
          <c:extLst>
            <c:ext xmlns:c14="http://schemas.microsoft.com/office/drawing/2007/8/2/chart" uri="{6F2FDCE9-48DA-4B69-8628-5D25D57E5C99}">
              <c14:invertSolidFillFmt>
                <c14:spPr xmlns:c14="http://schemas.microsoft.com/office/drawing/2007/8/2/chart">
                  <a:solidFill>
                    <a:srgbClr val="FFFFFF"/>
                  </a:solidFill>
                </c14:spPr>
              </c14:invertSolidFillFmt>
            </c:ext>
          </c:extLst>
        </c:ser>
        <c:ser>
          <c:idx val="11"/>
          <c:order val="11"/>
          <c:tx>
            <c:strRef>
              <c:f>'инвестиции в ОК'!$A$16</c:f>
              <c:strCache>
                <c:ptCount val="1"/>
                <c:pt idx="0">
                  <c:v>Югорск</c:v>
                </c:pt>
              </c:strCache>
            </c:strRef>
          </c:tx>
          <c:invertIfNegative val="1"/>
          <c:dLbls>
            <c:dLbl>
              <c:idx val="0"/>
              <c:layout>
                <c:manualLayout>
                  <c:x val="-6.5574951279238333E-2"/>
                  <c:y val="4.5819020401369807E-2"/>
                </c:manualLayout>
              </c:layout>
              <c:tx>
                <c:rich>
                  <a:bodyPr/>
                  <a:lstStyle/>
                  <a:p>
                    <a:r>
                      <a:rPr lang="ru-RU"/>
                      <a:t>Югорск</a:t>
                    </a:r>
                  </a:p>
                </c:rich>
              </c:tx>
              <c:dLblPos val="r"/>
              <c:showLegendKey val="1"/>
              <c:showVal val="1"/>
              <c:showCatName val="1"/>
              <c:showSerName val="1"/>
              <c:showPercent val="1"/>
              <c:showBubbleSize val="1"/>
              <c:extLst>
                <c:ext xmlns:c15="http://schemas.microsoft.com/office/drawing/2012/chart" uri="{CE6537A1-D6FC-4f65-9D91-7224C49458BB}"/>
              </c:extLst>
            </c:dLbl>
            <c:spPr>
              <a:noFill/>
              <a:ln>
                <a:noFill/>
              </a:ln>
              <a:effectLst/>
            </c:sp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xVal>
            <c:numRef>
              <c:f>'инвестиции в ОК'!$C$16</c:f>
              <c:numCache>
                <c:formatCode>General</c:formatCode>
                <c:ptCount val="1"/>
                <c:pt idx="0">
                  <c:v>1514.5350000000001</c:v>
                </c:pt>
              </c:numCache>
            </c:numRef>
          </c:xVal>
          <c:yVal>
            <c:numRef>
              <c:f>'инвестиции в ОК'!$D$16</c:f>
              <c:numCache>
                <c:formatCode>0.0</c:formatCode>
                <c:ptCount val="1"/>
                <c:pt idx="0">
                  <c:v>108.11296026360534</c:v>
                </c:pt>
              </c:numCache>
            </c:numRef>
          </c:yVal>
          <c:bubbleSize>
            <c:numRef>
              <c:f>'инвестиции в ОК'!$E$16</c:f>
              <c:numCache>
                <c:formatCode>0.0</c:formatCode>
                <c:ptCount val="1"/>
                <c:pt idx="0">
                  <c:v>0.22308278289683667</c:v>
                </c:pt>
              </c:numCache>
            </c:numRef>
          </c:bubbleSize>
          <c:bubble3D val="0"/>
        </c:ser>
        <c:dLbls>
          <c:showLegendKey val="1"/>
          <c:showVal val="1"/>
          <c:showCatName val="1"/>
          <c:showSerName val="1"/>
          <c:showPercent val="1"/>
          <c:showBubbleSize val="1"/>
        </c:dLbls>
        <c:bubbleScale val="100"/>
        <c:showNegBubbles val="1"/>
        <c:axId val="488373056"/>
        <c:axId val="488377952"/>
      </c:bubbleChart>
      <c:valAx>
        <c:axId val="488373056"/>
        <c:scaling>
          <c:orientation val="minMax"/>
          <c:max val="95000"/>
          <c:min val="-10000"/>
        </c:scaling>
        <c:delete val="1"/>
        <c:axPos val="b"/>
        <c:majorGridlines/>
        <c:title>
          <c:tx>
            <c:rich>
              <a:bodyPr/>
              <a:lstStyle/>
              <a:p>
                <a:pPr>
                  <a:defRPr b="0"/>
                </a:pPr>
                <a:r>
                  <a:rPr lang="ru-RU" b="0"/>
                  <a:t>Инвестиции в основной капитал по крупным и средним предприятиям, млн руб.</a:t>
                </a:r>
              </a:p>
            </c:rich>
          </c:tx>
          <c:overlay val="1"/>
        </c:title>
        <c:numFmt formatCode="General" sourceLinked="1"/>
        <c:majorTickMark val="none"/>
        <c:minorTickMark val="cross"/>
        <c:tickLblPos val="none"/>
        <c:crossAx val="488377952"/>
        <c:crosses val="autoZero"/>
        <c:crossBetween val="midCat"/>
        <c:majorUnit val="52500"/>
        <c:minorUnit val="4000"/>
      </c:valAx>
      <c:valAx>
        <c:axId val="488377952"/>
        <c:scaling>
          <c:orientation val="minMax"/>
          <c:max val="200"/>
          <c:min val="20"/>
        </c:scaling>
        <c:delete val="1"/>
        <c:axPos val="l"/>
        <c:majorGridlines/>
        <c:title>
          <c:tx>
            <c:rich>
              <a:bodyPr rot="-5400000" vert="horz"/>
              <a:lstStyle/>
              <a:p>
                <a:pPr>
                  <a:defRPr b="0"/>
                </a:pPr>
                <a:r>
                  <a:rPr lang="ru-RU" b="0"/>
                  <a:t>Темпы роста, %</a:t>
                </a:r>
              </a:p>
            </c:rich>
          </c:tx>
          <c:layout>
            <c:manualLayout>
              <c:xMode val="edge"/>
              <c:yMode val="edge"/>
              <c:x val="5.2269577413934391E-2"/>
              <c:y val="0.29406647293599286"/>
            </c:manualLayout>
          </c:layout>
          <c:overlay val="1"/>
        </c:title>
        <c:numFmt formatCode="0.0" sourceLinked="1"/>
        <c:majorTickMark val="none"/>
        <c:minorTickMark val="cross"/>
        <c:tickLblPos val="none"/>
        <c:crossAx val="488373056"/>
        <c:crosses val="autoZero"/>
        <c:crossBetween val="midCat"/>
        <c:majorUnit val="90"/>
        <c:minorUnit val="10"/>
      </c:valAx>
    </c:plotArea>
    <c:plotVisOnly val="1"/>
    <c:dispBlanksAs val="gap"/>
    <c:showDLblsOverMax val="1"/>
  </c:chart>
  <c:spPr>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1"/>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6097946729885388E-2"/>
          <c:y val="4.3599312023454365E-2"/>
          <c:w val="0.92390205327011465"/>
          <c:h val="0.58414350969322248"/>
        </c:manualLayout>
      </c:layout>
      <c:lineChart>
        <c:grouping val="standard"/>
        <c:varyColors val="0"/>
        <c:ser>
          <c:idx val="0"/>
          <c:order val="0"/>
          <c:tx>
            <c:strRef>
              <c:f>Лист1!$B$1</c:f>
              <c:strCache>
                <c:ptCount val="1"/>
                <c:pt idx="0">
                  <c:v>Добыча полезных ископаемых</c:v>
                </c:pt>
              </c:strCache>
            </c:strRef>
          </c:tx>
          <c:spPr>
            <a:ln>
              <a:solidFill>
                <a:srgbClr val="002060"/>
              </a:solidFill>
            </a:ln>
          </c:spPr>
          <c:marker>
            <c:symbol val="square"/>
            <c:size val="6"/>
            <c:spPr>
              <a:solidFill>
                <a:srgbClr val="2947A5"/>
              </a:solidFill>
            </c:spPr>
          </c:marker>
          <c:cat>
            <c:strRef>
              <c:f>Лист1!$A$2:$A$10</c:f>
              <c:strCache>
                <c:ptCount val="9"/>
                <c:pt idx="0">
                  <c:v>2009</c:v>
                </c:pt>
                <c:pt idx="1">
                  <c:v>2010</c:v>
                </c:pt>
                <c:pt idx="2">
                  <c:v>2011</c:v>
                </c:pt>
                <c:pt idx="3">
                  <c:v>2012</c:v>
                </c:pt>
                <c:pt idx="4">
                  <c:v>2013</c:v>
                </c:pt>
                <c:pt idx="5">
                  <c:v>2014 (оценка)</c:v>
                </c:pt>
                <c:pt idx="6">
                  <c:v>2015 (прогноз)</c:v>
                </c:pt>
                <c:pt idx="7">
                  <c:v>2016 (прогноз)</c:v>
                </c:pt>
                <c:pt idx="8">
                  <c:v>2017 (прогноз)</c:v>
                </c:pt>
              </c:strCache>
            </c:strRef>
          </c:cat>
          <c:val>
            <c:numRef>
              <c:f>Лист1!$B$2:$B$10</c:f>
              <c:numCache>
                <c:formatCode>0.0%</c:formatCode>
                <c:ptCount val="9"/>
                <c:pt idx="0">
                  <c:v>0.73699999999999999</c:v>
                </c:pt>
                <c:pt idx="1">
                  <c:v>0.66700000000000004</c:v>
                </c:pt>
                <c:pt idx="2">
                  <c:v>0.71399999999999997</c:v>
                </c:pt>
                <c:pt idx="3">
                  <c:v>0.749</c:v>
                </c:pt>
                <c:pt idx="4">
                  <c:v>0.39269999999999999</c:v>
                </c:pt>
                <c:pt idx="5">
                  <c:v>0.33889999999999998</c:v>
                </c:pt>
                <c:pt idx="6">
                  <c:v>0.318</c:v>
                </c:pt>
                <c:pt idx="7">
                  <c:v>0.308</c:v>
                </c:pt>
                <c:pt idx="8">
                  <c:v>0.3</c:v>
                </c:pt>
              </c:numCache>
            </c:numRef>
          </c:val>
          <c:smooth val="0"/>
        </c:ser>
        <c:ser>
          <c:idx val="2"/>
          <c:order val="2"/>
          <c:tx>
            <c:strRef>
              <c:f>Лист1!$D$1</c:f>
              <c:strCache>
                <c:ptCount val="1"/>
                <c:pt idx="0">
                  <c:v>Производство и распредление электроэнергии, газа и воды</c:v>
                </c:pt>
              </c:strCache>
            </c:strRef>
          </c:tx>
          <c:spPr>
            <a:ln>
              <a:solidFill>
                <a:srgbClr val="0C5A10"/>
              </a:solidFill>
            </a:ln>
          </c:spPr>
          <c:marker>
            <c:symbol val="square"/>
            <c:size val="6"/>
            <c:spPr>
              <a:solidFill>
                <a:srgbClr val="008000"/>
              </a:solidFill>
            </c:spPr>
          </c:marker>
          <c:cat>
            <c:strRef>
              <c:f>Лист1!$A$2:$A$10</c:f>
              <c:strCache>
                <c:ptCount val="9"/>
                <c:pt idx="0">
                  <c:v>2009</c:v>
                </c:pt>
                <c:pt idx="1">
                  <c:v>2010</c:v>
                </c:pt>
                <c:pt idx="2">
                  <c:v>2011</c:v>
                </c:pt>
                <c:pt idx="3">
                  <c:v>2012</c:v>
                </c:pt>
                <c:pt idx="4">
                  <c:v>2013</c:v>
                </c:pt>
                <c:pt idx="5">
                  <c:v>2014 (оценка)</c:v>
                </c:pt>
                <c:pt idx="6">
                  <c:v>2015 (прогноз)</c:v>
                </c:pt>
                <c:pt idx="7">
                  <c:v>2016 (прогноз)</c:v>
                </c:pt>
                <c:pt idx="8">
                  <c:v>2017 (прогноз)</c:v>
                </c:pt>
              </c:strCache>
            </c:strRef>
          </c:cat>
          <c:val>
            <c:numRef>
              <c:f>Лист1!$D$2:$D$10</c:f>
              <c:numCache>
                <c:formatCode>0.0%</c:formatCode>
                <c:ptCount val="9"/>
                <c:pt idx="0">
                  <c:v>0.20899999999999999</c:v>
                </c:pt>
                <c:pt idx="1">
                  <c:v>0.20499999999999999</c:v>
                </c:pt>
                <c:pt idx="2">
                  <c:v>0.16600000000000001</c:v>
                </c:pt>
                <c:pt idx="3">
                  <c:v>0.14099999999999999</c:v>
                </c:pt>
                <c:pt idx="4">
                  <c:v>0.37580000000000002</c:v>
                </c:pt>
                <c:pt idx="5">
                  <c:v>0.44690000000000002</c:v>
                </c:pt>
                <c:pt idx="6">
                  <c:v>0.46800000000000003</c:v>
                </c:pt>
                <c:pt idx="7">
                  <c:v>0.48299999999999998</c:v>
                </c:pt>
                <c:pt idx="8">
                  <c:v>0.49399999999999999</c:v>
                </c:pt>
              </c:numCache>
            </c:numRef>
          </c:val>
          <c:smooth val="0"/>
        </c:ser>
        <c:dLbls>
          <c:showLegendKey val="0"/>
          <c:showVal val="0"/>
          <c:showCatName val="0"/>
          <c:showSerName val="0"/>
          <c:showPercent val="0"/>
          <c:showBubbleSize val="0"/>
        </c:dLbls>
        <c:marker val="1"/>
        <c:smooth val="0"/>
        <c:axId val="477770368"/>
        <c:axId val="477771456"/>
      </c:lineChart>
      <c:lineChart>
        <c:grouping val="standard"/>
        <c:varyColors val="0"/>
        <c:ser>
          <c:idx val="1"/>
          <c:order val="1"/>
          <c:tx>
            <c:strRef>
              <c:f>Лист1!$C$1</c:f>
              <c:strCache>
                <c:ptCount val="1"/>
                <c:pt idx="0">
                  <c:v>Обрабатывающие производства</c:v>
                </c:pt>
              </c:strCache>
            </c:strRef>
          </c:tx>
          <c:marker>
            <c:spPr>
              <a:solidFill>
                <a:srgbClr val="C00000"/>
              </a:solidFill>
            </c:spPr>
          </c:marker>
          <c:cat>
            <c:strRef>
              <c:f>Лист1!$A$2:$A$10</c:f>
              <c:strCache>
                <c:ptCount val="9"/>
                <c:pt idx="0">
                  <c:v>2009</c:v>
                </c:pt>
                <c:pt idx="1">
                  <c:v>2010</c:v>
                </c:pt>
                <c:pt idx="2">
                  <c:v>2011</c:v>
                </c:pt>
                <c:pt idx="3">
                  <c:v>2012</c:v>
                </c:pt>
                <c:pt idx="4">
                  <c:v>2013</c:v>
                </c:pt>
                <c:pt idx="5">
                  <c:v>2014 (оценка)</c:v>
                </c:pt>
                <c:pt idx="6">
                  <c:v>2015 (прогноз)</c:v>
                </c:pt>
                <c:pt idx="7">
                  <c:v>2016 (прогноз)</c:v>
                </c:pt>
                <c:pt idx="8">
                  <c:v>2017 (прогноз)</c:v>
                </c:pt>
              </c:strCache>
            </c:strRef>
          </c:cat>
          <c:val>
            <c:numRef>
              <c:f>Лист1!$C$2:$C$10</c:f>
              <c:numCache>
                <c:formatCode>0.0%</c:formatCode>
                <c:ptCount val="9"/>
                <c:pt idx="0">
                  <c:v>5.3999999999999999E-2</c:v>
                </c:pt>
                <c:pt idx="1">
                  <c:v>0.127</c:v>
                </c:pt>
                <c:pt idx="2">
                  <c:v>0.12</c:v>
                </c:pt>
                <c:pt idx="3">
                  <c:v>0.11</c:v>
                </c:pt>
                <c:pt idx="4">
                  <c:v>0.23100000000000001</c:v>
                </c:pt>
                <c:pt idx="5">
                  <c:v>0.2142</c:v>
                </c:pt>
                <c:pt idx="6">
                  <c:v>0.21299999999999999</c:v>
                </c:pt>
                <c:pt idx="7">
                  <c:v>0.20899999999999999</c:v>
                </c:pt>
                <c:pt idx="8">
                  <c:v>0.20699999999999999</c:v>
                </c:pt>
              </c:numCache>
            </c:numRef>
          </c:val>
          <c:smooth val="0"/>
        </c:ser>
        <c:dLbls>
          <c:showLegendKey val="0"/>
          <c:showVal val="0"/>
          <c:showCatName val="0"/>
          <c:showSerName val="0"/>
          <c:showPercent val="0"/>
          <c:showBubbleSize val="0"/>
        </c:dLbls>
        <c:marker val="1"/>
        <c:smooth val="0"/>
        <c:axId val="477772000"/>
        <c:axId val="479669136"/>
      </c:lineChart>
      <c:catAx>
        <c:axId val="477770368"/>
        <c:scaling>
          <c:orientation val="minMax"/>
        </c:scaling>
        <c:delete val="0"/>
        <c:axPos val="b"/>
        <c:numFmt formatCode="General" sourceLinked="1"/>
        <c:majorTickMark val="out"/>
        <c:minorTickMark val="none"/>
        <c:tickLblPos val="nextTo"/>
        <c:txPr>
          <a:bodyPr/>
          <a:lstStyle/>
          <a:p>
            <a:pPr>
              <a:defRPr sz="1064"/>
            </a:pPr>
            <a:endParaRPr lang="ru-RU"/>
          </a:p>
        </c:txPr>
        <c:crossAx val="477771456"/>
        <c:crosses val="autoZero"/>
        <c:auto val="1"/>
        <c:lblAlgn val="ctr"/>
        <c:lblOffset val="100"/>
        <c:noMultiLvlLbl val="0"/>
      </c:catAx>
      <c:valAx>
        <c:axId val="477771456"/>
        <c:scaling>
          <c:orientation val="minMax"/>
        </c:scaling>
        <c:delete val="0"/>
        <c:axPos val="l"/>
        <c:majorGridlines/>
        <c:numFmt formatCode="0%" sourceLinked="0"/>
        <c:majorTickMark val="out"/>
        <c:minorTickMark val="none"/>
        <c:tickLblPos val="nextTo"/>
        <c:txPr>
          <a:bodyPr/>
          <a:lstStyle/>
          <a:p>
            <a:pPr>
              <a:defRPr sz="1064"/>
            </a:pPr>
            <a:endParaRPr lang="ru-RU"/>
          </a:p>
        </c:txPr>
        <c:crossAx val="477770368"/>
        <c:crosses val="autoZero"/>
        <c:crossBetween val="between"/>
      </c:valAx>
      <c:catAx>
        <c:axId val="477772000"/>
        <c:scaling>
          <c:orientation val="minMax"/>
        </c:scaling>
        <c:delete val="1"/>
        <c:axPos val="b"/>
        <c:numFmt formatCode="General" sourceLinked="1"/>
        <c:majorTickMark val="out"/>
        <c:minorTickMark val="none"/>
        <c:tickLblPos val="nextTo"/>
        <c:crossAx val="479669136"/>
        <c:crosses val="autoZero"/>
        <c:auto val="1"/>
        <c:lblAlgn val="ctr"/>
        <c:lblOffset val="100"/>
        <c:noMultiLvlLbl val="0"/>
      </c:catAx>
      <c:valAx>
        <c:axId val="479669136"/>
        <c:scaling>
          <c:orientation val="minMax"/>
        </c:scaling>
        <c:delete val="1"/>
        <c:axPos val="r"/>
        <c:numFmt formatCode="0.0%" sourceLinked="1"/>
        <c:majorTickMark val="out"/>
        <c:minorTickMark val="none"/>
        <c:tickLblPos val="nextTo"/>
        <c:crossAx val="477772000"/>
        <c:crosses val="max"/>
        <c:crossBetween val="between"/>
      </c:valAx>
      <c:spPr>
        <a:solidFill>
          <a:schemeClr val="accent3">
            <a:lumMod val="20000"/>
            <a:lumOff val="80000"/>
          </a:schemeClr>
        </a:solidFill>
        <a:ln>
          <a:solidFill>
            <a:srgbClr val="08400B"/>
          </a:solidFill>
        </a:ln>
      </c:spPr>
    </c:plotArea>
    <c:legend>
      <c:legendPos val="r"/>
      <c:layout>
        <c:manualLayout>
          <c:xMode val="edge"/>
          <c:yMode val="edge"/>
          <c:x val="3.2742155525238743E-2"/>
          <c:y val="0.78975741239892183"/>
          <c:w val="0.903137789904502"/>
          <c:h val="0.21293800539083554"/>
        </c:manualLayout>
      </c:layout>
      <c:overlay val="1"/>
      <c:txPr>
        <a:bodyPr/>
        <a:lstStyle/>
        <a:p>
          <a:pPr>
            <a:defRPr sz="1064"/>
          </a:pPr>
          <a:endParaRPr lang="ru-RU"/>
        </a:p>
      </c:txPr>
    </c:legend>
    <c:plotVisOnly val="1"/>
    <c:dispBlanksAs val="gap"/>
    <c:showDLblsOverMax val="0"/>
  </c:chart>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30"/>
      <c:rotY val="0"/>
      <c:rAngAx val="1"/>
    </c:view3D>
    <c:floor>
      <c:thickness val="0"/>
    </c:floor>
    <c:sideWall>
      <c:thickness val="0"/>
    </c:sideWall>
    <c:backWall>
      <c:thickness val="0"/>
    </c:backWall>
    <c:plotArea>
      <c:layout/>
      <c:pie3DChart>
        <c:varyColors val="1"/>
        <c:ser>
          <c:idx val="0"/>
          <c:order val="0"/>
          <c:explosion val="25"/>
          <c:dLbls>
            <c:dLbl>
              <c:idx val="3"/>
              <c:layout>
                <c:manualLayout>
                  <c:x val="-7.4976562444653205E-3"/>
                  <c:y val="-2.7238676003026784E-2"/>
                </c:manualLayout>
              </c:layout>
              <c:dLblPos val="bestFit"/>
              <c:showLegendKey val="1"/>
              <c:showVal val="1"/>
              <c:showCatName val="1"/>
              <c:showSerName val="1"/>
              <c:showPercent val="1"/>
              <c:showBubbleSize val="1"/>
              <c:extLst>
                <c:ext xmlns:c15="http://schemas.microsoft.com/office/drawing/2012/chart" uri="{CE6537A1-D6FC-4f65-9D91-7224C49458BB}"/>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dLblPos val="outEnd"/>
            <c:showLegendKey val="1"/>
            <c:showVal val="1"/>
            <c:showCatName val="1"/>
            <c:showSerName val="1"/>
            <c:showPercent val="1"/>
            <c:showBubbleSize val="1"/>
            <c:showLeaderLines val="1"/>
            <c:extLst>
              <c:ext xmlns:c15="http://schemas.microsoft.com/office/drawing/2012/chart" uri="{CE6537A1-D6FC-4f65-9D91-7224C49458BB}"/>
            </c:extLst>
          </c:dLbls>
          <c:cat>
            <c:strRef>
              <c:f>(расходы!$A$5,расходы!$A$14,расходы!$A$19,расходы!$A$26,расходы!$A$31,расходы!$A$34,расходы!$A$39,расходы!$A$43,расходы!$A$52,расходы!$A$56,расходы!$A$62)</c:f>
              <c:strCache>
                <c:ptCount val="11"/>
                <c:pt idx="0">
                  <c:v>Общегосударственные вопросы         </c:v>
                </c:pt>
                <c:pt idx="1">
                  <c:v>Национальная безопасность и правоохранительная деятельность              </c:v>
                </c:pt>
                <c:pt idx="2">
                  <c:v>Национальная экономика              </c:v>
                </c:pt>
                <c:pt idx="3">
                  <c:v>Жилищно-коммунальное хозяйство      </c:v>
                </c:pt>
                <c:pt idx="4">
                  <c:v>Охрана окружающей среды             </c:v>
                </c:pt>
                <c:pt idx="5">
                  <c:v>Образование   </c:v>
                </c:pt>
                <c:pt idx="6">
                  <c:v>Культура и кинематография </c:v>
                </c:pt>
                <c:pt idx="7">
                  <c:v>Здравоохранение</c:v>
                </c:pt>
                <c:pt idx="8">
                  <c:v>Физическая культура и спорт         </c:v>
                </c:pt>
                <c:pt idx="9">
                  <c:v>Социальная политика                 </c:v>
                </c:pt>
                <c:pt idx="10">
                  <c:v>Средства массовой информации</c:v>
                </c:pt>
              </c:strCache>
            </c:strRef>
          </c:cat>
          <c:val>
            <c:numRef>
              <c:f>(расходы!$W$5,расходы!$W$14,расходы!$W$19,расходы!$W$26,расходы!$W$31,расходы!$W$34,расходы!$W$39,расходы!$W$43,расходы!$W$52,расходы!$W$56,расходы!$W$62)</c:f>
              <c:numCache>
                <c:formatCode>#,##0.0</c:formatCode>
                <c:ptCount val="11"/>
                <c:pt idx="0">
                  <c:v>10.506988724555541</c:v>
                </c:pt>
                <c:pt idx="1">
                  <c:v>1.9128103834450589</c:v>
                </c:pt>
                <c:pt idx="2">
                  <c:v>8.4726095461710234</c:v>
                </c:pt>
                <c:pt idx="3">
                  <c:v>15.863643939744561</c:v>
                </c:pt>
                <c:pt idx="4">
                  <c:v>8.280183320403478E-2</c:v>
                </c:pt>
                <c:pt idx="5">
                  <c:v>38.644869480636039</c:v>
                </c:pt>
                <c:pt idx="6">
                  <c:v>4.490512349429439</c:v>
                </c:pt>
                <c:pt idx="7">
                  <c:v>10.3</c:v>
                </c:pt>
                <c:pt idx="8">
                  <c:v>5.67164005091362</c:v>
                </c:pt>
                <c:pt idx="9">
                  <c:v>3.9002447293837377</c:v>
                </c:pt>
                <c:pt idx="10">
                  <c:v>9.6787729053842753E-2</c:v>
                </c:pt>
              </c:numCache>
            </c:numRef>
          </c:val>
        </c:ser>
        <c:dLbls>
          <c:showLegendKey val="0"/>
          <c:showVal val="0"/>
          <c:showCatName val="0"/>
          <c:showSerName val="0"/>
          <c:showPercent val="0"/>
          <c:showBubbleSize val="0"/>
          <c:showLeaderLines val="1"/>
        </c:dLbls>
      </c:pie3DChart>
    </c:plotArea>
    <c:legend>
      <c:legendPos val="b"/>
      <c:layout>
        <c:manualLayout>
          <c:xMode val="edge"/>
          <c:yMode val="edge"/>
          <c:x val="1.0837163500858388E-2"/>
          <c:y val="0.47945281574987547"/>
          <c:w val="0.98082469495756053"/>
          <c:h val="0.50420397864830968"/>
        </c:manualLayout>
      </c:layout>
      <c:overlay val="1"/>
      <c:txPr>
        <a:bodyPr/>
        <a:lstStyle/>
        <a:p>
          <a:pPr rtl="0">
            <a:defRPr>
              <a:latin typeface="Times New Roman" panose="02020603050405020304" pitchFamily="18" charset="0"/>
              <a:cs typeface="Times New Roman" panose="02020603050405020304" pitchFamily="18" charset="0"/>
            </a:defRPr>
          </a:pPr>
          <a:endParaRPr lang="ru-RU"/>
        </a:p>
      </c:txPr>
    </c:legend>
    <c:plotVisOnly val="1"/>
    <c:dispBlanksAs val="zero"/>
    <c:showDLblsOverMax val="1"/>
  </c:chart>
  <c:spPr>
    <a:noFill/>
    <a:ln>
      <a:noFill/>
    </a:ln>
  </c:spPr>
  <c:externalData r:id="rId1">
    <c:autoUpdate val="1"/>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30"/>
      <c:rotY val="0"/>
      <c:rAngAx val="1"/>
    </c:view3D>
    <c:floor>
      <c:thickness val="0"/>
    </c:floor>
    <c:sideWall>
      <c:thickness val="0"/>
    </c:sideWall>
    <c:backWall>
      <c:thickness val="0"/>
    </c:backWall>
    <c:plotArea>
      <c:layout/>
      <c:pie3DChart>
        <c:varyColors val="1"/>
        <c:ser>
          <c:idx val="0"/>
          <c:order val="0"/>
          <c:spPr>
            <a:effectLst/>
            <a:scene3d>
              <a:camera prst="orthographicFront"/>
              <a:lightRig rig="threePt" dir="t"/>
            </a:scene3d>
            <a:sp3d prstMaterial="metal"/>
          </c:spPr>
          <c:dLbls>
            <c:dLbl>
              <c:idx val="0"/>
              <c:layout>
                <c:manualLayout>
                  <c:x val="1.9256014873140857E-2"/>
                  <c:y val="-1.2009985386562866E-2"/>
                </c:manualLayout>
              </c:layout>
              <c:showLegendKey val="1"/>
              <c:showVal val="1"/>
              <c:showCatName val="1"/>
              <c:showSerName val="1"/>
              <c:showPercent val="1"/>
              <c:showBubbleSize val="1"/>
              <c:extLst>
                <c:ext xmlns:c15="http://schemas.microsoft.com/office/drawing/2012/chart" uri="{CE6537A1-D6FC-4f65-9D91-7224C49458BB}"/>
              </c:extLst>
            </c:dLbl>
            <c:dLbl>
              <c:idx val="1"/>
              <c:layout>
                <c:manualLayout>
                  <c:x val="-0.12739151356080489"/>
                  <c:y val="-8.4978038250047863E-2"/>
                </c:manualLayout>
              </c:layout>
              <c:showLegendKey val="1"/>
              <c:showVal val="1"/>
              <c:showCatName val="1"/>
              <c:showSerName val="1"/>
              <c:showPercent val="1"/>
              <c:showBubbleSize val="1"/>
              <c:extLst>
                <c:ext xmlns:c15="http://schemas.microsoft.com/office/drawing/2012/chart" uri="{CE6537A1-D6FC-4f65-9D91-7224C49458BB}"/>
              </c:extLst>
            </c:dLbl>
            <c:dLbl>
              <c:idx val="2"/>
              <c:layout>
                <c:manualLayout>
                  <c:x val="0.1841596675415573"/>
                  <c:y val="-9.1049061772967663E-2"/>
                </c:manualLayout>
              </c:layout>
              <c:showLegendKey val="1"/>
              <c:showVal val="1"/>
              <c:showCatName val="1"/>
              <c:showSerName val="1"/>
              <c:showPercent val="1"/>
              <c:showBubbleSize val="1"/>
              <c:extLst>
                <c:ext xmlns:c15="http://schemas.microsoft.com/office/drawing/2012/chart" uri="{CE6537A1-D6FC-4f65-9D91-7224C49458BB}"/>
              </c:extLst>
            </c:dLbl>
            <c:numFmt formatCode="#,##0.00" sourceLinked="0"/>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showLegendKey val="1"/>
            <c:showVal val="1"/>
            <c:showCatName val="1"/>
            <c:showSerName val="1"/>
            <c:showPercent val="1"/>
            <c:showBubbleSize val="1"/>
            <c:showLeaderLines val="1"/>
            <c:extLst>
              <c:ext xmlns:c15="http://schemas.microsoft.com/office/drawing/2012/chart" uri="{CE6537A1-D6FC-4f65-9D91-7224C49458BB}"/>
            </c:extLst>
          </c:dLbls>
          <c:cat>
            <c:strRef>
              <c:f>(доходы!$A$26,доходы!$A$27,доходы!$A$28)</c:f>
              <c:strCache>
                <c:ptCount val="3"/>
                <c:pt idx="0">
                  <c:v>Дотации бюджетам субъектов Российской Федерации и муниципальных образований</c:v>
                </c:pt>
                <c:pt idx="1">
                  <c:v>Субсидии бюджетам субъектов Российской Федерации и муниципальных образований </c:v>
                </c:pt>
                <c:pt idx="2">
                  <c:v>Субвенции бюджетам субъектов Российской Федерации и муниципальных образований </c:v>
                </c:pt>
              </c:strCache>
            </c:strRef>
          </c:cat>
          <c:val>
            <c:numRef>
              <c:f>(доходы!$Q$26,доходы!$Q$27,доходы!$Q$28)</c:f>
              <c:numCache>
                <c:formatCode>General</c:formatCode>
                <c:ptCount val="3"/>
                <c:pt idx="0">
                  <c:v>7.0550805901530165</c:v>
                </c:pt>
                <c:pt idx="1">
                  <c:v>28.351079816745326</c:v>
                </c:pt>
                <c:pt idx="2">
                  <c:v>47.73205291397462</c:v>
                </c:pt>
              </c:numCache>
            </c:numRef>
          </c:val>
        </c:ser>
        <c:dLbls>
          <c:showLegendKey val="0"/>
          <c:showVal val="0"/>
          <c:showCatName val="0"/>
          <c:showSerName val="0"/>
          <c:showPercent val="0"/>
          <c:showBubbleSize val="0"/>
          <c:showLeaderLines val="1"/>
        </c:dLbls>
      </c:pie3DChart>
      <c:spPr>
        <a:noFill/>
        <a:ln>
          <a:bevel/>
        </a:ln>
        <a:effectLst>
          <a:glow rad="101600">
            <a:schemeClr val="accent3">
              <a:satMod val="175000"/>
              <a:alpha val="40000"/>
            </a:schemeClr>
          </a:glow>
        </a:effectLst>
        <a:scene3d>
          <a:camera prst="orthographicFront"/>
          <a:lightRig rig="threePt" dir="t"/>
        </a:scene3d>
        <a:sp3d>
          <a:bevelB/>
        </a:sp3d>
      </c:spPr>
    </c:plotArea>
    <c:legend>
      <c:legendPos val="b"/>
      <c:layout>
        <c:manualLayout>
          <c:xMode val="edge"/>
          <c:yMode val="edge"/>
          <c:x val="8.2939413823272093E-2"/>
          <c:y val="0.65740224664265301"/>
          <c:w val="0.83412095363079786"/>
          <c:h val="0.28977308964664372"/>
        </c:manualLayout>
      </c:layout>
      <c:overlay val="1"/>
      <c:txPr>
        <a:bodyPr/>
        <a:lstStyle/>
        <a:p>
          <a:pPr rtl="0">
            <a:defRPr sz="900">
              <a:latin typeface="Times New Roman" panose="02020603050405020304" pitchFamily="18" charset="0"/>
              <a:cs typeface="Times New Roman" panose="02020603050405020304" pitchFamily="18" charset="0"/>
            </a:defRPr>
          </a:pPr>
          <a:endParaRPr lang="ru-RU"/>
        </a:p>
      </c:txPr>
    </c:legend>
    <c:plotVisOnly val="1"/>
    <c:dispBlanksAs val="zero"/>
    <c:showDLblsOverMax val="1"/>
  </c:chart>
  <c:spPr>
    <a:noFill/>
    <a:ln>
      <a:noFill/>
    </a:ln>
  </c:spPr>
  <c:externalData r:id="rId1">
    <c:autoUpdate val="1"/>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0"/>
    </c:view3D>
    <c:floor>
      <c:thickness val="0"/>
    </c:floor>
    <c:sideWall>
      <c:thickness val="0"/>
    </c:sideWall>
    <c:backWall>
      <c:thickness val="0"/>
    </c:backWall>
    <c:plotArea>
      <c:layout>
        <c:manualLayout>
          <c:layoutTarget val="inner"/>
          <c:xMode val="edge"/>
          <c:yMode val="edge"/>
          <c:x val="1.7825828494379421E-2"/>
          <c:y val="0.13144505931895634"/>
          <c:w val="0.50262943000110616"/>
          <c:h val="0.73424020688336677"/>
        </c:manualLayout>
      </c:layout>
      <c:pie3DChart>
        <c:varyColors val="1"/>
        <c:ser>
          <c:idx val="0"/>
          <c:order val="0"/>
          <c:tx>
            <c:strRef>
              <c:f>Лист1!$B$1</c:f>
              <c:strCache>
                <c:ptCount val="1"/>
                <c:pt idx="0">
                  <c:v>Распределение малых и средних предприятий по видам экономической деятельности в 2014 году</c:v>
                </c:pt>
              </c:strCache>
            </c:strRef>
          </c:tx>
          <c:spPr>
            <a:ln>
              <a:solidFill>
                <a:schemeClr val="tx1"/>
              </a:solidFill>
            </a:ln>
          </c:spPr>
          <c:explosion val="25"/>
          <c:dPt>
            <c:idx val="0"/>
            <c:bubble3D val="0"/>
            <c:spPr>
              <a:solidFill>
                <a:srgbClr val="4AD7E2"/>
              </a:solidFill>
              <a:ln>
                <a:solidFill>
                  <a:schemeClr val="tx1"/>
                </a:solidFill>
              </a:ln>
            </c:spPr>
          </c:dPt>
          <c:dPt>
            <c:idx val="1"/>
            <c:bubble3D val="0"/>
            <c:spPr>
              <a:solidFill>
                <a:srgbClr val="FF9900"/>
              </a:solidFill>
              <a:ln>
                <a:solidFill>
                  <a:schemeClr val="tx1"/>
                </a:solidFill>
              </a:ln>
            </c:spPr>
          </c:dPt>
          <c:dPt>
            <c:idx val="2"/>
            <c:bubble3D val="0"/>
            <c:spPr>
              <a:solidFill>
                <a:srgbClr val="00CC00"/>
              </a:solidFill>
              <a:ln>
                <a:solidFill>
                  <a:schemeClr val="tx1"/>
                </a:solidFill>
              </a:ln>
            </c:spPr>
          </c:dPt>
          <c:dPt>
            <c:idx val="3"/>
            <c:bubble3D val="0"/>
            <c:spPr>
              <a:solidFill>
                <a:srgbClr val="FF5050"/>
              </a:solidFill>
              <a:ln>
                <a:solidFill>
                  <a:schemeClr val="tx1"/>
                </a:solidFill>
              </a:ln>
            </c:spPr>
          </c:dPt>
          <c:dPt>
            <c:idx val="4"/>
            <c:bubble3D val="0"/>
            <c:spPr>
              <a:solidFill>
                <a:schemeClr val="tx2">
                  <a:lumMod val="60000"/>
                  <a:lumOff val="40000"/>
                </a:schemeClr>
              </a:solidFill>
              <a:ln>
                <a:solidFill>
                  <a:schemeClr val="tx1"/>
                </a:solidFill>
              </a:ln>
            </c:spPr>
          </c:dPt>
          <c:dPt>
            <c:idx val="5"/>
            <c:bubble3D val="0"/>
            <c:spPr>
              <a:solidFill>
                <a:srgbClr val="FF99CC"/>
              </a:solidFill>
              <a:ln>
                <a:solidFill>
                  <a:schemeClr val="tx1"/>
                </a:solidFill>
              </a:ln>
            </c:spPr>
          </c:dPt>
          <c:dLbls>
            <c:spPr>
              <a:noFill/>
              <a:ln w="25376">
                <a:noFill/>
              </a:ln>
            </c:spPr>
            <c:txPr>
              <a:bodyPr/>
              <a:lstStyle/>
              <a:p>
                <a:pPr>
                  <a:defRPr>
                    <a:latin typeface="Times New Roman" panose="02020603050405020304" pitchFamily="18" charset="0"/>
                    <a:cs typeface="Times New Roman" panose="02020603050405020304" pitchFamily="18" charset="0"/>
                  </a:defRPr>
                </a:pPr>
                <a:endParaRPr lang="ru-RU"/>
              </a:p>
            </c:txPr>
            <c:dLblPos val="outEnd"/>
            <c:showLegendKey val="0"/>
            <c:showVal val="1"/>
            <c:showCatName val="0"/>
            <c:showSerName val="0"/>
            <c:showPercent val="0"/>
            <c:showBubbleSize val="0"/>
            <c:showLeaderLines val="1"/>
            <c:extLst>
              <c:ext xmlns:c15="http://schemas.microsoft.com/office/drawing/2012/chart" uri="{CE6537A1-D6FC-4f65-9D91-7224C49458BB}"/>
            </c:extLst>
          </c:dLbls>
          <c:cat>
            <c:strRef>
              <c:f>Лист1!$A$2:$A$7</c:f>
              <c:strCache>
                <c:ptCount val="6"/>
                <c:pt idx="0">
                  <c:v>Оптовая и розничная торговля</c:v>
                </c:pt>
                <c:pt idx="1">
                  <c:v>Транспорт и связь</c:v>
                </c:pt>
                <c:pt idx="2">
                  <c:v>Операции с недвижимым имуществом</c:v>
                </c:pt>
                <c:pt idx="3">
                  <c:v>Строительство</c:v>
                </c:pt>
                <c:pt idx="4">
                  <c:v>Обрабатывающие производства</c:v>
                </c:pt>
                <c:pt idx="5">
                  <c:v>Прочие виды деятельности</c:v>
                </c:pt>
              </c:strCache>
            </c:strRef>
          </c:cat>
          <c:val>
            <c:numRef>
              <c:f>Лист1!$B$2:$B$7</c:f>
              <c:numCache>
                <c:formatCode>0.0%</c:formatCode>
                <c:ptCount val="6"/>
                <c:pt idx="0">
                  <c:v>0.31</c:v>
                </c:pt>
                <c:pt idx="1">
                  <c:v>0.16700000000000001</c:v>
                </c:pt>
                <c:pt idx="2">
                  <c:v>0.14499999999999999</c:v>
                </c:pt>
                <c:pt idx="3">
                  <c:v>0.13600000000000001</c:v>
                </c:pt>
                <c:pt idx="4">
                  <c:v>8.4000000000000005E-2</c:v>
                </c:pt>
                <c:pt idx="5">
                  <c:v>0.158</c:v>
                </c:pt>
              </c:numCache>
            </c:numRef>
          </c:val>
        </c:ser>
        <c:dLbls>
          <c:showLegendKey val="0"/>
          <c:showVal val="0"/>
          <c:showCatName val="0"/>
          <c:showSerName val="0"/>
          <c:showPercent val="0"/>
          <c:showBubbleSize val="0"/>
          <c:showLeaderLines val="1"/>
        </c:dLbls>
      </c:pie3DChart>
      <c:spPr>
        <a:noFill/>
        <a:ln w="25376">
          <a:noFill/>
        </a:ln>
      </c:spPr>
    </c:plotArea>
    <c:legend>
      <c:legendPos val="r"/>
      <c:layout>
        <c:manualLayout>
          <c:xMode val="edge"/>
          <c:yMode val="edge"/>
          <c:x val="0.55066666666666664"/>
          <c:y val="2.7522935779816512E-2"/>
          <c:w val="0.44399999999999995"/>
          <c:h val="0.96788990825688059"/>
        </c:manualLayout>
      </c:layout>
      <c:overlay val="1"/>
      <c:txPr>
        <a:bodyPr/>
        <a:lstStyle/>
        <a:p>
          <a:pPr>
            <a:defRPr sz="1050">
              <a:latin typeface="Times New Roman" panose="02020603050405020304" pitchFamily="18" charset="0"/>
              <a:cs typeface="Times New Roman" panose="02020603050405020304" pitchFamily="18" charset="0"/>
            </a:defRPr>
          </a:pPr>
          <a:endParaRPr lang="ru-RU"/>
        </a:p>
      </c:txPr>
    </c:legend>
    <c:plotVisOnly val="1"/>
    <c:dispBlanksAs val="zero"/>
    <c:showDLblsOverMax val="0"/>
  </c:chart>
  <c:spPr>
    <a:ln>
      <a:noFill/>
    </a:ln>
  </c:sp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roundedCorners val="1"/>
  <c:style val="2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6758370359320824E-2"/>
          <c:y val="3.1365306609401192E-2"/>
          <c:w val="0.93339499003761206"/>
          <c:h val="0.86444285373419505"/>
        </c:manualLayout>
      </c:layout>
      <c:lineChart>
        <c:grouping val="stacked"/>
        <c:varyColors val="1"/>
        <c:ser>
          <c:idx val="0"/>
          <c:order val="0"/>
          <c:dLbls>
            <c:spPr>
              <a:noFill/>
              <a:ln>
                <a:noFill/>
              </a:ln>
              <a:effectLst/>
            </c:sp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cat>
            <c:strRef>
              <c:f>('спрос на нефть'!$B$3:$E$3,'спрос на нефть'!$G$3:$J$3,'спрос на нефть'!$L$3:$O$3)</c:f>
              <c:strCache>
                <c:ptCount val="12"/>
                <c:pt idx="0">
                  <c:v>1кв2012</c:v>
                </c:pt>
                <c:pt idx="1">
                  <c:v>2кв2012</c:v>
                </c:pt>
                <c:pt idx="2">
                  <c:v>3кв2012</c:v>
                </c:pt>
                <c:pt idx="3">
                  <c:v>4кв2012</c:v>
                </c:pt>
                <c:pt idx="4">
                  <c:v>1кв2013</c:v>
                </c:pt>
                <c:pt idx="5">
                  <c:v>2кв2013</c:v>
                </c:pt>
                <c:pt idx="6">
                  <c:v>3кв2013</c:v>
                </c:pt>
                <c:pt idx="7">
                  <c:v>4кв2013</c:v>
                </c:pt>
                <c:pt idx="8">
                  <c:v>1кв2014</c:v>
                </c:pt>
                <c:pt idx="9">
                  <c:v>2кв2014</c:v>
                </c:pt>
                <c:pt idx="10">
                  <c:v>3кв2014</c:v>
                </c:pt>
                <c:pt idx="11">
                  <c:v>4кв2014</c:v>
                </c:pt>
              </c:strCache>
            </c:strRef>
          </c:cat>
          <c:val>
            <c:numRef>
              <c:f>('спрос на нефть'!$B$10:$E$10,'спрос на нефть'!$G$10:$J$10,'спрос на нефть'!$L$10:$O$10)</c:f>
              <c:numCache>
                <c:formatCode>General</c:formatCode>
                <c:ptCount val="12"/>
                <c:pt idx="0">
                  <c:v>89</c:v>
                </c:pt>
                <c:pt idx="1">
                  <c:v>89.500000000000014</c:v>
                </c:pt>
                <c:pt idx="2">
                  <c:v>90.399999999999991</c:v>
                </c:pt>
                <c:pt idx="3">
                  <c:v>91</c:v>
                </c:pt>
                <c:pt idx="4">
                  <c:v>90</c:v>
                </c:pt>
                <c:pt idx="5">
                  <c:v>90.5</c:v>
                </c:pt>
                <c:pt idx="6">
                  <c:v>91.5</c:v>
                </c:pt>
                <c:pt idx="7">
                  <c:v>91.7</c:v>
                </c:pt>
                <c:pt idx="8">
                  <c:v>90.899999999999991</c:v>
                </c:pt>
                <c:pt idx="9">
                  <c:v>91.2</c:v>
                </c:pt>
                <c:pt idx="10">
                  <c:v>92.9</c:v>
                </c:pt>
                <c:pt idx="11">
                  <c:v>93.100000000000009</c:v>
                </c:pt>
              </c:numCache>
            </c:numRef>
          </c:val>
          <c:smooth val="1"/>
        </c:ser>
        <c:dLbls>
          <c:showLegendKey val="0"/>
          <c:showVal val="0"/>
          <c:showCatName val="0"/>
          <c:showSerName val="0"/>
          <c:showPercent val="0"/>
          <c:showBubbleSize val="0"/>
        </c:dLbls>
        <c:marker val="1"/>
        <c:smooth val="0"/>
        <c:axId val="479663152"/>
        <c:axId val="479659344"/>
      </c:lineChart>
      <c:catAx>
        <c:axId val="479663152"/>
        <c:scaling>
          <c:orientation val="minMax"/>
        </c:scaling>
        <c:delete val="1"/>
        <c:axPos val="b"/>
        <c:numFmt formatCode="General" sourceLinked="0"/>
        <c:majorTickMark val="none"/>
        <c:minorTickMark val="cross"/>
        <c:tickLblPos val="nextTo"/>
        <c:crossAx val="479659344"/>
        <c:crosses val="autoZero"/>
        <c:auto val="1"/>
        <c:lblAlgn val="ctr"/>
        <c:lblOffset val="100"/>
        <c:noMultiLvlLbl val="1"/>
      </c:catAx>
      <c:valAx>
        <c:axId val="479659344"/>
        <c:scaling>
          <c:orientation val="minMax"/>
        </c:scaling>
        <c:delete val="1"/>
        <c:axPos val="l"/>
        <c:majorGridlines/>
        <c:numFmt formatCode="General" sourceLinked="1"/>
        <c:majorTickMark val="none"/>
        <c:minorTickMark val="cross"/>
        <c:tickLblPos val="nextTo"/>
        <c:crossAx val="479663152"/>
        <c:crosses val="autoZero"/>
        <c:crossBetween val="between"/>
      </c:valAx>
    </c:plotArea>
    <c:plotVisOnly val="1"/>
    <c:dispBlanksAs val="zero"/>
    <c:showDLblsOverMax val="1"/>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1"/>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roundedCorners val="1"/>
  <c:style val="2"/>
  <c:clrMapOvr bg1="lt1" tx1="dk1" bg2="lt2" tx2="dk2" accent1="accent1" accent2="accent2" accent3="accent3" accent4="accent4" accent5="accent5" accent6="accent6" hlink="hlink" folHlink="folHlink"/>
  <c:chart>
    <c:autoTitleDeleted val="1"/>
    <c:view3D>
      <c:rotX val="30"/>
      <c:rotY val="0"/>
      <c:rAngAx val="1"/>
    </c:view3D>
    <c:floor>
      <c:thickness val="0"/>
    </c:floor>
    <c:sideWall>
      <c:thickness val="0"/>
    </c:sideWall>
    <c:backWall>
      <c:thickness val="0"/>
    </c:backWall>
    <c:plotArea>
      <c:layout/>
      <c:pie3DChart>
        <c:varyColors val="1"/>
        <c:ser>
          <c:idx val="0"/>
          <c:order val="0"/>
          <c:explosion val="25"/>
          <c:dLbls>
            <c:delete val="1"/>
          </c:dLbls>
          <c:cat>
            <c:strRef>
              <c:f>'3.3'!$B$4:$B$10</c:f>
              <c:strCache>
                <c:ptCount val="7"/>
                <c:pt idx="0">
                  <c:v>Роснефть </c:v>
                </c:pt>
                <c:pt idx="1">
                  <c:v>ЛУКОЙЛ</c:v>
                </c:pt>
                <c:pt idx="2">
                  <c:v>Сургутнефтегаз</c:v>
                </c:pt>
                <c:pt idx="3">
                  <c:v>Газпром нефть</c:v>
                </c:pt>
                <c:pt idx="4">
                  <c:v>Татнефть</c:v>
                </c:pt>
                <c:pt idx="5">
                  <c:v>Башнефть</c:v>
                </c:pt>
                <c:pt idx="6">
                  <c:v>РуссНефть</c:v>
                </c:pt>
              </c:strCache>
            </c:strRef>
          </c:cat>
          <c:val>
            <c:numRef>
              <c:f>'3.3'!$C$4:$C$10</c:f>
              <c:numCache>
                <c:formatCode>General</c:formatCode>
                <c:ptCount val="7"/>
                <c:pt idx="0">
                  <c:v>203</c:v>
                </c:pt>
                <c:pt idx="1">
                  <c:v>86.9</c:v>
                </c:pt>
                <c:pt idx="2">
                  <c:v>61.5</c:v>
                </c:pt>
                <c:pt idx="3">
                  <c:v>49.3</c:v>
                </c:pt>
                <c:pt idx="4">
                  <c:v>26.4</c:v>
                </c:pt>
                <c:pt idx="5">
                  <c:v>16.100000000000001</c:v>
                </c:pt>
                <c:pt idx="6">
                  <c:v>8.8000000000000007</c:v>
                </c:pt>
              </c:numCache>
            </c:numRef>
          </c:val>
        </c:ser>
        <c:dLbls>
          <c:showLegendKey val="1"/>
          <c:showVal val="1"/>
          <c:showCatName val="1"/>
          <c:showSerName val="1"/>
          <c:showPercent val="1"/>
          <c:showBubbleSize val="1"/>
          <c:showLeaderLines val="1"/>
        </c:dLbls>
      </c:pie3DChart>
    </c:plotArea>
    <c:legend>
      <c:legendPos val="r"/>
      <c:overlay val="1"/>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zero"/>
    <c:showDLblsOverMax val="1"/>
  </c:chart>
  <c:externalData r:id="rId2">
    <c:autoUpdate val="1"/>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0"/>
      <c:rotY val="0"/>
      <c:rAngAx val="1"/>
    </c:view3D>
    <c:floor>
      <c:thickness val="0"/>
    </c:floor>
    <c:sideWall>
      <c:thickness val="0"/>
    </c:sideWall>
    <c:backWall>
      <c:thickness val="0"/>
    </c:backWall>
    <c:plotArea>
      <c:layout/>
      <c:bar3DChart>
        <c:barDir val="col"/>
        <c:grouping val="clustered"/>
        <c:varyColors val="1"/>
        <c:ser>
          <c:idx val="0"/>
          <c:order val="0"/>
          <c:tx>
            <c:strRef>
              <c:f>Лист1!$A$3</c:f>
              <c:strCache>
                <c:ptCount val="1"/>
                <c:pt idx="0">
                  <c:v>Валовой сбор овощей</c:v>
                </c:pt>
              </c:strCache>
            </c:strRef>
          </c:tx>
          <c:invertIfNegative val="1"/>
          <c:dLbls>
            <c:spPr>
              <a:noFill/>
              <a:ln>
                <a:noFill/>
              </a:ln>
              <a:effectLst/>
            </c:sp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cat>
            <c:numRef>
              <c:f>Лист1!$C$2:$H$2</c:f>
              <c:numCache>
                <c:formatCode>General</c:formatCode>
                <c:ptCount val="6"/>
                <c:pt idx="0">
                  <c:v>2008</c:v>
                </c:pt>
                <c:pt idx="1">
                  <c:v>2009</c:v>
                </c:pt>
                <c:pt idx="2">
                  <c:v>2010</c:v>
                </c:pt>
                <c:pt idx="3">
                  <c:v>2011</c:v>
                </c:pt>
                <c:pt idx="4">
                  <c:v>2012</c:v>
                </c:pt>
                <c:pt idx="5">
                  <c:v>2013</c:v>
                </c:pt>
              </c:numCache>
            </c:numRef>
          </c:cat>
          <c:val>
            <c:numRef>
              <c:f>Лист1!$C$3:$H$3</c:f>
              <c:numCache>
                <c:formatCode>0.00</c:formatCode>
                <c:ptCount val="6"/>
                <c:pt idx="0" formatCode="General">
                  <c:v>0.11</c:v>
                </c:pt>
                <c:pt idx="1">
                  <c:v>0.11600000000000002</c:v>
                </c:pt>
                <c:pt idx="2" formatCode="General">
                  <c:v>0.12000000000000002</c:v>
                </c:pt>
                <c:pt idx="3" formatCode="General">
                  <c:v>0.12000000000000002</c:v>
                </c:pt>
                <c:pt idx="4" formatCode="General">
                  <c:v>0.12000000000000002</c:v>
                </c:pt>
                <c:pt idx="5" formatCode="General">
                  <c:v>0.13</c:v>
                </c:pt>
              </c:numCache>
            </c:numRef>
          </c:val>
        </c:ser>
        <c:ser>
          <c:idx val="1"/>
          <c:order val="1"/>
          <c:tx>
            <c:strRef>
              <c:f>Лист1!$A$4</c:f>
              <c:strCache>
                <c:ptCount val="1"/>
                <c:pt idx="0">
                  <c:v>Производство скота и птицы на убой (в живом весе)</c:v>
                </c:pt>
              </c:strCache>
            </c:strRef>
          </c:tx>
          <c:invertIfNegative val="1"/>
          <c:dLbls>
            <c:spPr>
              <a:noFill/>
              <a:ln>
                <a:noFill/>
              </a:ln>
              <a:effectLst/>
            </c:sp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cat>
            <c:numRef>
              <c:f>Лист1!$C$2:$H$2</c:f>
              <c:numCache>
                <c:formatCode>General</c:formatCode>
                <c:ptCount val="6"/>
                <c:pt idx="0">
                  <c:v>2008</c:v>
                </c:pt>
                <c:pt idx="1">
                  <c:v>2009</c:v>
                </c:pt>
                <c:pt idx="2">
                  <c:v>2010</c:v>
                </c:pt>
                <c:pt idx="3">
                  <c:v>2011</c:v>
                </c:pt>
                <c:pt idx="4">
                  <c:v>2012</c:v>
                </c:pt>
                <c:pt idx="5">
                  <c:v>2013</c:v>
                </c:pt>
              </c:numCache>
            </c:numRef>
          </c:cat>
          <c:val>
            <c:numRef>
              <c:f>Лист1!$C$4:$H$4</c:f>
              <c:numCache>
                <c:formatCode>0.00</c:formatCode>
                <c:ptCount val="6"/>
                <c:pt idx="0" formatCode="General">
                  <c:v>1.0000000000000007E-3</c:v>
                </c:pt>
                <c:pt idx="1">
                  <c:v>7.5999999999999998E-2</c:v>
                </c:pt>
                <c:pt idx="2" formatCode="General">
                  <c:v>0.11</c:v>
                </c:pt>
                <c:pt idx="3" formatCode="General">
                  <c:v>0.22</c:v>
                </c:pt>
                <c:pt idx="4" formatCode="General">
                  <c:v>0.27</c:v>
                </c:pt>
                <c:pt idx="5" formatCode="General">
                  <c:v>0.18000000000000008</c:v>
                </c:pt>
              </c:numCache>
            </c:numRef>
          </c:val>
        </c:ser>
        <c:ser>
          <c:idx val="2"/>
          <c:order val="2"/>
          <c:tx>
            <c:strRef>
              <c:f>Лист1!$A$5</c:f>
              <c:strCache>
                <c:ptCount val="1"/>
                <c:pt idx="0">
                  <c:v>Производство молока</c:v>
                </c:pt>
              </c:strCache>
            </c:strRef>
          </c:tx>
          <c:invertIfNegative val="1"/>
          <c:dLbls>
            <c:spPr>
              <a:noFill/>
              <a:ln>
                <a:noFill/>
              </a:ln>
              <a:effectLst/>
            </c:sp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cat>
            <c:numRef>
              <c:f>Лист1!$C$2:$H$2</c:f>
              <c:numCache>
                <c:formatCode>General</c:formatCode>
                <c:ptCount val="6"/>
                <c:pt idx="0">
                  <c:v>2008</c:v>
                </c:pt>
                <c:pt idx="1">
                  <c:v>2009</c:v>
                </c:pt>
                <c:pt idx="2">
                  <c:v>2010</c:v>
                </c:pt>
                <c:pt idx="3">
                  <c:v>2011</c:v>
                </c:pt>
                <c:pt idx="4">
                  <c:v>2012</c:v>
                </c:pt>
                <c:pt idx="5">
                  <c:v>2013</c:v>
                </c:pt>
              </c:numCache>
            </c:numRef>
          </c:cat>
          <c:val>
            <c:numRef>
              <c:f>Лист1!$C$5:$H$5</c:f>
              <c:numCache>
                <c:formatCode>0.000</c:formatCode>
                <c:ptCount val="6"/>
                <c:pt idx="1">
                  <c:v>1.6000000000000007E-3</c:v>
                </c:pt>
                <c:pt idx="2" formatCode="General">
                  <c:v>1.0999999999999998E-2</c:v>
                </c:pt>
                <c:pt idx="3" formatCode="General">
                  <c:v>6.0000000000000026E-2</c:v>
                </c:pt>
                <c:pt idx="4" formatCode="General">
                  <c:v>9.0000000000000024E-2</c:v>
                </c:pt>
                <c:pt idx="5" formatCode="General">
                  <c:v>8.0000000000000043E-2</c:v>
                </c:pt>
              </c:numCache>
            </c:numRef>
          </c:val>
        </c:ser>
        <c:dLbls>
          <c:showLegendKey val="0"/>
          <c:showVal val="0"/>
          <c:showCatName val="0"/>
          <c:showSerName val="0"/>
          <c:showPercent val="0"/>
          <c:showBubbleSize val="0"/>
        </c:dLbls>
        <c:gapWidth val="150"/>
        <c:shape val="box"/>
        <c:axId val="479670768"/>
        <c:axId val="479660432"/>
        <c:axId val="0"/>
      </c:bar3DChart>
      <c:catAx>
        <c:axId val="479670768"/>
        <c:scaling>
          <c:orientation val="minMax"/>
        </c:scaling>
        <c:delete val="1"/>
        <c:axPos val="b"/>
        <c:numFmt formatCode="General" sourceLinked="1"/>
        <c:majorTickMark val="cross"/>
        <c:minorTickMark val="cross"/>
        <c:tickLblPos val="nextTo"/>
        <c:crossAx val="479660432"/>
        <c:crosses val="autoZero"/>
        <c:auto val="1"/>
        <c:lblAlgn val="ctr"/>
        <c:lblOffset val="100"/>
        <c:noMultiLvlLbl val="1"/>
      </c:catAx>
      <c:valAx>
        <c:axId val="479660432"/>
        <c:scaling>
          <c:orientation val="minMax"/>
        </c:scaling>
        <c:delete val="1"/>
        <c:axPos val="l"/>
        <c:majorGridlines/>
        <c:numFmt formatCode="General" sourceLinked="1"/>
        <c:majorTickMark val="cross"/>
        <c:minorTickMark val="cross"/>
        <c:tickLblPos val="nextTo"/>
        <c:crossAx val="479670768"/>
        <c:crosses val="autoZero"/>
        <c:crossBetween val="between"/>
      </c:valAx>
    </c:plotArea>
    <c:legend>
      <c:legendPos val="r"/>
      <c:overlay val="1"/>
    </c:legend>
    <c:plotVisOnly val="1"/>
    <c:dispBlanksAs val="gap"/>
    <c:showDLblsOverMax val="1"/>
  </c:chart>
  <c:txPr>
    <a:bodyPr/>
    <a:lstStyle/>
    <a:p>
      <a:pPr>
        <a:defRPr sz="1000">
          <a:latin typeface="Times New Roman" panose="02020603050405020304" pitchFamily="18" charset="0"/>
          <a:cs typeface="Times New Roman" panose="02020603050405020304" pitchFamily="18" charset="0"/>
        </a:defRPr>
      </a:pPr>
      <a:endParaRPr lang="ru-RU"/>
    </a:p>
  </c:txPr>
  <c:externalData r:id="rId1">
    <c:autoUpdate val="1"/>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roundedCorners val="1"/>
  <c:style val="2"/>
  <c:clrMapOvr bg1="lt1" tx1="dk1" bg2="lt2" tx2="dk2" accent1="accent1" accent2="accent2" accent3="accent3" accent4="accent4" accent5="accent5" accent6="accent6" hlink="hlink" folHlink="folHlink"/>
  <c:chart>
    <c:autoTitleDeleted val="1"/>
    <c:view3D>
      <c:rotX val="0"/>
      <c:rotY val="0"/>
      <c:rAngAx val="1"/>
    </c:view3D>
    <c:floor>
      <c:thickness val="0"/>
    </c:floor>
    <c:sideWall>
      <c:thickness val="0"/>
    </c:sideWall>
    <c:backWall>
      <c:thickness val="0"/>
    </c:backWall>
    <c:plotArea>
      <c:layout/>
      <c:bar3DChart>
        <c:barDir val="col"/>
        <c:grouping val="clustered"/>
        <c:varyColors val="1"/>
        <c:ser>
          <c:idx val="0"/>
          <c:order val="0"/>
          <c:tx>
            <c:strRef>
              <c:f>'строительство жилья'!$B$3:$I$3</c:f>
              <c:strCache>
                <c:ptCount val="1"/>
                <c:pt idx="0">
                  <c:v>3313 20620 12356 5900 3800 12500 16661 10690</c:v>
                </c:pt>
              </c:strCache>
            </c:strRef>
          </c:tx>
          <c:invertIfNegative val="1"/>
          <c:dLbls>
            <c:spPr>
              <a:noFill/>
              <a:ln>
                <a:noFill/>
              </a:ln>
              <a:effectLst/>
            </c:sp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cat>
            <c:numRef>
              <c:f>'строительство жилья'!$B$2:$I$2</c:f>
              <c:numCache>
                <c:formatCode>General</c:formatCode>
                <c:ptCount val="8"/>
                <c:pt idx="0">
                  <c:v>2006</c:v>
                </c:pt>
                <c:pt idx="1">
                  <c:v>2007</c:v>
                </c:pt>
                <c:pt idx="2">
                  <c:v>2008</c:v>
                </c:pt>
                <c:pt idx="3">
                  <c:v>2009</c:v>
                </c:pt>
                <c:pt idx="4">
                  <c:v>2010</c:v>
                </c:pt>
                <c:pt idx="5">
                  <c:v>2011</c:v>
                </c:pt>
                <c:pt idx="6">
                  <c:v>2012</c:v>
                </c:pt>
                <c:pt idx="7">
                  <c:v>2013</c:v>
                </c:pt>
              </c:numCache>
            </c:numRef>
          </c:cat>
          <c:val>
            <c:numRef>
              <c:f>'строительство жилья'!$B$3:$I$3</c:f>
              <c:numCache>
                <c:formatCode>General</c:formatCode>
                <c:ptCount val="8"/>
                <c:pt idx="0">
                  <c:v>3313</c:v>
                </c:pt>
                <c:pt idx="1">
                  <c:v>20620</c:v>
                </c:pt>
                <c:pt idx="2">
                  <c:v>12356</c:v>
                </c:pt>
                <c:pt idx="3">
                  <c:v>5900</c:v>
                </c:pt>
                <c:pt idx="4">
                  <c:v>3800</c:v>
                </c:pt>
                <c:pt idx="5">
                  <c:v>12500</c:v>
                </c:pt>
                <c:pt idx="6">
                  <c:v>16661</c:v>
                </c:pt>
                <c:pt idx="7">
                  <c:v>10690</c:v>
                </c:pt>
              </c:numCache>
            </c:numRef>
          </c:val>
        </c:ser>
        <c:dLbls>
          <c:showLegendKey val="0"/>
          <c:showVal val="0"/>
          <c:showCatName val="0"/>
          <c:showSerName val="0"/>
          <c:showPercent val="0"/>
          <c:showBubbleSize val="0"/>
        </c:dLbls>
        <c:gapWidth val="150"/>
        <c:shape val="cylinder"/>
        <c:axId val="479671312"/>
        <c:axId val="479672400"/>
        <c:axId val="0"/>
      </c:bar3DChart>
      <c:catAx>
        <c:axId val="479671312"/>
        <c:scaling>
          <c:orientation val="minMax"/>
        </c:scaling>
        <c:delete val="1"/>
        <c:axPos val="b"/>
        <c:numFmt formatCode="General" sourceLinked="1"/>
        <c:majorTickMark val="cross"/>
        <c:minorTickMark val="cross"/>
        <c:tickLblPos val="nextTo"/>
        <c:crossAx val="479672400"/>
        <c:crosses val="autoZero"/>
        <c:auto val="1"/>
        <c:lblAlgn val="ctr"/>
        <c:lblOffset val="100"/>
        <c:noMultiLvlLbl val="1"/>
      </c:catAx>
      <c:valAx>
        <c:axId val="479672400"/>
        <c:scaling>
          <c:orientation val="minMax"/>
        </c:scaling>
        <c:delete val="1"/>
        <c:axPos val="l"/>
        <c:majorGridlines/>
        <c:numFmt formatCode="General" sourceLinked="1"/>
        <c:majorTickMark val="cross"/>
        <c:minorTickMark val="cross"/>
        <c:tickLblPos val="nextTo"/>
        <c:crossAx val="479671312"/>
        <c:crosses val="autoZero"/>
        <c:crossBetween val="between"/>
      </c:valAx>
    </c:plotArea>
    <c:plotVisOnly val="1"/>
    <c:dispBlanksAs val="gap"/>
    <c:showDLblsOverMax val="1"/>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1"/>
  </c:externalData>
</c:chartSpace>
</file>

<file path=word/drawings/drawing1.xml><?xml version="1.0" encoding="utf-8"?>
<c:userShapes xmlns:c="http://schemas.openxmlformats.org/drawingml/2006/chart">
  <cdr:relSizeAnchor xmlns:cdr="http://schemas.openxmlformats.org/drawingml/2006/chartDrawing">
    <cdr:from>
      <cdr:x>0.50475</cdr:x>
      <cdr:y>0.50465</cdr:y>
    </cdr:from>
    <cdr:to>
      <cdr:x>0.50838</cdr:x>
      <cdr:y>0.5696</cdr:y>
    </cdr:to>
    <cdr:sp macro="" textlink="">
      <cdr:nvSpPr>
        <cdr:cNvPr id="1025" name="Text Box 1"/>
        <cdr:cNvSpPr txBox="1">
          <a:spLocks xmlns:a="http://schemas.openxmlformats.org/drawingml/2006/main" noChangeArrowheads="1"/>
        </cdr:cNvSpPr>
      </cdr:nvSpPr>
      <cdr:spPr bwMode="auto">
        <a:xfrm xmlns:a="http://schemas.openxmlformats.org/drawingml/2006/main">
          <a:off x="2576951" y="1338213"/>
          <a:ext cx="18531" cy="172227"/>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cdr:spPr>
      <cdr:txBody>
        <a:bodyPr xmlns:a="http://schemas.openxmlformats.org/drawingml/2006/main" wrap="none" lIns="18288" tIns="0" rIns="0" bIns="0" anchor="ctr" upright="1">
          <a:spAutoFit/>
        </a:bodyPr>
        <a:lstStyle xmlns:a="http://schemas.openxmlformats.org/drawingml/2006/main"/>
        <a:p xmlns:a="http://schemas.openxmlformats.org/drawingml/2006/main">
          <a:endParaRPr lang="ru-RU"/>
        </a:p>
      </cdr:txBody>
    </cdr:sp>
  </cdr:relSizeAnchor>
</c:userShapes>
</file>

<file path=word/drawings/drawing2.xml><?xml version="1.0" encoding="utf-8"?>
<c:userShapes xmlns:c="http://schemas.openxmlformats.org/drawingml/2006/chart">
  <cdr:relSizeAnchor xmlns:cdr="http://schemas.openxmlformats.org/drawingml/2006/chartDrawing">
    <cdr:from>
      <cdr:x>0.67801</cdr:x>
      <cdr:y>0.03044</cdr:y>
    </cdr:from>
    <cdr:to>
      <cdr:x>0.80551</cdr:x>
      <cdr:y>0.10168</cdr:y>
    </cdr:to>
    <cdr:sp macro="" textlink="">
      <cdr:nvSpPr>
        <cdr:cNvPr id="2" name="TextBox 1"/>
        <cdr:cNvSpPr txBox="1"/>
      </cdr:nvSpPr>
      <cdr:spPr>
        <a:xfrm xmlns:a="http://schemas.openxmlformats.org/drawingml/2006/main">
          <a:off x="3603145" y="125827"/>
          <a:ext cx="677575" cy="294496"/>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pPr algn="ctr"/>
          <a:r>
            <a:rPr lang="ru-RU" sz="1100" b="1">
              <a:latin typeface="Times New Roman" panose="02020603050405020304" pitchFamily="18" charset="0"/>
              <a:cs typeface="Times New Roman" panose="02020603050405020304" pitchFamily="18" charset="0"/>
            </a:rPr>
            <a:t>Звезды</a:t>
          </a:r>
        </a:p>
      </cdr:txBody>
    </cdr:sp>
  </cdr:relSizeAnchor>
  <cdr:relSizeAnchor xmlns:cdr="http://schemas.openxmlformats.org/drawingml/2006/chartDrawing">
    <cdr:from>
      <cdr:x>0.18862</cdr:x>
      <cdr:y>0.02028</cdr:y>
    </cdr:from>
    <cdr:to>
      <cdr:x>0.43981</cdr:x>
      <cdr:y>0.10156</cdr:y>
    </cdr:to>
    <cdr:sp macro="" textlink="">
      <cdr:nvSpPr>
        <cdr:cNvPr id="3" name="TextBox 1"/>
        <cdr:cNvSpPr txBox="1"/>
      </cdr:nvSpPr>
      <cdr:spPr>
        <a:xfrm xmlns:a="http://schemas.openxmlformats.org/drawingml/2006/main">
          <a:off x="1119258" y="83821"/>
          <a:ext cx="1490580" cy="336000"/>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100" b="1">
              <a:latin typeface="Times New Roman" panose="02020603050405020304" pitchFamily="18" charset="0"/>
              <a:cs typeface="Times New Roman" panose="02020603050405020304" pitchFamily="18" charset="0"/>
            </a:rPr>
            <a:t>Трудные дети</a:t>
          </a:r>
        </a:p>
      </cdr:txBody>
    </cdr:sp>
  </cdr:relSizeAnchor>
  <cdr:relSizeAnchor xmlns:cdr="http://schemas.openxmlformats.org/drawingml/2006/chartDrawing">
    <cdr:from>
      <cdr:x>0.29304</cdr:x>
      <cdr:y>0.45719</cdr:y>
    </cdr:from>
    <cdr:to>
      <cdr:x>0.47094</cdr:x>
      <cdr:y>0.53847</cdr:y>
    </cdr:to>
    <cdr:sp macro="" textlink="">
      <cdr:nvSpPr>
        <cdr:cNvPr id="4" name="TextBox 1"/>
        <cdr:cNvSpPr txBox="1"/>
      </cdr:nvSpPr>
      <cdr:spPr>
        <a:xfrm xmlns:a="http://schemas.openxmlformats.org/drawingml/2006/main">
          <a:off x="1738933" y="1889970"/>
          <a:ext cx="1055672" cy="335999"/>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100" b="1">
              <a:latin typeface="Times New Roman" panose="02020603050405020304" pitchFamily="18" charset="0"/>
              <a:cs typeface="Times New Roman" panose="02020603050405020304" pitchFamily="18" charset="0"/>
            </a:rPr>
            <a:t>Собаки</a:t>
          </a:r>
        </a:p>
      </cdr:txBody>
    </cdr:sp>
  </cdr:relSizeAnchor>
  <cdr:relSizeAnchor xmlns:cdr="http://schemas.openxmlformats.org/drawingml/2006/chartDrawing">
    <cdr:from>
      <cdr:x>0.59444</cdr:x>
      <cdr:y>0.46554</cdr:y>
    </cdr:from>
    <cdr:to>
      <cdr:x>0.92135</cdr:x>
      <cdr:y>0.54682</cdr:y>
    </cdr:to>
    <cdr:sp macro="" textlink="">
      <cdr:nvSpPr>
        <cdr:cNvPr id="5" name="TextBox 1"/>
        <cdr:cNvSpPr txBox="1"/>
      </cdr:nvSpPr>
      <cdr:spPr>
        <a:xfrm xmlns:a="http://schemas.openxmlformats.org/drawingml/2006/main">
          <a:off x="3527426" y="1924466"/>
          <a:ext cx="1939908" cy="336000"/>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100" b="1">
              <a:latin typeface="Times New Roman" panose="02020603050405020304" pitchFamily="18" charset="0"/>
              <a:cs typeface="Times New Roman" panose="02020603050405020304" pitchFamily="18" charset="0"/>
            </a:rPr>
            <a:t>Дойные коровы</a:t>
          </a:r>
        </a:p>
      </cdr:txBody>
    </cdr:sp>
  </cdr:relSizeAnchor>
</c:userShapes>
</file>

<file path=word/drawings/drawing3.xml><?xml version="1.0" encoding="utf-8"?>
<c:userShapes xmlns:c="http://schemas.openxmlformats.org/drawingml/2006/chart">
  <cdr:relSizeAnchor xmlns:cdr="http://schemas.openxmlformats.org/drawingml/2006/chartDrawing">
    <cdr:from>
      <cdr:x>0.34309</cdr:x>
      <cdr:y>0.04255</cdr:y>
    </cdr:from>
    <cdr:to>
      <cdr:x>0.53984</cdr:x>
      <cdr:y>0.10251</cdr:y>
    </cdr:to>
    <cdr:sp macro="" textlink="">
      <cdr:nvSpPr>
        <cdr:cNvPr id="2" name="TextBox 1"/>
        <cdr:cNvSpPr txBox="1"/>
      </cdr:nvSpPr>
      <cdr:spPr>
        <a:xfrm xmlns:a="http://schemas.openxmlformats.org/drawingml/2006/main">
          <a:off x="2009776" y="209550"/>
          <a:ext cx="1152525" cy="295275"/>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pPr algn="ctr"/>
          <a:r>
            <a:rPr lang="ru-RU" sz="1200" b="1">
              <a:latin typeface="Times New Roman" panose="02020603050405020304" pitchFamily="18" charset="0"/>
              <a:cs typeface="Times New Roman" panose="02020603050405020304" pitchFamily="18" charset="0"/>
            </a:rPr>
            <a:t>Трудные дети</a:t>
          </a:r>
        </a:p>
      </cdr:txBody>
    </cdr:sp>
  </cdr:relSizeAnchor>
  <cdr:relSizeAnchor xmlns:cdr="http://schemas.openxmlformats.org/drawingml/2006/chartDrawing">
    <cdr:from>
      <cdr:x>0.7664</cdr:x>
      <cdr:y>0.0432</cdr:y>
    </cdr:from>
    <cdr:to>
      <cdr:x>0.96314</cdr:x>
      <cdr:y>0.10316</cdr:y>
    </cdr:to>
    <cdr:sp macro="" textlink="">
      <cdr:nvSpPr>
        <cdr:cNvPr id="3" name="TextBox 1"/>
        <cdr:cNvSpPr txBox="1"/>
      </cdr:nvSpPr>
      <cdr:spPr>
        <a:xfrm xmlns:a="http://schemas.openxmlformats.org/drawingml/2006/main">
          <a:off x="4489450" y="212725"/>
          <a:ext cx="1152525" cy="295275"/>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200" b="1">
              <a:latin typeface="Times New Roman" panose="02020603050405020304" pitchFamily="18" charset="0"/>
              <a:cs typeface="Times New Roman" panose="02020603050405020304" pitchFamily="18" charset="0"/>
            </a:rPr>
            <a:t>Звезды</a:t>
          </a:r>
        </a:p>
      </cdr:txBody>
    </cdr:sp>
  </cdr:relSizeAnchor>
  <cdr:relSizeAnchor xmlns:cdr="http://schemas.openxmlformats.org/drawingml/2006/chartDrawing">
    <cdr:from>
      <cdr:x>0.34363</cdr:x>
      <cdr:y>0.84977</cdr:y>
    </cdr:from>
    <cdr:to>
      <cdr:x>0.54038</cdr:x>
      <cdr:y>0.90974</cdr:y>
    </cdr:to>
    <cdr:sp macro="" textlink="">
      <cdr:nvSpPr>
        <cdr:cNvPr id="4" name="TextBox 1"/>
        <cdr:cNvSpPr txBox="1"/>
      </cdr:nvSpPr>
      <cdr:spPr>
        <a:xfrm xmlns:a="http://schemas.openxmlformats.org/drawingml/2006/main">
          <a:off x="2012950" y="4184650"/>
          <a:ext cx="1152525" cy="295275"/>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200" b="1">
              <a:latin typeface="Times New Roman" panose="02020603050405020304" pitchFamily="18" charset="0"/>
              <a:cs typeface="Times New Roman" panose="02020603050405020304" pitchFamily="18" charset="0"/>
            </a:rPr>
            <a:t>Собаки</a:t>
          </a:r>
        </a:p>
      </cdr:txBody>
    </cdr:sp>
  </cdr:relSizeAnchor>
  <cdr:relSizeAnchor xmlns:cdr="http://schemas.openxmlformats.org/drawingml/2006/chartDrawing">
    <cdr:from>
      <cdr:x>0.72195</cdr:x>
      <cdr:y>0.84139</cdr:y>
    </cdr:from>
    <cdr:to>
      <cdr:x>0.96152</cdr:x>
      <cdr:y>0.9136</cdr:y>
    </cdr:to>
    <cdr:sp macro="" textlink="">
      <cdr:nvSpPr>
        <cdr:cNvPr id="5" name="TextBox 1"/>
        <cdr:cNvSpPr txBox="1"/>
      </cdr:nvSpPr>
      <cdr:spPr>
        <a:xfrm xmlns:a="http://schemas.openxmlformats.org/drawingml/2006/main">
          <a:off x="4229101" y="4143376"/>
          <a:ext cx="1403350" cy="355600"/>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200" b="1">
              <a:latin typeface="Times New Roman" panose="02020603050405020304" pitchFamily="18" charset="0"/>
              <a:cs typeface="Times New Roman" panose="02020603050405020304" pitchFamily="18" charset="0"/>
            </a:rPr>
            <a:t>Дойные коровы</a:t>
          </a:r>
        </a:p>
      </cdr:txBody>
    </cdr:sp>
  </cdr:relSizeAnchor>
</c:userShapes>
</file>

<file path=word/drawings/drawing4.xml><?xml version="1.0" encoding="utf-8"?>
<c:userShapes xmlns:c="http://schemas.openxmlformats.org/drawingml/2006/chart">
  <cdr:relSizeAnchor xmlns:cdr="http://schemas.openxmlformats.org/drawingml/2006/chartDrawing">
    <cdr:from>
      <cdr:x>0.37996</cdr:x>
      <cdr:y>0.82906</cdr:y>
    </cdr:from>
    <cdr:to>
      <cdr:x>0.51499</cdr:x>
      <cdr:y>0.86607</cdr:y>
    </cdr:to>
    <cdr:sp macro="" textlink="">
      <cdr:nvSpPr>
        <cdr:cNvPr id="2" name="TextBox 1"/>
        <cdr:cNvSpPr txBox="1"/>
      </cdr:nvSpPr>
      <cdr:spPr>
        <a:xfrm xmlns:a="http://schemas.openxmlformats.org/drawingml/2006/main">
          <a:off x="2257115" y="3919464"/>
          <a:ext cx="802135" cy="174967"/>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pPr algn="ctr"/>
          <a:r>
            <a:rPr lang="ru-RU" sz="1200" b="1">
              <a:latin typeface="Times New Roman" panose="02020603050405020304" pitchFamily="18" charset="0"/>
              <a:cs typeface="Times New Roman" panose="02020603050405020304" pitchFamily="18" charset="0"/>
            </a:rPr>
            <a:t>Собаки</a:t>
          </a:r>
        </a:p>
      </cdr:txBody>
    </cdr:sp>
  </cdr:relSizeAnchor>
  <cdr:relSizeAnchor xmlns:cdr="http://schemas.openxmlformats.org/drawingml/2006/chartDrawing">
    <cdr:from>
      <cdr:x>0.66833</cdr:x>
      <cdr:y>0.79079</cdr:y>
    </cdr:from>
    <cdr:to>
      <cdr:x>0.9396</cdr:x>
      <cdr:y>0.87783</cdr:y>
    </cdr:to>
    <cdr:sp macro="" textlink="">
      <cdr:nvSpPr>
        <cdr:cNvPr id="3" name="TextBox 1"/>
        <cdr:cNvSpPr txBox="1"/>
      </cdr:nvSpPr>
      <cdr:spPr>
        <a:xfrm xmlns:a="http://schemas.openxmlformats.org/drawingml/2006/main">
          <a:off x="3970141" y="3738513"/>
          <a:ext cx="1611509" cy="411488"/>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200" b="1">
              <a:latin typeface="Times New Roman" panose="02020603050405020304" pitchFamily="18" charset="0"/>
              <a:cs typeface="Times New Roman" panose="02020603050405020304" pitchFamily="18" charset="0"/>
            </a:rPr>
            <a:t>Дойные</a:t>
          </a:r>
          <a:r>
            <a:rPr lang="ru-RU" sz="1200" b="1" baseline="0">
              <a:latin typeface="Times New Roman" panose="02020603050405020304" pitchFamily="18" charset="0"/>
              <a:cs typeface="Times New Roman" panose="02020603050405020304" pitchFamily="18" charset="0"/>
            </a:rPr>
            <a:t> коровы</a:t>
          </a:r>
          <a:endParaRPr lang="ru-RU" sz="1200" b="1">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0.62675</cdr:x>
      <cdr:y>0.03392</cdr:y>
    </cdr:from>
    <cdr:to>
      <cdr:x>0.81147</cdr:x>
      <cdr:y>0.07093</cdr:y>
    </cdr:to>
    <cdr:sp macro="" textlink="">
      <cdr:nvSpPr>
        <cdr:cNvPr id="4" name="TextBox 1"/>
        <cdr:cNvSpPr txBox="1"/>
      </cdr:nvSpPr>
      <cdr:spPr>
        <a:xfrm xmlns:a="http://schemas.openxmlformats.org/drawingml/2006/main">
          <a:off x="4393795" y="197583"/>
          <a:ext cx="1294914" cy="215564"/>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200" b="1">
              <a:latin typeface="Times New Roman" panose="02020603050405020304" pitchFamily="18" charset="0"/>
              <a:cs typeface="Times New Roman" panose="02020603050405020304" pitchFamily="18" charset="0"/>
            </a:rPr>
            <a:t>Звезды</a:t>
          </a:r>
        </a:p>
      </cdr:txBody>
    </cdr:sp>
  </cdr:relSizeAnchor>
  <cdr:relSizeAnchor xmlns:cdr="http://schemas.openxmlformats.org/drawingml/2006/chartDrawing">
    <cdr:from>
      <cdr:x>0.3508</cdr:x>
      <cdr:y>0.0329</cdr:y>
    </cdr:from>
    <cdr:to>
      <cdr:x>0.53551</cdr:x>
      <cdr:y>0.10501</cdr:y>
    </cdr:to>
    <cdr:sp macro="" textlink="">
      <cdr:nvSpPr>
        <cdr:cNvPr id="5" name="TextBox 1"/>
        <cdr:cNvSpPr txBox="1"/>
      </cdr:nvSpPr>
      <cdr:spPr>
        <a:xfrm xmlns:a="http://schemas.openxmlformats.org/drawingml/2006/main">
          <a:off x="1974750" y="165617"/>
          <a:ext cx="1039783" cy="363021"/>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200" b="1">
              <a:latin typeface="Times New Roman" panose="02020603050405020304" pitchFamily="18" charset="0"/>
              <a:cs typeface="Times New Roman" panose="02020603050405020304" pitchFamily="18" charset="0"/>
            </a:rPr>
            <a:t>Трудные дети</a:t>
          </a:r>
        </a:p>
      </cdr:txBody>
    </cdr:sp>
  </cdr:relSizeAnchor>
</c:userShapes>
</file>

<file path=word/drawings/drawing5.xml><?xml version="1.0" encoding="utf-8"?>
<c:userShapes xmlns:c="http://schemas.openxmlformats.org/drawingml/2006/chart">
  <cdr:relSizeAnchor xmlns:cdr="http://schemas.openxmlformats.org/drawingml/2006/chartDrawing">
    <cdr:from>
      <cdr:x>0.66314</cdr:x>
      <cdr:y>0.03895</cdr:y>
    </cdr:from>
    <cdr:to>
      <cdr:x>0.83774</cdr:x>
      <cdr:y>0.09164</cdr:y>
    </cdr:to>
    <cdr:sp macro="" textlink="">
      <cdr:nvSpPr>
        <cdr:cNvPr id="2" name="TextBox 1"/>
        <cdr:cNvSpPr txBox="1"/>
      </cdr:nvSpPr>
      <cdr:spPr>
        <a:xfrm xmlns:a="http://schemas.openxmlformats.org/drawingml/2006/main">
          <a:off x="3581400" y="161925"/>
          <a:ext cx="942975" cy="2190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200" b="1">
              <a:latin typeface="Times New Roman" panose="02020603050405020304" pitchFamily="18" charset="0"/>
              <a:cs typeface="Times New Roman" panose="02020603050405020304" pitchFamily="18" charset="0"/>
            </a:rPr>
            <a:t>Звезды</a:t>
          </a:r>
        </a:p>
      </cdr:txBody>
    </cdr:sp>
  </cdr:relSizeAnchor>
  <cdr:relSizeAnchor xmlns:cdr="http://schemas.openxmlformats.org/drawingml/2006/chartDrawing">
    <cdr:from>
      <cdr:x>0.63316</cdr:x>
      <cdr:y>0.82474</cdr:y>
    </cdr:from>
    <cdr:to>
      <cdr:x>0.93886</cdr:x>
      <cdr:y>0.90951</cdr:y>
    </cdr:to>
    <cdr:sp macro="" textlink="">
      <cdr:nvSpPr>
        <cdr:cNvPr id="3" name="TextBox 1"/>
        <cdr:cNvSpPr txBox="1"/>
      </cdr:nvSpPr>
      <cdr:spPr>
        <a:xfrm xmlns:a="http://schemas.openxmlformats.org/drawingml/2006/main">
          <a:off x="3419475" y="3429000"/>
          <a:ext cx="1651001" cy="3524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ru-RU" sz="1200" b="1">
              <a:latin typeface="Times New Roman" panose="02020603050405020304" pitchFamily="18" charset="0"/>
              <a:cs typeface="Times New Roman" panose="02020603050405020304" pitchFamily="18" charset="0"/>
            </a:rPr>
            <a:t>Дойные коровы</a:t>
          </a:r>
        </a:p>
      </cdr:txBody>
    </cdr:sp>
  </cdr:relSizeAnchor>
  <cdr:relSizeAnchor xmlns:cdr="http://schemas.openxmlformats.org/drawingml/2006/chartDrawing">
    <cdr:from>
      <cdr:x>0.11699</cdr:x>
      <cdr:y>0.03284</cdr:y>
    </cdr:from>
    <cdr:to>
      <cdr:x>0.42269</cdr:x>
      <cdr:y>0.1176</cdr:y>
    </cdr:to>
    <cdr:sp macro="" textlink="">
      <cdr:nvSpPr>
        <cdr:cNvPr id="4" name="TextBox 1"/>
        <cdr:cNvSpPr txBox="1"/>
      </cdr:nvSpPr>
      <cdr:spPr>
        <a:xfrm xmlns:a="http://schemas.openxmlformats.org/drawingml/2006/main">
          <a:off x="631825" y="136525"/>
          <a:ext cx="1651001" cy="3524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200" b="1">
              <a:latin typeface="Times New Roman" panose="02020603050405020304" pitchFamily="18" charset="0"/>
              <a:cs typeface="Times New Roman" panose="02020603050405020304" pitchFamily="18" charset="0"/>
            </a:rPr>
            <a:t>Трудные дети</a:t>
          </a:r>
        </a:p>
      </cdr:txBody>
    </cdr:sp>
  </cdr:relSizeAnchor>
  <cdr:relSizeAnchor xmlns:cdr="http://schemas.openxmlformats.org/drawingml/2006/chartDrawing">
    <cdr:from>
      <cdr:x>0.30159</cdr:x>
      <cdr:y>0.82092</cdr:y>
    </cdr:from>
    <cdr:to>
      <cdr:x>0.51617</cdr:x>
      <cdr:y>0.90263</cdr:y>
    </cdr:to>
    <cdr:sp macro="" textlink="">
      <cdr:nvSpPr>
        <cdr:cNvPr id="5" name="TextBox 1"/>
        <cdr:cNvSpPr txBox="1"/>
      </cdr:nvSpPr>
      <cdr:spPr>
        <a:xfrm xmlns:a="http://schemas.openxmlformats.org/drawingml/2006/main">
          <a:off x="1628775" y="3413125"/>
          <a:ext cx="1158876" cy="3397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200" b="1">
              <a:latin typeface="Times New Roman" panose="02020603050405020304" pitchFamily="18" charset="0"/>
              <a:cs typeface="Times New Roman" panose="02020603050405020304" pitchFamily="18" charset="0"/>
            </a:rPr>
            <a:t>Собаки</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0</TotalTime>
  <Pages>713</Pages>
  <Words>70843</Words>
  <Characters>403811</Characters>
  <Application>Microsoft Office Word</Application>
  <DocSecurity>0</DocSecurity>
  <Lines>3365</Lines>
  <Paragraphs>947</Paragraphs>
  <ScaleCrop>false</ScaleCrop>
  <HeadingPairs>
    <vt:vector size="2" baseType="variant">
      <vt:variant>
        <vt:lpstr>Название</vt:lpstr>
      </vt:variant>
      <vt:variant>
        <vt:i4>1</vt:i4>
      </vt:variant>
    </vt:vector>
  </HeadingPairs>
  <TitlesOfParts>
    <vt:vector size="1" baseType="lpstr">
      <vt:lpstr/>
    </vt:vector>
  </TitlesOfParts>
  <Company>TOSHIBA</Company>
  <LinksUpToDate>false</LinksUpToDate>
  <CharactersWithSpaces>473707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Скляр Анна Леонидовна</dc:creator>
  <cp:keywords/>
  <dc:description/>
  <cp:lastModifiedBy>Калугин Андрей Александрович</cp:lastModifiedBy>
  <cp:revision>2</cp:revision>
  <cp:lastPrinted>2014-12-24T06:51:00Z</cp:lastPrinted>
  <dcterms:created xsi:type="dcterms:W3CDTF">2015-11-19T06:10:00Z</dcterms:created>
  <dcterms:modified xsi:type="dcterms:W3CDTF">2015-11-19T06:10:00Z</dcterms:modified>
</cp:coreProperties>
</file>